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970C9E">
      <w:pPr>
        <w:rPr>
          <w:rFonts w:hint="eastAsia" w:ascii="仿宋_GB2312" w:hAnsi="仿宋_GB2312" w:eastAsia="仿宋_GB2312" w:cs="仿宋_GB2312"/>
          <w:color w:val="000000" w:themeColor="text1"/>
          <w:sz w:val="36"/>
          <w:szCs w:val="36"/>
          <w:highlight w:val="none"/>
          <w:lang w:eastAsia="zh-CN"/>
          <w14:textFill>
            <w14:solidFill>
              <w14:schemeClr w14:val="tx1"/>
            </w14:solidFill>
          </w14:textFill>
        </w:rPr>
      </w:pPr>
    </w:p>
    <w:p w14:paraId="26CC05A2">
      <w:pPr>
        <w:rPr>
          <w:rFonts w:hint="eastAsia" w:ascii="仿宋_GB2312" w:hAnsi="仿宋_GB2312" w:eastAsia="仿宋_GB2312" w:cs="仿宋_GB2312"/>
          <w:color w:val="000000" w:themeColor="text1"/>
          <w:sz w:val="36"/>
          <w:szCs w:val="36"/>
          <w:highlight w:val="none"/>
          <w14:textFill>
            <w14:solidFill>
              <w14:schemeClr w14:val="tx1"/>
            </w14:solidFill>
          </w14:textFill>
        </w:rPr>
      </w:pPr>
    </w:p>
    <w:p w14:paraId="7C00D19E">
      <w:pPr>
        <w:rPr>
          <w:rFonts w:hint="eastAsia" w:ascii="仿宋_GB2312" w:hAnsi="仿宋_GB2312" w:eastAsia="仿宋_GB2312" w:cs="仿宋_GB2312"/>
          <w:color w:val="000000" w:themeColor="text1"/>
          <w:sz w:val="36"/>
          <w:szCs w:val="36"/>
          <w:highlight w:val="none"/>
          <w14:textFill>
            <w14:solidFill>
              <w14:schemeClr w14:val="tx1"/>
            </w14:solidFill>
          </w14:textFill>
        </w:rPr>
      </w:pPr>
    </w:p>
    <w:p w14:paraId="46769C53">
      <w:pPr>
        <w:pStyle w:val="6"/>
        <w:rPr>
          <w:highlight w:val="none"/>
        </w:rPr>
      </w:pPr>
    </w:p>
    <w:p w14:paraId="4F57F4CB">
      <w:pPr>
        <w:rPr>
          <w:rFonts w:hint="eastAsia" w:ascii="仿宋_GB2312" w:hAnsi="仿宋_GB2312" w:eastAsia="仿宋_GB2312" w:cs="仿宋_GB2312"/>
          <w:color w:val="000000" w:themeColor="text1"/>
          <w:sz w:val="36"/>
          <w:szCs w:val="36"/>
          <w:highlight w:val="none"/>
          <w14:textFill>
            <w14:solidFill>
              <w14:schemeClr w14:val="tx1"/>
            </w14:solidFill>
          </w14:textFill>
        </w:rPr>
      </w:pPr>
    </w:p>
    <w:p w14:paraId="7C56E503">
      <w:pPr>
        <w:adjustRightInd w:val="0"/>
        <w:snapToGrid w:val="0"/>
        <w:jc w:val="center"/>
        <w:outlineLvl w:val="0"/>
        <w:rPr>
          <w:rFonts w:ascii="方正小标宋_GBK" w:eastAsia="方正小标宋_GBK"/>
          <w:bCs/>
          <w:color w:val="000000" w:themeColor="text1"/>
          <w:sz w:val="72"/>
          <w:szCs w:val="72"/>
          <w:highlight w:val="none"/>
          <w14:textFill>
            <w14:solidFill>
              <w14:schemeClr w14:val="tx1"/>
            </w14:solidFill>
          </w14:textFill>
        </w:rPr>
      </w:pPr>
      <w:r>
        <w:rPr>
          <w:rFonts w:hint="eastAsia" w:ascii="方正小标宋_GBK" w:eastAsia="方正小标宋_GBK"/>
          <w:bCs/>
          <w:color w:val="000000" w:themeColor="text1"/>
          <w:sz w:val="72"/>
          <w:szCs w:val="72"/>
          <w:highlight w:val="none"/>
          <w14:textFill>
            <w14:solidFill>
              <w14:schemeClr w14:val="tx1"/>
            </w14:solidFill>
          </w14:textFill>
        </w:rPr>
        <w:t>建设项目环境影响报告表</w:t>
      </w:r>
    </w:p>
    <w:p w14:paraId="2C9C990E">
      <w:pPr>
        <w:adjustRightInd w:val="0"/>
        <w:snapToGrid w:val="0"/>
        <w:spacing w:before="192" w:beforeLines="80"/>
        <w:jc w:val="center"/>
        <w:rPr>
          <w:rFonts w:ascii="楷体_GB2312" w:eastAsia="楷体_GB2312"/>
          <w:bCs/>
          <w:color w:val="000000" w:themeColor="text1"/>
          <w:sz w:val="48"/>
          <w:szCs w:val="48"/>
          <w:highlight w:val="none"/>
          <w14:textFill>
            <w14:solidFill>
              <w14:schemeClr w14:val="tx1"/>
            </w14:solidFill>
          </w14:textFill>
        </w:rPr>
      </w:pPr>
      <w:r>
        <w:rPr>
          <w:rFonts w:hint="eastAsia" w:ascii="楷体_GB2312" w:eastAsia="楷体_GB2312"/>
          <w:bCs/>
          <w:color w:val="000000" w:themeColor="text1"/>
          <w:sz w:val="48"/>
          <w:szCs w:val="48"/>
          <w:highlight w:val="none"/>
          <w14:textFill>
            <w14:solidFill>
              <w14:schemeClr w14:val="tx1"/>
            </w14:solidFill>
          </w14:textFill>
        </w:rPr>
        <w:t>（污染影响类）</w:t>
      </w:r>
    </w:p>
    <w:p w14:paraId="0EA87665">
      <w:pPr>
        <w:adjustRightInd w:val="0"/>
        <w:snapToGrid w:val="0"/>
        <w:spacing w:line="288" w:lineRule="auto"/>
        <w:jc w:val="center"/>
        <w:rPr>
          <w:rFonts w:hint="eastAsia" w:ascii="华文仿宋" w:hAnsi="华文仿宋" w:eastAsia="华文仿宋" w:cs="华文仿宋"/>
          <w:color w:val="000000" w:themeColor="text1"/>
          <w:kern w:val="44"/>
          <w:sz w:val="44"/>
          <w:szCs w:val="44"/>
          <w:highlight w:val="none"/>
          <w14:textFill>
            <w14:solidFill>
              <w14:schemeClr w14:val="tx1"/>
            </w14:solidFill>
          </w14:textFill>
        </w:rPr>
      </w:pPr>
    </w:p>
    <w:p w14:paraId="6FD2BF07">
      <w:pPr>
        <w:ind w:firstLine="1040"/>
        <w:rPr>
          <w:rFonts w:eastAsia="仿宋"/>
          <w:color w:val="000000" w:themeColor="text1"/>
          <w:sz w:val="44"/>
          <w:szCs w:val="44"/>
          <w:highlight w:val="none"/>
          <w14:textFill>
            <w14:solidFill>
              <w14:schemeClr w14:val="tx1"/>
            </w14:solidFill>
          </w14:textFill>
        </w:rPr>
      </w:pPr>
    </w:p>
    <w:p w14:paraId="02F7748B">
      <w:pPr>
        <w:ind w:firstLine="1040"/>
        <w:rPr>
          <w:rFonts w:eastAsia="仿宋"/>
          <w:color w:val="000000" w:themeColor="text1"/>
          <w:sz w:val="44"/>
          <w:szCs w:val="44"/>
          <w:highlight w:val="none"/>
          <w14:textFill>
            <w14:solidFill>
              <w14:schemeClr w14:val="tx1"/>
            </w14:solidFill>
          </w14:textFill>
        </w:rPr>
      </w:pPr>
    </w:p>
    <w:p w14:paraId="6A3EBBDB">
      <w:pPr>
        <w:ind w:firstLine="1040"/>
        <w:rPr>
          <w:rFonts w:eastAsia="仿宋"/>
          <w:color w:val="000000" w:themeColor="text1"/>
          <w:sz w:val="44"/>
          <w:szCs w:val="44"/>
          <w:highlight w:val="none"/>
          <w14:textFill>
            <w14:solidFill>
              <w14:schemeClr w14:val="tx1"/>
            </w14:solidFill>
          </w14:textFill>
        </w:rPr>
      </w:pPr>
    </w:p>
    <w:p w14:paraId="03B9A5B8">
      <w:pPr>
        <w:ind w:firstLine="1040"/>
        <w:rPr>
          <w:rFonts w:eastAsia="仿宋"/>
          <w:color w:val="000000" w:themeColor="text1"/>
          <w:sz w:val="44"/>
          <w:szCs w:val="44"/>
          <w:highlight w:val="none"/>
          <w14:textFill>
            <w14:solidFill>
              <w14:schemeClr w14:val="tx1"/>
            </w14:solidFill>
          </w14:textFill>
        </w:rPr>
      </w:pPr>
    </w:p>
    <w:p w14:paraId="04173035">
      <w:pPr>
        <w:adjustRightInd w:val="0"/>
        <w:snapToGrid w:val="0"/>
        <w:spacing w:line="288" w:lineRule="auto"/>
        <w:ind w:left="1800" w:hanging="1800" w:hangingChars="500"/>
        <w:rPr>
          <w:rFonts w:hint="eastAsia" w:ascii="仿宋_GB2312" w:eastAsia="仿宋_GB2312"/>
          <w:color w:val="000000" w:themeColor="text1"/>
          <w:sz w:val="36"/>
          <w:szCs w:val="36"/>
          <w:highlight w:val="none"/>
          <w:u w:val="single"/>
          <w:lang w:val="en-US" w:eastAsia="zh-CN"/>
          <w14:textFill>
            <w14:solidFill>
              <w14:schemeClr w14:val="tx1"/>
            </w14:solidFill>
          </w14:textFill>
        </w:rPr>
      </w:pPr>
      <w:r>
        <w:rPr>
          <w:rFonts w:hint="eastAsia" w:ascii="仿宋_GB2312" w:eastAsia="仿宋_GB2312"/>
          <w:color w:val="000000" w:themeColor="text1"/>
          <w:sz w:val="36"/>
          <w:szCs w:val="36"/>
          <w:highlight w:val="none"/>
          <w14:textFill>
            <w14:solidFill>
              <w14:schemeClr w14:val="tx1"/>
            </w14:solidFill>
          </w14:textFill>
        </w:rPr>
        <w:t>项目名称：</w:t>
      </w:r>
      <w:r>
        <w:rPr>
          <w:rFonts w:hint="eastAsia" w:ascii="仿宋_GB2312" w:eastAsia="仿宋_GB2312"/>
          <w:color w:val="000000" w:themeColor="text1"/>
          <w:sz w:val="36"/>
          <w:szCs w:val="36"/>
          <w:highlight w:val="none"/>
          <w:u w:val="single"/>
          <w14:textFill>
            <w14:solidFill>
              <w14:schemeClr w14:val="tx1"/>
            </w14:solidFill>
          </w14:textFill>
        </w:rPr>
        <w:t>光伏新能源基础配套设施项目</w:t>
      </w:r>
    </w:p>
    <w:p w14:paraId="08A102C0">
      <w:pPr>
        <w:adjustRightInd w:val="0"/>
        <w:snapToGrid w:val="0"/>
        <w:spacing w:line="288" w:lineRule="auto"/>
        <w:ind w:left="3240" w:hanging="3168" w:hangingChars="900"/>
        <w:rPr>
          <w:rFonts w:ascii="仿宋_GB2312" w:eastAsia="仿宋_GB2312"/>
          <w:color w:val="000000" w:themeColor="text1"/>
          <w:w w:val="98"/>
          <w:sz w:val="36"/>
          <w:szCs w:val="36"/>
          <w:highlight w:val="none"/>
          <w:u w:val="single"/>
          <w14:textFill>
            <w14:solidFill>
              <w14:schemeClr w14:val="tx1"/>
            </w14:solidFill>
          </w14:textFill>
        </w:rPr>
      </w:pPr>
      <w:r>
        <w:rPr>
          <w:rFonts w:hint="eastAsia" w:ascii="仿宋_GB2312" w:eastAsia="仿宋_GB2312"/>
          <w:color w:val="000000" w:themeColor="text1"/>
          <w:w w:val="98"/>
          <w:sz w:val="36"/>
          <w:szCs w:val="36"/>
          <w:highlight w:val="none"/>
          <w14:textFill>
            <w14:solidFill>
              <w14:schemeClr w14:val="tx1"/>
            </w14:solidFill>
          </w14:textFill>
        </w:rPr>
        <w:t>建设单位（盖章）：</w:t>
      </w:r>
      <w:r>
        <w:rPr>
          <w:rFonts w:hint="eastAsia" w:ascii="仿宋_GB2312" w:eastAsia="仿宋_GB2312"/>
          <w:color w:val="000000" w:themeColor="text1"/>
          <w:w w:val="98"/>
          <w:sz w:val="36"/>
          <w:szCs w:val="36"/>
          <w:highlight w:val="none"/>
          <w:u w:val="single"/>
          <w:lang w:val="en-US" w:eastAsia="zh-CN"/>
          <w14:textFill>
            <w14:solidFill>
              <w14:schemeClr w14:val="tx1"/>
            </w14:solidFill>
          </w14:textFill>
        </w:rPr>
        <w:t>内蒙古同圆新能源科技有限责任公司</w:t>
      </w:r>
    </w:p>
    <w:p w14:paraId="23F33AA5">
      <w:pPr>
        <w:adjustRightInd w:val="0"/>
        <w:snapToGrid w:val="0"/>
        <w:spacing w:line="288" w:lineRule="auto"/>
        <w:rPr>
          <w:rFonts w:hint="default" w:ascii="仿宋_GB2312" w:eastAsia="仿宋_GB2312"/>
          <w:color w:val="000000" w:themeColor="text1"/>
          <w:sz w:val="36"/>
          <w:szCs w:val="36"/>
          <w:highlight w:val="none"/>
          <w:u w:val="single"/>
          <w:lang w:val="en-US" w:eastAsia="zh-CN"/>
          <w14:textFill>
            <w14:solidFill>
              <w14:schemeClr w14:val="tx1"/>
            </w14:solidFill>
          </w14:textFill>
        </w:rPr>
      </w:pPr>
      <w:r>
        <w:rPr>
          <w:rFonts w:hint="eastAsia" w:ascii="仿宋_GB2312" w:eastAsia="仿宋_GB2312"/>
          <w:color w:val="000000" w:themeColor="text1"/>
          <w:sz w:val="36"/>
          <w:szCs w:val="36"/>
          <w:highlight w:val="none"/>
          <w14:textFill>
            <w14:solidFill>
              <w14:schemeClr w14:val="tx1"/>
            </w14:solidFill>
          </w14:textFill>
        </w:rPr>
        <w:t>编制日期：</w:t>
      </w:r>
      <w:r>
        <w:rPr>
          <w:rFonts w:hint="eastAsia" w:ascii="仿宋_GB2312" w:eastAsia="仿宋_GB2312"/>
          <w:color w:val="000000" w:themeColor="text1"/>
          <w:sz w:val="36"/>
          <w:szCs w:val="36"/>
          <w:highlight w:val="none"/>
          <w:u w:val="single"/>
          <w14:textFill>
            <w14:solidFill>
              <w14:schemeClr w14:val="tx1"/>
            </w14:solidFill>
          </w14:textFill>
        </w:rPr>
        <w:t>202</w:t>
      </w:r>
      <w:r>
        <w:rPr>
          <w:rFonts w:hint="eastAsia" w:ascii="仿宋_GB2312" w:eastAsia="仿宋_GB2312"/>
          <w:color w:val="000000" w:themeColor="text1"/>
          <w:sz w:val="36"/>
          <w:szCs w:val="36"/>
          <w:highlight w:val="none"/>
          <w:u w:val="single"/>
          <w:lang w:val="en-US" w:eastAsia="zh-CN"/>
          <w14:textFill>
            <w14:solidFill>
              <w14:schemeClr w14:val="tx1"/>
            </w14:solidFill>
          </w14:textFill>
        </w:rPr>
        <w:t>5</w:t>
      </w:r>
      <w:r>
        <w:rPr>
          <w:rFonts w:hint="eastAsia" w:ascii="仿宋_GB2312" w:eastAsia="仿宋_GB2312"/>
          <w:color w:val="000000" w:themeColor="text1"/>
          <w:sz w:val="36"/>
          <w:szCs w:val="36"/>
          <w:highlight w:val="none"/>
          <w:u w:val="single"/>
          <w14:textFill>
            <w14:solidFill>
              <w14:schemeClr w14:val="tx1"/>
            </w14:solidFill>
          </w14:textFill>
        </w:rPr>
        <w:t>年</w:t>
      </w:r>
      <w:r>
        <w:rPr>
          <w:rFonts w:hint="eastAsia" w:ascii="仿宋_GB2312" w:eastAsia="仿宋_GB2312"/>
          <w:color w:val="000000" w:themeColor="text1"/>
          <w:sz w:val="36"/>
          <w:szCs w:val="36"/>
          <w:highlight w:val="none"/>
          <w:u w:val="single"/>
          <w:lang w:val="en-US" w:eastAsia="zh-CN"/>
          <w14:textFill>
            <w14:solidFill>
              <w14:schemeClr w14:val="tx1"/>
            </w14:solidFill>
          </w14:textFill>
        </w:rPr>
        <w:t>2</w:t>
      </w:r>
      <w:r>
        <w:rPr>
          <w:rFonts w:hint="eastAsia" w:ascii="仿宋_GB2312" w:eastAsia="仿宋_GB2312"/>
          <w:color w:val="000000" w:themeColor="text1"/>
          <w:sz w:val="36"/>
          <w:szCs w:val="36"/>
          <w:highlight w:val="none"/>
          <w:u w:val="single"/>
          <w14:textFill>
            <w14:solidFill>
              <w14:schemeClr w14:val="tx1"/>
            </w14:solidFill>
          </w14:textFill>
        </w:rPr>
        <w:t>月</w:t>
      </w:r>
    </w:p>
    <w:p w14:paraId="451D9CF0">
      <w:pPr>
        <w:adjustRightInd w:val="0"/>
        <w:snapToGrid w:val="0"/>
        <w:spacing w:line="288" w:lineRule="auto"/>
        <w:ind w:firstLine="1040"/>
        <w:rPr>
          <w:rFonts w:ascii="仿宋_GB2312" w:eastAsia="仿宋_GB2312"/>
          <w:color w:val="000000" w:themeColor="text1"/>
          <w:sz w:val="36"/>
          <w:szCs w:val="36"/>
          <w:highlight w:val="none"/>
          <w:u w:val="single"/>
          <w14:textFill>
            <w14:solidFill>
              <w14:schemeClr w14:val="tx1"/>
            </w14:solidFill>
          </w14:textFill>
        </w:rPr>
      </w:pPr>
      <w:bookmarkStart w:id="0" w:name="_Hlk57884087"/>
    </w:p>
    <w:p w14:paraId="1C1A8A97">
      <w:pPr>
        <w:adjustRightInd w:val="0"/>
        <w:snapToGrid w:val="0"/>
        <w:spacing w:line="288" w:lineRule="auto"/>
        <w:ind w:firstLine="1040"/>
        <w:rPr>
          <w:rFonts w:ascii="仿宋_GB2312" w:eastAsia="仿宋_GB2312"/>
          <w:color w:val="000000" w:themeColor="text1"/>
          <w:sz w:val="36"/>
          <w:szCs w:val="36"/>
          <w:highlight w:val="none"/>
          <w14:textFill>
            <w14:solidFill>
              <w14:schemeClr w14:val="tx1"/>
            </w14:solidFill>
          </w14:textFill>
        </w:rPr>
      </w:pPr>
    </w:p>
    <w:p w14:paraId="41438FCF">
      <w:pPr>
        <w:adjustRightInd w:val="0"/>
        <w:snapToGrid w:val="0"/>
        <w:spacing w:line="288" w:lineRule="auto"/>
        <w:ind w:firstLine="1040"/>
        <w:rPr>
          <w:rFonts w:ascii="仿宋_GB2312" w:eastAsia="仿宋_GB2312"/>
          <w:color w:val="000000" w:themeColor="text1"/>
          <w:sz w:val="36"/>
          <w:szCs w:val="36"/>
          <w:highlight w:val="none"/>
          <w14:textFill>
            <w14:solidFill>
              <w14:schemeClr w14:val="tx1"/>
            </w14:solidFill>
          </w14:textFill>
        </w:rPr>
      </w:pPr>
    </w:p>
    <w:p w14:paraId="57F0C094">
      <w:pPr>
        <w:adjustRightInd w:val="0"/>
        <w:snapToGrid w:val="0"/>
        <w:spacing w:line="288" w:lineRule="auto"/>
        <w:ind w:firstLine="1040"/>
        <w:rPr>
          <w:rFonts w:ascii="仿宋_GB2312" w:eastAsia="仿宋_GB2312"/>
          <w:color w:val="000000" w:themeColor="text1"/>
          <w:sz w:val="36"/>
          <w:szCs w:val="36"/>
          <w:highlight w:val="none"/>
          <w14:textFill>
            <w14:solidFill>
              <w14:schemeClr w14:val="tx1"/>
            </w14:solidFill>
          </w14:textFill>
        </w:rPr>
      </w:pPr>
    </w:p>
    <w:bookmarkEnd w:id="0"/>
    <w:p w14:paraId="4A18D970">
      <w:pPr>
        <w:adjustRightInd w:val="0"/>
        <w:snapToGrid w:val="0"/>
        <w:spacing w:line="288" w:lineRule="auto"/>
        <w:ind w:firstLine="1040"/>
        <w:rPr>
          <w:rFonts w:ascii="仿宋_GB2312" w:eastAsia="仿宋_GB2312"/>
          <w:color w:val="000000" w:themeColor="text1"/>
          <w:sz w:val="36"/>
          <w:szCs w:val="36"/>
          <w:highlight w:val="none"/>
          <w14:textFill>
            <w14:solidFill>
              <w14:schemeClr w14:val="tx1"/>
            </w14:solidFill>
          </w14:textFill>
        </w:rPr>
      </w:pPr>
    </w:p>
    <w:p w14:paraId="38E478F9">
      <w:pPr>
        <w:adjustRightInd w:val="0"/>
        <w:snapToGrid w:val="0"/>
        <w:spacing w:line="288" w:lineRule="auto"/>
        <w:jc w:val="center"/>
        <w:rPr>
          <w:rFonts w:ascii="仿宋_GB2312" w:eastAsia="仿宋_GB2312"/>
          <w:color w:val="000000" w:themeColor="text1"/>
          <w:sz w:val="36"/>
          <w:szCs w:val="36"/>
          <w:highlight w:val="none"/>
          <w14:textFill>
            <w14:solidFill>
              <w14:schemeClr w14:val="tx1"/>
            </w14:solidFill>
          </w14:textFill>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r>
        <w:rPr>
          <w:rFonts w:hint="eastAsia" w:ascii="楷体_GB2312" w:eastAsia="楷体_GB2312"/>
          <w:color w:val="000000" w:themeColor="text1"/>
          <w:sz w:val="36"/>
          <w:szCs w:val="36"/>
          <w:highlight w:val="none"/>
          <w14:textFill>
            <w14:solidFill>
              <w14:schemeClr w14:val="tx1"/>
            </w14:solidFill>
          </w14:textFill>
        </w:rPr>
        <w:t>中华人民共和国生态环境部制</w:t>
      </w:r>
    </w:p>
    <w:p w14:paraId="72593F99">
      <w:pPr>
        <w:bidi w:val="0"/>
        <w:rPr>
          <w:rFonts w:hint="eastAsia" w:eastAsia="宋体"/>
          <w:highlight w:val="none"/>
          <w:lang w:eastAsia="zh-CN"/>
        </w:rPr>
      </w:pPr>
    </w:p>
    <w:p w14:paraId="65945393">
      <w:pPr>
        <w:bidi w:val="0"/>
        <w:rPr>
          <w:highlight w:val="none"/>
        </w:rPr>
        <w:sectPr>
          <w:pgSz w:w="11906" w:h="16838"/>
          <w:pgMar w:top="1701" w:right="1531" w:bottom="1701" w:left="1531" w:header="851" w:footer="1077" w:gutter="0"/>
          <w:pgNumType w:start="3"/>
          <w:cols w:space="720" w:num="1"/>
          <w:docGrid w:linePitch="312" w:charSpace="0"/>
        </w:sectPr>
      </w:pPr>
    </w:p>
    <w:p w14:paraId="0946DB11">
      <w:pPr>
        <w:pStyle w:val="26"/>
        <w:jc w:val="center"/>
        <w:outlineLvl w:val="0"/>
        <w:rPr>
          <w:rFonts w:hint="eastAsia"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一、建设项目基本情况</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967"/>
        <w:gridCol w:w="1778"/>
        <w:gridCol w:w="2206"/>
        <w:gridCol w:w="2919"/>
      </w:tblGrid>
      <w:tr w14:paraId="6AEA8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2251" w:type="dxa"/>
            <w:tcMar>
              <w:top w:w="16" w:type="dxa"/>
              <w:left w:w="16" w:type="dxa"/>
              <w:right w:w="16" w:type="dxa"/>
            </w:tcMar>
            <w:vAlign w:val="center"/>
          </w:tcPr>
          <w:p w14:paraId="7E4EC74E">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建设项目名称</w:t>
            </w:r>
          </w:p>
        </w:tc>
        <w:tc>
          <w:tcPr>
            <w:tcW w:w="6619" w:type="dxa"/>
            <w:gridSpan w:val="3"/>
            <w:vAlign w:val="center"/>
          </w:tcPr>
          <w:p w14:paraId="2F40FB04">
            <w:pPr>
              <w:adjustRightInd w:val="0"/>
              <w:snapToGrid w:val="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光伏新能源基础配套设施项目</w:t>
            </w:r>
          </w:p>
        </w:tc>
      </w:tr>
      <w:tr w14:paraId="51760C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2251" w:type="dxa"/>
            <w:tcMar>
              <w:top w:w="16" w:type="dxa"/>
              <w:left w:w="16" w:type="dxa"/>
              <w:right w:w="16" w:type="dxa"/>
            </w:tcMar>
            <w:vAlign w:val="center"/>
          </w:tcPr>
          <w:p w14:paraId="439808FE">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项目代码</w:t>
            </w:r>
          </w:p>
        </w:tc>
        <w:tc>
          <w:tcPr>
            <w:tcW w:w="6619" w:type="dxa"/>
            <w:gridSpan w:val="3"/>
            <w:vAlign w:val="center"/>
          </w:tcPr>
          <w:p w14:paraId="3A9DC407">
            <w:pPr>
              <w:widowControl/>
              <w:jc w:val="center"/>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2410-150625-04-01-173666</w:t>
            </w:r>
          </w:p>
        </w:tc>
      </w:tr>
      <w:tr w14:paraId="01C800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2251" w:type="dxa"/>
            <w:tcMar>
              <w:top w:w="16" w:type="dxa"/>
              <w:left w:w="16" w:type="dxa"/>
              <w:right w:w="16" w:type="dxa"/>
            </w:tcMar>
            <w:vAlign w:val="center"/>
          </w:tcPr>
          <w:p w14:paraId="38CB2B33">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建设单位联系人</w:t>
            </w:r>
          </w:p>
        </w:tc>
        <w:tc>
          <w:tcPr>
            <w:tcW w:w="1768" w:type="dxa"/>
            <w:vAlign w:val="center"/>
          </w:tcPr>
          <w:p w14:paraId="6545180B">
            <w:pPr>
              <w:adjustRightInd w:val="0"/>
              <w:snapToGrid w:val="0"/>
              <w:jc w:val="center"/>
              <w:rPr>
                <w:rFonts w:hint="eastAsia"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张玉海</w:t>
            </w:r>
          </w:p>
        </w:tc>
        <w:tc>
          <w:tcPr>
            <w:tcW w:w="2212" w:type="dxa"/>
            <w:vAlign w:val="center"/>
          </w:tcPr>
          <w:p w14:paraId="26B85A01">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联系方式</w:t>
            </w:r>
          </w:p>
        </w:tc>
        <w:tc>
          <w:tcPr>
            <w:tcW w:w="2639" w:type="dxa"/>
            <w:vAlign w:val="center"/>
          </w:tcPr>
          <w:p w14:paraId="0961A372">
            <w:pPr>
              <w:adjustRightInd w:val="0"/>
              <w:snapToGrid w:val="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18647279666</w:t>
            </w:r>
          </w:p>
        </w:tc>
      </w:tr>
      <w:tr w14:paraId="3E841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2251" w:type="dxa"/>
            <w:tcMar>
              <w:top w:w="16" w:type="dxa"/>
              <w:left w:w="16" w:type="dxa"/>
              <w:right w:w="16" w:type="dxa"/>
            </w:tcMar>
            <w:vAlign w:val="center"/>
          </w:tcPr>
          <w:p w14:paraId="70B65F3D">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建设地点</w:t>
            </w:r>
          </w:p>
        </w:tc>
        <w:tc>
          <w:tcPr>
            <w:tcW w:w="6619" w:type="dxa"/>
            <w:gridSpan w:val="3"/>
            <w:vAlign w:val="center"/>
          </w:tcPr>
          <w:p w14:paraId="1F709EAD">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u w:val="none"/>
                <w14:textFill>
                  <w14:solidFill>
                    <w14:schemeClr w14:val="tx1"/>
                  </w14:solidFill>
                </w14:textFill>
              </w:rPr>
              <w:t>内蒙古自治区鄂尔多斯市</w:t>
            </w:r>
            <w:r>
              <w:rPr>
                <w:rFonts w:hint="eastAsia"/>
                <w:color w:val="000000" w:themeColor="text1"/>
                <w:sz w:val="24"/>
                <w:highlight w:val="none"/>
                <w:u w:val="none"/>
                <w14:textFill>
                  <w14:solidFill>
                    <w14:schemeClr w14:val="tx1"/>
                  </w14:solidFill>
                </w14:textFill>
              </w:rPr>
              <w:t>杭锦</w:t>
            </w:r>
            <w:r>
              <w:rPr>
                <w:color w:val="000000" w:themeColor="text1"/>
                <w:sz w:val="24"/>
                <w:highlight w:val="none"/>
                <w:u w:val="none"/>
                <w14:textFill>
                  <w14:solidFill>
                    <w14:schemeClr w14:val="tx1"/>
                  </w14:solidFill>
                </w14:textFill>
              </w:rPr>
              <w:t>旗</w:t>
            </w:r>
            <w:r>
              <w:rPr>
                <w:rFonts w:hint="eastAsia"/>
                <w:color w:val="000000" w:themeColor="text1"/>
                <w:sz w:val="24"/>
                <w:highlight w:val="none"/>
                <w:u w:val="none"/>
                <w14:textFill>
                  <w14:solidFill>
                    <w14:schemeClr w14:val="tx1"/>
                  </w14:solidFill>
                </w14:textFill>
              </w:rPr>
              <w:t>锡尼镇</w:t>
            </w:r>
          </w:p>
        </w:tc>
      </w:tr>
      <w:tr w14:paraId="6465F4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2251" w:type="dxa"/>
            <w:tcMar>
              <w:top w:w="16" w:type="dxa"/>
              <w:left w:w="16" w:type="dxa"/>
              <w:right w:w="16" w:type="dxa"/>
            </w:tcMar>
            <w:vAlign w:val="center"/>
          </w:tcPr>
          <w:p w14:paraId="6BC51ADF">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地理坐标</w:t>
            </w:r>
          </w:p>
        </w:tc>
        <w:tc>
          <w:tcPr>
            <w:tcW w:w="6619" w:type="dxa"/>
            <w:gridSpan w:val="3"/>
            <w:vAlign w:val="center"/>
          </w:tcPr>
          <w:p w14:paraId="03A4CD55">
            <w:pPr>
              <w:pStyle w:val="75"/>
              <w:spacing w:line="240" w:lineRule="auto"/>
              <w:ind w:firstLine="0" w:firstLineChars="0"/>
              <w:jc w:val="center"/>
              <w:rPr>
                <w:rFonts w:ascii="Times New Roman" w:hAnsi="Times New Roman"/>
                <w:color w:val="000000" w:themeColor="text1"/>
                <w:sz w:val="24"/>
                <w:szCs w:val="24"/>
                <w:highlight w:val="none"/>
                <w14:textFill>
                  <w14:solidFill>
                    <w14:schemeClr w14:val="tx1"/>
                  </w14:solidFill>
                </w14:textFill>
              </w:rPr>
            </w:pPr>
            <w:r>
              <w:rPr>
                <w:rFonts w:hint="eastAsia" w:ascii="Times New Roman" w:hAnsi="Times New Roman"/>
                <w:color w:val="000000" w:themeColor="text1"/>
                <w:sz w:val="24"/>
                <w:szCs w:val="24"/>
                <w:highlight w:val="none"/>
                <w14:textFill>
                  <w14:solidFill>
                    <w14:schemeClr w14:val="tx1"/>
                  </w14:solidFill>
                </w14:textFill>
              </w:rPr>
              <w:t>（</w:t>
            </w:r>
            <w:r>
              <w:rPr>
                <w:rFonts w:hint="eastAsia"/>
                <w:color w:val="000000" w:themeColor="text1"/>
                <w:sz w:val="24"/>
                <w:highlight w:val="none"/>
                <w:u w:val="single"/>
                <w14:textFill>
                  <w14:solidFill>
                    <w14:schemeClr w14:val="tx1"/>
                  </w14:solidFill>
                </w14:textFill>
              </w:rPr>
              <w:t>108</w:t>
            </w:r>
            <w:r>
              <w:rPr>
                <w:rFonts w:hint="eastAsia" w:ascii="Times New Roman" w:hAnsi="Times New Roman"/>
                <w:color w:val="000000" w:themeColor="text1"/>
                <w:sz w:val="24"/>
                <w:szCs w:val="24"/>
                <w:highlight w:val="none"/>
                <w14:textFill>
                  <w14:solidFill>
                    <w14:schemeClr w14:val="tx1"/>
                  </w14:solidFill>
                </w14:textFill>
              </w:rPr>
              <w:t>度</w:t>
            </w:r>
            <w:r>
              <w:rPr>
                <w:rFonts w:hint="eastAsia" w:ascii="Times New Roman" w:hAnsi="Times New Roman"/>
                <w:color w:val="000000" w:themeColor="text1"/>
                <w:sz w:val="24"/>
                <w:szCs w:val="24"/>
                <w:highlight w:val="none"/>
                <w:u w:val="single"/>
                <w14:textFill>
                  <w14:solidFill>
                    <w14:schemeClr w14:val="tx1"/>
                  </w14:solidFill>
                </w14:textFill>
              </w:rPr>
              <w:t>43</w:t>
            </w:r>
            <w:r>
              <w:rPr>
                <w:rFonts w:hint="eastAsia" w:ascii="Times New Roman" w:hAnsi="Times New Roman"/>
                <w:color w:val="000000" w:themeColor="text1"/>
                <w:sz w:val="24"/>
                <w:szCs w:val="24"/>
                <w:highlight w:val="none"/>
                <w14:textFill>
                  <w14:solidFill>
                    <w14:schemeClr w14:val="tx1"/>
                  </w14:solidFill>
                </w14:textFill>
              </w:rPr>
              <w:t>分</w:t>
            </w:r>
            <w:r>
              <w:rPr>
                <w:rFonts w:hint="eastAsia" w:ascii="Times New Roman" w:hAnsi="Times New Roman"/>
                <w:color w:val="000000" w:themeColor="text1"/>
                <w:sz w:val="24"/>
                <w:szCs w:val="24"/>
                <w:highlight w:val="none"/>
                <w:u w:val="single"/>
                <w14:textFill>
                  <w14:solidFill>
                    <w14:schemeClr w14:val="tx1"/>
                  </w14:solidFill>
                </w14:textFill>
              </w:rPr>
              <w:t>49.534</w:t>
            </w:r>
            <w:r>
              <w:rPr>
                <w:rFonts w:hint="eastAsia" w:ascii="Times New Roman" w:hAnsi="Times New Roman"/>
                <w:color w:val="000000" w:themeColor="text1"/>
                <w:sz w:val="24"/>
                <w:szCs w:val="24"/>
                <w:highlight w:val="none"/>
                <w14:textFill>
                  <w14:solidFill>
                    <w14:schemeClr w14:val="tx1"/>
                  </w14:solidFill>
                </w14:textFill>
              </w:rPr>
              <w:t>秒，</w:t>
            </w:r>
            <w:r>
              <w:rPr>
                <w:rFonts w:hint="eastAsia" w:ascii="Times New Roman" w:hAnsi="Times New Roman"/>
                <w:color w:val="000000" w:themeColor="text1"/>
                <w:sz w:val="24"/>
                <w:szCs w:val="24"/>
                <w:highlight w:val="none"/>
                <w:u w:val="single"/>
                <w14:textFill>
                  <w14:solidFill>
                    <w14:schemeClr w14:val="tx1"/>
                  </w14:solidFill>
                </w14:textFill>
              </w:rPr>
              <w:t>39</w:t>
            </w:r>
            <w:r>
              <w:rPr>
                <w:rFonts w:hint="eastAsia" w:ascii="Times New Roman" w:hAnsi="Times New Roman"/>
                <w:color w:val="000000" w:themeColor="text1"/>
                <w:sz w:val="24"/>
                <w:szCs w:val="24"/>
                <w:highlight w:val="none"/>
                <w14:textFill>
                  <w14:solidFill>
                    <w14:schemeClr w14:val="tx1"/>
                  </w14:solidFill>
                </w14:textFill>
              </w:rPr>
              <w:t>度</w:t>
            </w:r>
            <w:r>
              <w:rPr>
                <w:rFonts w:hint="eastAsia" w:ascii="Times New Roman" w:hAnsi="Times New Roman"/>
                <w:color w:val="000000" w:themeColor="text1"/>
                <w:sz w:val="24"/>
                <w:szCs w:val="24"/>
                <w:highlight w:val="none"/>
                <w:u w:val="single"/>
                <w14:textFill>
                  <w14:solidFill>
                    <w14:schemeClr w14:val="tx1"/>
                  </w14:solidFill>
                </w14:textFill>
              </w:rPr>
              <w:t>47</w:t>
            </w:r>
            <w:r>
              <w:rPr>
                <w:rFonts w:hint="eastAsia" w:ascii="Times New Roman" w:hAnsi="Times New Roman"/>
                <w:color w:val="000000" w:themeColor="text1"/>
                <w:sz w:val="24"/>
                <w:szCs w:val="24"/>
                <w:highlight w:val="none"/>
                <w14:textFill>
                  <w14:solidFill>
                    <w14:schemeClr w14:val="tx1"/>
                  </w14:solidFill>
                </w14:textFill>
              </w:rPr>
              <w:t>分</w:t>
            </w:r>
            <w:r>
              <w:rPr>
                <w:rFonts w:hint="eastAsia" w:ascii="Times New Roman" w:hAnsi="Times New Roman"/>
                <w:color w:val="000000" w:themeColor="text1"/>
                <w:sz w:val="24"/>
                <w:szCs w:val="24"/>
                <w:highlight w:val="none"/>
                <w:u w:val="single"/>
                <w14:textFill>
                  <w14:solidFill>
                    <w14:schemeClr w14:val="tx1"/>
                  </w14:solidFill>
                </w14:textFill>
              </w:rPr>
              <w:t>25.641</w:t>
            </w:r>
            <w:r>
              <w:rPr>
                <w:rFonts w:hint="eastAsia" w:ascii="Times New Roman" w:hAnsi="Times New Roman"/>
                <w:color w:val="000000" w:themeColor="text1"/>
                <w:sz w:val="24"/>
                <w:szCs w:val="24"/>
                <w:highlight w:val="none"/>
                <w14:textFill>
                  <w14:solidFill>
                    <w14:schemeClr w14:val="tx1"/>
                  </w14:solidFill>
                </w14:textFill>
              </w:rPr>
              <w:t>秒）</w:t>
            </w:r>
          </w:p>
        </w:tc>
      </w:tr>
      <w:tr w14:paraId="02A0AB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2251" w:type="dxa"/>
            <w:tcMar>
              <w:top w:w="16" w:type="dxa"/>
              <w:left w:w="16" w:type="dxa"/>
              <w:right w:w="16" w:type="dxa"/>
            </w:tcMar>
            <w:vAlign w:val="center"/>
          </w:tcPr>
          <w:p w14:paraId="3654071C">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国民经济</w:t>
            </w:r>
          </w:p>
          <w:p w14:paraId="50A18494">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行业类别</w:t>
            </w:r>
          </w:p>
        </w:tc>
        <w:tc>
          <w:tcPr>
            <w:tcW w:w="1768" w:type="dxa"/>
            <w:vAlign w:val="center"/>
          </w:tcPr>
          <w:p w14:paraId="5F67FF93">
            <w:pPr>
              <w:adjustRightInd w:val="0"/>
              <w:snapToGrid w:val="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C</w:t>
            </w:r>
            <w:r>
              <w:rPr>
                <w:color w:val="000000" w:themeColor="text1"/>
                <w:sz w:val="24"/>
                <w:highlight w:val="none"/>
                <w14:textFill>
                  <w14:solidFill>
                    <w14:schemeClr w14:val="tx1"/>
                  </w14:solidFill>
                </w14:textFill>
              </w:rPr>
              <w:t>3022</w:t>
            </w:r>
            <w:r>
              <w:rPr>
                <w:rFonts w:hint="eastAsia"/>
                <w:color w:val="000000" w:themeColor="text1"/>
                <w:sz w:val="24"/>
                <w:highlight w:val="none"/>
                <w14:textFill>
                  <w14:solidFill>
                    <w14:schemeClr w14:val="tx1"/>
                  </w14:solidFill>
                </w14:textFill>
              </w:rPr>
              <w:t>砼构造件制造</w:t>
            </w:r>
          </w:p>
        </w:tc>
        <w:tc>
          <w:tcPr>
            <w:tcW w:w="2212" w:type="dxa"/>
            <w:vAlign w:val="center"/>
          </w:tcPr>
          <w:p w14:paraId="33C49421">
            <w:pPr>
              <w:adjustRightInd w:val="0"/>
              <w:snapToGrid w:val="0"/>
              <w:jc w:val="center"/>
              <w:rPr>
                <w:color w:val="000000" w:themeColor="text1"/>
                <w:sz w:val="24"/>
                <w:highlight w:val="none"/>
                <w14:textFill>
                  <w14:solidFill>
                    <w14:schemeClr w14:val="tx1"/>
                  </w14:solidFill>
                </w14:textFill>
              </w:rPr>
            </w:pPr>
            <w:bookmarkStart w:id="1" w:name="_Hlk49843745"/>
            <w:r>
              <w:rPr>
                <w:color w:val="000000" w:themeColor="text1"/>
                <w:sz w:val="24"/>
                <w:highlight w:val="none"/>
                <w14:textFill>
                  <w14:solidFill>
                    <w14:schemeClr w14:val="tx1"/>
                  </w14:solidFill>
                </w14:textFill>
              </w:rPr>
              <w:t>建设项目</w:t>
            </w:r>
          </w:p>
          <w:p w14:paraId="177374C8">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行业类别</w:t>
            </w:r>
            <w:bookmarkEnd w:id="1"/>
          </w:p>
        </w:tc>
        <w:tc>
          <w:tcPr>
            <w:tcW w:w="2639" w:type="dxa"/>
            <w:vAlign w:val="center"/>
          </w:tcPr>
          <w:p w14:paraId="4353D860">
            <w:pPr>
              <w:adjustRightInd w:val="0"/>
              <w:snapToGrid w:val="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二十七、非金属矿物</w:t>
            </w:r>
            <w:r>
              <w:rPr>
                <w:color w:val="000000" w:themeColor="text1"/>
                <w:sz w:val="24"/>
                <w:highlight w:val="none"/>
                <w14:textFill>
                  <w14:solidFill>
                    <w14:schemeClr w14:val="tx1"/>
                  </w14:solidFill>
                </w14:textFill>
              </w:rPr>
              <w:t>制品</w:t>
            </w:r>
            <w:r>
              <w:rPr>
                <w:rFonts w:hint="eastAsia"/>
                <w:color w:val="000000" w:themeColor="text1"/>
                <w:sz w:val="24"/>
                <w:highlight w:val="none"/>
                <w14:textFill>
                  <w14:solidFill>
                    <w14:schemeClr w14:val="tx1"/>
                  </w14:solidFill>
                </w14:textFill>
              </w:rPr>
              <w:t>业</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55</w:t>
            </w:r>
            <w:r>
              <w:rPr>
                <w:rFonts w:hint="eastAsia"/>
                <w:color w:val="000000" w:themeColor="text1"/>
                <w:sz w:val="24"/>
                <w:highlight w:val="none"/>
                <w:lang w:val="en-US" w:eastAsia="zh-CN"/>
                <w14:textFill>
                  <w14:solidFill>
                    <w14:schemeClr w14:val="tx1"/>
                  </w14:solidFill>
                </w14:textFill>
              </w:rPr>
              <w:t>.</w:t>
            </w:r>
            <w:r>
              <w:rPr>
                <w:rFonts w:hint="eastAsia"/>
                <w:color w:val="000000" w:themeColor="text1"/>
                <w:sz w:val="24"/>
                <w:highlight w:val="none"/>
                <w14:textFill>
                  <w14:solidFill>
                    <w14:schemeClr w14:val="tx1"/>
                  </w14:solidFill>
                </w14:textFill>
              </w:rPr>
              <w:t>石膏、</w:t>
            </w:r>
            <w:r>
              <w:rPr>
                <w:color w:val="000000" w:themeColor="text1"/>
                <w:sz w:val="24"/>
                <w:highlight w:val="none"/>
                <w14:textFill>
                  <w14:solidFill>
                    <w14:schemeClr w14:val="tx1"/>
                  </w14:solidFill>
                </w14:textFill>
              </w:rPr>
              <w:t>水泥制品及类似制品制造</w:t>
            </w:r>
            <w:r>
              <w:rPr>
                <w:rFonts w:hint="eastAsia"/>
                <w:color w:val="000000" w:themeColor="text1"/>
                <w:sz w:val="24"/>
                <w:highlight w:val="none"/>
                <w:lang w:val="en-US" w:eastAsia="zh-CN"/>
                <w14:textFill>
                  <w14:solidFill>
                    <w14:schemeClr w14:val="tx1"/>
                  </w14:solidFill>
                </w14:textFill>
              </w:rPr>
              <w:t>302</w:t>
            </w:r>
            <w:r>
              <w:rPr>
                <w:rFonts w:hint="eastAsia"/>
                <w:color w:val="000000" w:themeColor="text1"/>
                <w:sz w:val="24"/>
                <w:highlight w:val="none"/>
                <w:lang w:eastAsia="zh-CN"/>
                <w14:textFill>
                  <w14:solidFill>
                    <w14:schemeClr w14:val="tx1"/>
                  </w14:solidFill>
                </w14:textFill>
              </w:rPr>
              <w:t>中“</w:t>
            </w:r>
            <w:r>
              <w:rPr>
                <w:rFonts w:hint="eastAsia"/>
                <w:color w:val="000000" w:themeColor="text1"/>
                <w:sz w:val="24"/>
                <w:highlight w:val="none"/>
                <w14:textFill>
                  <w14:solidFill>
                    <w14:schemeClr w14:val="tx1"/>
                  </w14:solidFill>
                </w14:textFill>
              </w:rPr>
              <w:t xml:space="preserve"> 砼结构构件</w:t>
            </w:r>
            <w:r>
              <w:rPr>
                <w:color w:val="000000" w:themeColor="text1"/>
                <w:sz w:val="24"/>
                <w:highlight w:val="none"/>
                <w14:textFill>
                  <w14:solidFill>
                    <w14:schemeClr w14:val="tx1"/>
                  </w14:solidFill>
                </w14:textFill>
              </w:rPr>
              <w:t>制造；水泥制品制造</w:t>
            </w:r>
            <w:r>
              <w:rPr>
                <w:rFonts w:hint="eastAsia"/>
                <w:color w:val="000000" w:themeColor="text1"/>
                <w:sz w:val="24"/>
                <w:highlight w:val="none"/>
                <w:lang w:eastAsia="zh-CN"/>
                <w14:textFill>
                  <w14:solidFill>
                    <w14:schemeClr w14:val="tx1"/>
                  </w14:solidFill>
                </w14:textFill>
              </w:rPr>
              <w:t>”</w:t>
            </w:r>
          </w:p>
        </w:tc>
      </w:tr>
      <w:tr w14:paraId="1B4307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trPr>
        <w:tc>
          <w:tcPr>
            <w:tcW w:w="2251" w:type="dxa"/>
            <w:tcMar>
              <w:top w:w="16" w:type="dxa"/>
              <w:left w:w="16" w:type="dxa"/>
              <w:right w:w="16" w:type="dxa"/>
            </w:tcMar>
            <w:vAlign w:val="center"/>
          </w:tcPr>
          <w:p w14:paraId="68EB918A">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建设性质</w:t>
            </w:r>
          </w:p>
        </w:tc>
        <w:tc>
          <w:tcPr>
            <w:tcW w:w="1768" w:type="dxa"/>
            <w:vAlign w:val="center"/>
          </w:tcPr>
          <w:p w14:paraId="303B5292">
            <w:pPr>
              <w:jc w:val="left"/>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新建（迁建）</w:t>
            </w:r>
          </w:p>
          <w:p w14:paraId="6EDB8A0C">
            <w:pPr>
              <w:jc w:val="left"/>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改建</w:t>
            </w:r>
          </w:p>
          <w:p w14:paraId="774BD47C">
            <w:pPr>
              <w:jc w:val="left"/>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扩建</w:t>
            </w:r>
          </w:p>
          <w:p w14:paraId="33238911">
            <w:pPr>
              <w:jc w:val="left"/>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技术改造</w:t>
            </w:r>
          </w:p>
        </w:tc>
        <w:tc>
          <w:tcPr>
            <w:tcW w:w="2212" w:type="dxa"/>
            <w:vAlign w:val="center"/>
          </w:tcPr>
          <w:p w14:paraId="754E19EE">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建设项目</w:t>
            </w:r>
          </w:p>
          <w:p w14:paraId="5045A79C">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申报情形</w:t>
            </w:r>
          </w:p>
        </w:tc>
        <w:tc>
          <w:tcPr>
            <w:tcW w:w="2639" w:type="dxa"/>
            <w:vAlign w:val="center"/>
          </w:tcPr>
          <w:p w14:paraId="1B3BF818">
            <w:pPr>
              <w:jc w:val="left"/>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首次申报项目</w:t>
            </w:r>
          </w:p>
          <w:p w14:paraId="66A98430">
            <w:pPr>
              <w:jc w:val="left"/>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不予批准后再次申报项目</w:t>
            </w:r>
          </w:p>
          <w:p w14:paraId="10410C9E">
            <w:pPr>
              <w:jc w:val="left"/>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超五年重新审核项目</w:t>
            </w:r>
          </w:p>
          <w:p w14:paraId="2A8DC172">
            <w:pPr>
              <w:jc w:val="left"/>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重大变动重新报批项目</w:t>
            </w:r>
          </w:p>
        </w:tc>
      </w:tr>
      <w:tr w14:paraId="672F26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2251" w:type="dxa"/>
            <w:tcMar>
              <w:top w:w="16" w:type="dxa"/>
              <w:left w:w="16" w:type="dxa"/>
              <w:right w:w="16" w:type="dxa"/>
            </w:tcMar>
            <w:vAlign w:val="center"/>
          </w:tcPr>
          <w:p w14:paraId="75767414">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项目审批</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核准/</w:t>
            </w:r>
          </w:p>
          <w:p w14:paraId="5C500858">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备案</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部门（选填）</w:t>
            </w:r>
          </w:p>
        </w:tc>
        <w:tc>
          <w:tcPr>
            <w:tcW w:w="1768" w:type="dxa"/>
            <w:vAlign w:val="center"/>
          </w:tcPr>
          <w:p w14:paraId="055CF329">
            <w:pPr>
              <w:adjustRightInd w:val="0"/>
              <w:snapToGrid w:val="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杭锦旗发展和改革委员会</w:t>
            </w:r>
          </w:p>
        </w:tc>
        <w:tc>
          <w:tcPr>
            <w:tcW w:w="2212" w:type="dxa"/>
            <w:vAlign w:val="center"/>
          </w:tcPr>
          <w:p w14:paraId="59E9218B">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项目审批</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核准/</w:t>
            </w:r>
          </w:p>
          <w:p w14:paraId="5FB8AD6E">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备案</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文号（选填）</w:t>
            </w:r>
          </w:p>
        </w:tc>
        <w:tc>
          <w:tcPr>
            <w:tcW w:w="2639" w:type="dxa"/>
            <w:vAlign w:val="center"/>
          </w:tcPr>
          <w:p w14:paraId="4AE2504B">
            <w:pPr>
              <w:adjustRightInd w:val="0"/>
              <w:snapToGrid w:val="0"/>
              <w:jc w:val="center"/>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无</w:t>
            </w:r>
          </w:p>
        </w:tc>
      </w:tr>
      <w:tr w14:paraId="57B26F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2251" w:type="dxa"/>
            <w:tcMar>
              <w:top w:w="16" w:type="dxa"/>
              <w:left w:w="16" w:type="dxa"/>
              <w:right w:w="16" w:type="dxa"/>
            </w:tcMar>
            <w:vAlign w:val="center"/>
          </w:tcPr>
          <w:p w14:paraId="16DE89F6">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总投资（万元）</w:t>
            </w:r>
          </w:p>
        </w:tc>
        <w:tc>
          <w:tcPr>
            <w:tcW w:w="1768" w:type="dxa"/>
            <w:vAlign w:val="center"/>
          </w:tcPr>
          <w:p w14:paraId="725F583D">
            <w:pPr>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5000</w:t>
            </w:r>
          </w:p>
        </w:tc>
        <w:tc>
          <w:tcPr>
            <w:tcW w:w="2212" w:type="dxa"/>
            <w:tcMar>
              <w:top w:w="16" w:type="dxa"/>
              <w:left w:w="16" w:type="dxa"/>
              <w:right w:w="16" w:type="dxa"/>
            </w:tcMar>
            <w:vAlign w:val="center"/>
          </w:tcPr>
          <w:p w14:paraId="4EC90D00">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环保投资（万元）</w:t>
            </w:r>
          </w:p>
        </w:tc>
        <w:tc>
          <w:tcPr>
            <w:tcW w:w="2639" w:type="dxa"/>
            <w:vAlign w:val="center"/>
          </w:tcPr>
          <w:p w14:paraId="1204A81F">
            <w:pPr>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407</w:t>
            </w:r>
          </w:p>
        </w:tc>
      </w:tr>
      <w:tr w14:paraId="4E4C3B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2251" w:type="dxa"/>
            <w:tcMar>
              <w:top w:w="16" w:type="dxa"/>
              <w:left w:w="16" w:type="dxa"/>
              <w:right w:w="16" w:type="dxa"/>
            </w:tcMar>
            <w:vAlign w:val="center"/>
          </w:tcPr>
          <w:p w14:paraId="735B0BA1">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环保投资占比（%）</w:t>
            </w:r>
          </w:p>
        </w:tc>
        <w:tc>
          <w:tcPr>
            <w:tcW w:w="1768" w:type="dxa"/>
            <w:vAlign w:val="center"/>
          </w:tcPr>
          <w:p w14:paraId="06DA0B64">
            <w:pPr>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8.14</w:t>
            </w:r>
          </w:p>
        </w:tc>
        <w:tc>
          <w:tcPr>
            <w:tcW w:w="2212" w:type="dxa"/>
            <w:tcMar>
              <w:top w:w="16" w:type="dxa"/>
              <w:left w:w="16" w:type="dxa"/>
              <w:right w:w="16" w:type="dxa"/>
            </w:tcMar>
            <w:vAlign w:val="center"/>
          </w:tcPr>
          <w:p w14:paraId="75F39E04">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施工工期</w:t>
            </w:r>
          </w:p>
        </w:tc>
        <w:tc>
          <w:tcPr>
            <w:tcW w:w="2639" w:type="dxa"/>
            <w:vAlign w:val="center"/>
          </w:tcPr>
          <w:p w14:paraId="1E02037B">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5个月</w:t>
            </w:r>
          </w:p>
        </w:tc>
      </w:tr>
      <w:tr w14:paraId="270B8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2251" w:type="dxa"/>
            <w:tcMar>
              <w:top w:w="16" w:type="dxa"/>
              <w:left w:w="16" w:type="dxa"/>
              <w:right w:w="16" w:type="dxa"/>
            </w:tcMar>
            <w:vAlign w:val="center"/>
          </w:tcPr>
          <w:p w14:paraId="5D8A27F2">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是否开工建设</w:t>
            </w:r>
          </w:p>
        </w:tc>
        <w:tc>
          <w:tcPr>
            <w:tcW w:w="1768" w:type="dxa"/>
            <w:vAlign w:val="center"/>
          </w:tcPr>
          <w:p w14:paraId="182B4802">
            <w:pPr>
              <w:adjustRightInd w:val="0"/>
              <w:snapToGrid w:val="0"/>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否</w:t>
            </w:r>
          </w:p>
          <w:p w14:paraId="4F762714">
            <w:pPr>
              <w:adjustRightInd w:val="0"/>
              <w:snapToGrid w:val="0"/>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是：</w:t>
            </w:r>
          </w:p>
        </w:tc>
        <w:tc>
          <w:tcPr>
            <w:tcW w:w="2212" w:type="dxa"/>
            <w:tcMar>
              <w:top w:w="16" w:type="dxa"/>
              <w:left w:w="16" w:type="dxa"/>
              <w:right w:w="16" w:type="dxa"/>
            </w:tcMar>
            <w:vAlign w:val="center"/>
          </w:tcPr>
          <w:p w14:paraId="01F44D59">
            <w:pPr>
              <w:adjustRightInd w:val="0"/>
              <w:snapToGrid w:val="0"/>
              <w:jc w:val="center"/>
              <w:rPr>
                <w:color w:val="000000" w:themeColor="text1"/>
                <w:sz w:val="24"/>
                <w:highlight w:val="none"/>
                <w14:textFill>
                  <w14:solidFill>
                    <w14:schemeClr w14:val="tx1"/>
                  </w14:solidFill>
                </w14:textFill>
              </w:rPr>
            </w:pPr>
            <w:r>
              <w:rPr>
                <w:color w:val="000000" w:themeColor="text1"/>
                <w:spacing w:val="-6"/>
                <w:sz w:val="24"/>
                <w:highlight w:val="none"/>
                <w14:textFill>
                  <w14:solidFill>
                    <w14:schemeClr w14:val="tx1"/>
                  </w14:solidFill>
                </w14:textFill>
              </w:rPr>
              <w:t>用地面积（m</w:t>
            </w:r>
            <w:r>
              <w:rPr>
                <w:color w:val="000000" w:themeColor="text1"/>
                <w:spacing w:val="-6"/>
                <w:sz w:val="24"/>
                <w:highlight w:val="none"/>
                <w:vertAlign w:val="superscript"/>
                <w14:textFill>
                  <w14:solidFill>
                    <w14:schemeClr w14:val="tx1"/>
                  </w14:solidFill>
                </w14:textFill>
              </w:rPr>
              <w:t>2</w:t>
            </w:r>
            <w:r>
              <w:rPr>
                <w:color w:val="000000" w:themeColor="text1"/>
                <w:spacing w:val="-6"/>
                <w:sz w:val="24"/>
                <w:highlight w:val="none"/>
                <w14:textFill>
                  <w14:solidFill>
                    <w14:schemeClr w14:val="tx1"/>
                  </w14:solidFill>
                </w14:textFill>
              </w:rPr>
              <w:t>）</w:t>
            </w:r>
          </w:p>
        </w:tc>
        <w:tc>
          <w:tcPr>
            <w:tcW w:w="2639" w:type="dxa"/>
            <w:vAlign w:val="center"/>
          </w:tcPr>
          <w:p w14:paraId="1447F194">
            <w:pPr>
              <w:adjustRightInd w:val="0"/>
              <w:snapToGrid w:val="0"/>
              <w:jc w:val="center"/>
              <w:rPr>
                <w:color w:val="000000" w:themeColor="text1"/>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30981m</w:t>
            </w:r>
            <w:r>
              <w:rPr>
                <w:color w:val="000000" w:themeColor="text1"/>
                <w:kern w:val="0"/>
                <w:sz w:val="24"/>
                <w:highlight w:val="none"/>
                <w:vertAlign w:val="superscript"/>
                <w14:textFill>
                  <w14:solidFill>
                    <w14:schemeClr w14:val="tx1"/>
                  </w14:solidFill>
                </w14:textFill>
              </w:rPr>
              <w:t>2</w:t>
            </w:r>
          </w:p>
        </w:tc>
      </w:tr>
      <w:tr w14:paraId="70517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2251" w:type="dxa"/>
            <w:vAlign w:val="center"/>
          </w:tcPr>
          <w:p w14:paraId="0011BBDD">
            <w:pPr>
              <w:autoSpaceDE w:val="0"/>
              <w:autoSpaceDN w:val="0"/>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专项评价设置情况</w:t>
            </w:r>
          </w:p>
        </w:tc>
        <w:tc>
          <w:tcPr>
            <w:tcW w:w="6619" w:type="dxa"/>
            <w:gridSpan w:val="3"/>
            <w:vAlign w:val="center"/>
          </w:tcPr>
          <w:p w14:paraId="4360B6CC">
            <w:pPr>
              <w:autoSpaceDE w:val="0"/>
              <w:autoSpaceDN w:val="0"/>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无</w:t>
            </w:r>
          </w:p>
        </w:tc>
      </w:tr>
      <w:tr w14:paraId="464546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251" w:type="dxa"/>
            <w:vAlign w:val="center"/>
          </w:tcPr>
          <w:p w14:paraId="0103E72A">
            <w:pPr>
              <w:autoSpaceDE w:val="0"/>
              <w:autoSpaceDN w:val="0"/>
              <w:adjustRightInd w:val="0"/>
              <w:snapToGrid w:val="0"/>
              <w:jc w:val="center"/>
              <w:rPr>
                <w:color w:val="000000" w:themeColor="text1"/>
                <w:kern w:val="0"/>
                <w:sz w:val="24"/>
                <w:highlight w:val="none"/>
                <w14:textFill>
                  <w14:solidFill>
                    <w14:schemeClr w14:val="tx1"/>
                  </w14:solidFill>
                </w14:textFill>
              </w:rPr>
            </w:pPr>
            <w:r>
              <w:rPr>
                <w:color w:val="000000" w:themeColor="text1"/>
                <w:sz w:val="24"/>
                <w:highlight w:val="none"/>
                <w14:textFill>
                  <w14:solidFill>
                    <w14:schemeClr w14:val="tx1"/>
                  </w14:solidFill>
                </w14:textFill>
              </w:rPr>
              <w:t>规划情况</w:t>
            </w:r>
          </w:p>
        </w:tc>
        <w:tc>
          <w:tcPr>
            <w:tcW w:w="6619" w:type="dxa"/>
            <w:gridSpan w:val="3"/>
            <w:vAlign w:val="center"/>
          </w:tcPr>
          <w:p w14:paraId="0DC7D50F">
            <w:pPr>
              <w:autoSpaceDE w:val="0"/>
              <w:autoSpaceDN w:val="0"/>
              <w:adjustRightInd w:val="0"/>
              <w:snapToGrid w:val="0"/>
              <w:spacing w:line="360" w:lineRule="auto"/>
              <w:jc w:val="center"/>
              <w:rPr>
                <w:rFonts w:hint="eastAsia" w:eastAsia="宋体"/>
                <w:color w:val="000000" w:themeColor="text1"/>
                <w:kern w:val="0"/>
                <w:sz w:val="24"/>
                <w:highlight w:val="none"/>
                <w:lang w:eastAsia="zh-CN"/>
                <w14:textFill>
                  <w14:solidFill>
                    <w14:schemeClr w14:val="tx1"/>
                  </w14:solidFill>
                </w14:textFill>
              </w:rPr>
            </w:pPr>
            <w:r>
              <w:rPr>
                <w:color w:val="000000" w:themeColor="text1"/>
                <w:kern w:val="0"/>
                <w:sz w:val="24"/>
                <w:highlight w:val="none"/>
                <w14:textFill>
                  <w14:solidFill>
                    <w14:schemeClr w14:val="tx1"/>
                  </w14:solidFill>
                </w14:textFill>
              </w:rPr>
              <w:t>2015年，鄂尔多斯独贵塔拉工业园区总体规划（2015-2030年）获得批复（鄂府发〔2015〕186号），将北区面积由45.50平方公里缩减至44.0平方公里，并于2018年取得《鄂尔多斯独贵塔拉工业园区（北区）（2015-2030年）规划环境影响报告书》审查意见（内环字〔2018〕97号）；园区定位以重点发展循环经济理念的煤化工产业为主，是鄂尔多斯市乃至内蒙古范围内的产业转移承接地。新能源示范区位于杭锦旗锡尼镇南侧约1公里</w:t>
            </w:r>
            <w:r>
              <w:rPr>
                <w:rFonts w:hint="eastAsia"/>
                <w:color w:val="000000" w:themeColor="text1"/>
                <w:kern w:val="0"/>
                <w:sz w:val="24"/>
                <w:highlight w:val="none"/>
                <w:lang w:eastAsia="zh-CN"/>
                <w14:textFill>
                  <w14:solidFill>
                    <w14:schemeClr w14:val="tx1"/>
                  </w14:solidFill>
                </w14:textFill>
              </w:rPr>
              <w:t>处</w:t>
            </w:r>
            <w:r>
              <w:rPr>
                <w:color w:val="000000" w:themeColor="text1"/>
                <w:kern w:val="0"/>
                <w:sz w:val="24"/>
                <w:highlight w:val="none"/>
                <w14:textFill>
                  <w14:solidFill>
                    <w14:schemeClr w14:val="tx1"/>
                  </w14:solidFill>
                </w14:textFill>
              </w:rPr>
              <w:t>。规划面积为10平方公里。并于2012年取得《鄂尔多斯新能源产业示范区新兴产业园区总体规划</w:t>
            </w:r>
            <w:r>
              <w:rPr>
                <w:rFonts w:hint="eastAsia"/>
                <w:color w:val="000000" w:themeColor="text1"/>
                <w:kern w:val="0"/>
                <w:sz w:val="24"/>
                <w:highlight w:val="none"/>
                <w:lang w:eastAsia="zh-CN"/>
                <w14:textFill>
                  <w14:solidFill>
                    <w14:schemeClr w14:val="tx1"/>
                  </w14:solidFill>
                </w14:textFill>
              </w:rPr>
              <w:t>（</w:t>
            </w:r>
            <w:r>
              <w:rPr>
                <w:color w:val="000000" w:themeColor="text1"/>
                <w:kern w:val="0"/>
                <w:sz w:val="24"/>
                <w:highlight w:val="none"/>
                <w14:textFill>
                  <w14:solidFill>
                    <w14:schemeClr w14:val="tx1"/>
                  </w14:solidFill>
                </w14:textFill>
              </w:rPr>
              <w:t>2010－2030</w:t>
            </w:r>
            <w:r>
              <w:rPr>
                <w:rFonts w:hint="eastAsia"/>
                <w:color w:val="000000" w:themeColor="text1"/>
                <w:kern w:val="0"/>
                <w:sz w:val="24"/>
                <w:highlight w:val="none"/>
                <w:lang w:eastAsia="zh-CN"/>
                <w14:textFill>
                  <w14:solidFill>
                    <w14:schemeClr w14:val="tx1"/>
                  </w14:solidFill>
                </w14:textFill>
              </w:rPr>
              <w:t>）</w:t>
            </w:r>
            <w:r>
              <w:rPr>
                <w:color w:val="000000" w:themeColor="text1"/>
                <w:kern w:val="0"/>
                <w:sz w:val="24"/>
                <w:highlight w:val="none"/>
                <w14:textFill>
                  <w14:solidFill>
                    <w14:schemeClr w14:val="tx1"/>
                  </w14:solidFill>
                </w14:textFill>
              </w:rPr>
              <w:t>环境影响报告书》审查意见（内环字〔2012〕72 号）；</w:t>
            </w:r>
            <w:r>
              <w:rPr>
                <w:rFonts w:hint="eastAsia"/>
                <w:color w:val="000000" w:themeColor="text1"/>
                <w:kern w:val="0"/>
                <w:sz w:val="24"/>
                <w:highlight w:val="none"/>
                <w:lang w:eastAsia="zh-CN"/>
                <w14:textFill>
                  <w14:solidFill>
                    <w14:schemeClr w14:val="tx1"/>
                  </w14:solidFill>
                </w14:textFill>
              </w:rPr>
              <w:t>产业</w:t>
            </w:r>
            <w:r>
              <w:rPr>
                <w:color w:val="000000" w:themeColor="text1"/>
                <w:kern w:val="0"/>
                <w:sz w:val="24"/>
                <w:highlight w:val="none"/>
                <w14:textFill>
                  <w14:solidFill>
                    <w14:schemeClr w14:val="tx1"/>
                  </w14:solidFill>
                </w14:textFill>
              </w:rPr>
              <w:t>定位以新能源、新光源、农产品深加工和生物制药产业为主。内蒙古鄂尔多斯杭锦经济开发区（以下简称</w:t>
            </w:r>
            <w:r>
              <w:rPr>
                <w:rFonts w:hint="eastAsia"/>
                <w:color w:val="000000" w:themeColor="text1"/>
                <w:kern w:val="0"/>
                <w:sz w:val="24"/>
                <w:highlight w:val="none"/>
                <w:lang w:eastAsia="zh-CN"/>
                <w14:textFill>
                  <w14:solidFill>
                    <w14:schemeClr w14:val="tx1"/>
                  </w14:solidFill>
                </w14:textFill>
              </w:rPr>
              <w:t>“</w:t>
            </w:r>
            <w:r>
              <w:rPr>
                <w:color w:val="000000" w:themeColor="text1"/>
                <w:kern w:val="0"/>
                <w:sz w:val="24"/>
                <w:highlight w:val="none"/>
                <w14:textFill>
                  <w14:solidFill>
                    <w14:schemeClr w14:val="tx1"/>
                  </w14:solidFill>
                </w14:textFill>
              </w:rPr>
              <w:t>开发区</w:t>
            </w:r>
            <w:r>
              <w:rPr>
                <w:rFonts w:hint="eastAsia"/>
                <w:color w:val="000000" w:themeColor="text1"/>
                <w:kern w:val="0"/>
                <w:sz w:val="24"/>
                <w:highlight w:val="none"/>
                <w:lang w:eastAsia="zh-CN"/>
                <w14:textFill>
                  <w14:solidFill>
                    <w14:schemeClr w14:val="tx1"/>
                  </w14:solidFill>
                </w14:textFill>
              </w:rPr>
              <w:t>”</w:t>
            </w:r>
            <w:r>
              <w:rPr>
                <w:color w:val="000000" w:themeColor="text1"/>
                <w:kern w:val="0"/>
                <w:sz w:val="24"/>
                <w:highlight w:val="none"/>
                <w14:textFill>
                  <w14:solidFill>
                    <w14:schemeClr w14:val="tx1"/>
                  </w14:solidFill>
                </w14:textFill>
              </w:rPr>
              <w:t>）成立于2021年7月，位于内蒙古自治区鄂尔多斯市杭锦旗，依据内蒙古自治区工业和信息化厅2022年2月23日发布的《内蒙古自治区开发区审核公告目录》，内蒙古鄂尔多斯杭锦经济开发区由独贵塔拉产业园（北区）、独贵塔拉产业园（南区）、新能源产业园组成。规划核准面积为2282.67hm</w:t>
            </w:r>
            <w:r>
              <w:rPr>
                <w:color w:val="000000" w:themeColor="text1"/>
                <w:kern w:val="0"/>
                <w:sz w:val="24"/>
                <w:highlight w:val="none"/>
                <w:vertAlign w:val="superscript"/>
                <w14:textFill>
                  <w14:solidFill>
                    <w14:schemeClr w14:val="tx1"/>
                  </w14:solidFill>
                </w14:textFill>
              </w:rPr>
              <w:t>2</w:t>
            </w:r>
            <w:r>
              <w:rPr>
                <w:color w:val="000000" w:themeColor="text1"/>
                <w:kern w:val="0"/>
                <w:sz w:val="24"/>
                <w:highlight w:val="none"/>
                <w14:textFill>
                  <w14:solidFill>
                    <w14:schemeClr w14:val="tx1"/>
                  </w14:solidFill>
                </w14:textFill>
              </w:rPr>
              <w:t>，其中独贵塔拉产业园（北区）核准面积830.73hm</w:t>
            </w:r>
            <w:r>
              <w:rPr>
                <w:color w:val="000000" w:themeColor="text1"/>
                <w:kern w:val="0"/>
                <w:sz w:val="24"/>
                <w:highlight w:val="none"/>
                <w:vertAlign w:val="superscript"/>
                <w14:textFill>
                  <w14:solidFill>
                    <w14:schemeClr w14:val="tx1"/>
                  </w14:solidFill>
                </w14:textFill>
              </w:rPr>
              <w:t>2</w:t>
            </w:r>
            <w:r>
              <w:rPr>
                <w:color w:val="000000" w:themeColor="text1"/>
                <w:kern w:val="0"/>
                <w:sz w:val="24"/>
                <w:highlight w:val="none"/>
                <w14:textFill>
                  <w14:solidFill>
                    <w14:schemeClr w14:val="tx1"/>
                  </w14:solidFill>
                </w14:textFill>
              </w:rPr>
              <w:t>，独贵塔拉产业园（南区）核准面积924.26hm</w:t>
            </w:r>
            <w:r>
              <w:rPr>
                <w:color w:val="000000" w:themeColor="text1"/>
                <w:kern w:val="0"/>
                <w:sz w:val="24"/>
                <w:highlight w:val="none"/>
                <w:vertAlign w:val="superscript"/>
                <w14:textFill>
                  <w14:solidFill>
                    <w14:schemeClr w14:val="tx1"/>
                  </w14:solidFill>
                </w14:textFill>
              </w:rPr>
              <w:t>2</w:t>
            </w:r>
            <w:r>
              <w:rPr>
                <w:color w:val="000000" w:themeColor="text1"/>
                <w:kern w:val="0"/>
                <w:sz w:val="24"/>
                <w:highlight w:val="none"/>
                <w14:textFill>
                  <w14:solidFill>
                    <w14:schemeClr w14:val="tx1"/>
                  </w14:solidFill>
                </w14:textFill>
              </w:rPr>
              <w:t>，新能源产业园核准面积527.68hm</w:t>
            </w:r>
            <w:r>
              <w:rPr>
                <w:color w:val="000000" w:themeColor="text1"/>
                <w:kern w:val="0"/>
                <w:sz w:val="24"/>
                <w:highlight w:val="none"/>
                <w:vertAlign w:val="superscript"/>
                <w14:textFill>
                  <w14:solidFill>
                    <w14:schemeClr w14:val="tx1"/>
                  </w14:solidFill>
                </w14:textFill>
              </w:rPr>
              <w:t>2</w:t>
            </w:r>
            <w:r>
              <w:rPr>
                <w:color w:val="000000" w:themeColor="text1"/>
                <w:kern w:val="0"/>
                <w:sz w:val="24"/>
                <w:highlight w:val="none"/>
                <w14:textFill>
                  <w14:solidFill>
                    <w14:schemeClr w14:val="tx1"/>
                  </w14:solidFill>
                </w14:textFill>
              </w:rPr>
              <w:t>。内蒙古鄂尔多斯杭锦经济开发区管委会委托综合开发研究院（中国·深圳）组织编制了《内蒙古鄂尔多斯杭锦经济开发区总体规划（2021-2035）》。</w:t>
            </w:r>
          </w:p>
        </w:tc>
      </w:tr>
      <w:tr w14:paraId="6C0291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2251" w:type="dxa"/>
            <w:vAlign w:val="center"/>
          </w:tcPr>
          <w:p w14:paraId="3316707F">
            <w:pPr>
              <w:adjustRightInd w:val="0"/>
              <w:snapToGrid w:val="0"/>
              <w:jc w:val="center"/>
              <w:rPr>
                <w:color w:val="000000" w:themeColor="text1"/>
                <w:kern w:val="0"/>
                <w:sz w:val="24"/>
                <w:highlight w:val="none"/>
                <w14:textFill>
                  <w14:solidFill>
                    <w14:schemeClr w14:val="tx1"/>
                  </w14:solidFill>
                </w14:textFill>
              </w:rPr>
            </w:pPr>
            <w:r>
              <w:rPr>
                <w:color w:val="000000" w:themeColor="text1"/>
                <w:sz w:val="24"/>
                <w:highlight w:val="none"/>
                <w14:textFill>
                  <w14:solidFill>
                    <w14:schemeClr w14:val="tx1"/>
                  </w14:solidFill>
                </w14:textFill>
              </w:rPr>
              <w:t>规划环境影响评价情况</w:t>
            </w:r>
          </w:p>
        </w:tc>
        <w:tc>
          <w:tcPr>
            <w:tcW w:w="6619" w:type="dxa"/>
            <w:gridSpan w:val="3"/>
            <w:vAlign w:val="center"/>
          </w:tcPr>
          <w:p w14:paraId="7EE6817D">
            <w:pPr>
              <w:autoSpaceDE w:val="0"/>
              <w:autoSpaceDN w:val="0"/>
              <w:adjustRightInd w:val="0"/>
              <w:snapToGrid w:val="0"/>
              <w:spacing w:line="360" w:lineRule="auto"/>
              <w:jc w:val="both"/>
              <w:rPr>
                <w:rFonts w:hint="eastAsia" w:eastAsia="宋体"/>
                <w:color w:val="000000" w:themeColor="text1"/>
                <w:kern w:val="0"/>
                <w:sz w:val="24"/>
                <w:highlight w:val="none"/>
                <w:lang w:eastAsia="zh-CN"/>
                <w14:textFill>
                  <w14:solidFill>
                    <w14:schemeClr w14:val="tx1"/>
                  </w14:solidFill>
                </w14:textFill>
              </w:rPr>
            </w:pPr>
            <w:r>
              <w:rPr>
                <w:rFonts w:hint="eastAsia"/>
                <w:color w:val="000000" w:themeColor="text1"/>
                <w:kern w:val="0"/>
                <w:sz w:val="24"/>
                <w:highlight w:val="none"/>
                <w14:textFill>
                  <w14:solidFill>
                    <w14:schemeClr w14:val="tx1"/>
                  </w14:solidFill>
                </w14:textFill>
              </w:rPr>
              <w:t>2023年</w:t>
            </w:r>
            <w:r>
              <w:rPr>
                <w:rFonts w:hint="eastAsia"/>
                <w:color w:val="000000" w:themeColor="text1"/>
                <w:kern w:val="0"/>
                <w:sz w:val="24"/>
                <w:highlight w:val="none"/>
                <w:lang w:val="en-US" w:eastAsia="zh-CN"/>
                <w14:textFill>
                  <w14:solidFill>
                    <w14:schemeClr w14:val="tx1"/>
                  </w14:solidFill>
                </w14:textFill>
              </w:rPr>
              <w:t>6</w:t>
            </w:r>
            <w:r>
              <w:rPr>
                <w:rFonts w:hint="eastAsia"/>
                <w:color w:val="000000" w:themeColor="text1"/>
                <w:kern w:val="0"/>
                <w:sz w:val="24"/>
                <w:highlight w:val="none"/>
                <w14:textFill>
                  <w14:solidFill>
                    <w14:schemeClr w14:val="tx1"/>
                  </w14:solidFill>
                </w14:textFill>
              </w:rPr>
              <w:t>月由</w:t>
            </w:r>
            <w:r>
              <w:rPr>
                <w:color w:val="000000" w:themeColor="text1"/>
                <w:kern w:val="0"/>
                <w:sz w:val="24"/>
                <w:highlight w:val="none"/>
                <w14:textFill>
                  <w14:solidFill>
                    <w14:schemeClr w14:val="tx1"/>
                  </w14:solidFill>
                </w14:textFill>
              </w:rPr>
              <w:t>内蒙古金衍环保技术咨询有限责任公司</w:t>
            </w:r>
            <w:r>
              <w:rPr>
                <w:rFonts w:hint="eastAsia"/>
                <w:color w:val="000000" w:themeColor="text1"/>
                <w:kern w:val="0"/>
                <w:sz w:val="24"/>
                <w:highlight w:val="none"/>
                <w14:textFill>
                  <w14:solidFill>
                    <w14:schemeClr w14:val="tx1"/>
                  </w14:solidFill>
                </w14:textFill>
              </w:rPr>
              <w:t>编制了《</w:t>
            </w:r>
            <w:r>
              <w:rPr>
                <w:color w:val="000000" w:themeColor="text1"/>
                <w:kern w:val="0"/>
                <w:sz w:val="24"/>
                <w:highlight w:val="none"/>
                <w14:textFill>
                  <w14:solidFill>
                    <w14:schemeClr w14:val="tx1"/>
                  </w14:solidFill>
                </w14:textFill>
              </w:rPr>
              <w:t>内蒙古鄂尔多斯杭锦经济开发区总体规划（2021-2035）</w:t>
            </w:r>
            <w:r>
              <w:rPr>
                <w:rFonts w:hint="eastAsia"/>
                <w:color w:val="000000" w:themeColor="text1"/>
                <w:kern w:val="0"/>
                <w:sz w:val="24"/>
                <w:highlight w:val="none"/>
                <w14:textFill>
                  <w14:solidFill>
                    <w14:schemeClr w14:val="tx1"/>
                  </w14:solidFill>
                </w14:textFill>
              </w:rPr>
              <w:t>环境影响报告书》，2023年6月25日由内蒙古自治区生态环境厅</w:t>
            </w:r>
            <w:r>
              <w:rPr>
                <w:rFonts w:hint="eastAsia"/>
                <w:color w:val="000000" w:themeColor="text1"/>
                <w:kern w:val="0"/>
                <w:sz w:val="24"/>
                <w:highlight w:val="none"/>
                <w:lang w:eastAsia="zh-CN"/>
                <w14:textFill>
                  <w14:solidFill>
                    <w14:schemeClr w14:val="tx1"/>
                  </w14:solidFill>
                </w14:textFill>
              </w:rPr>
              <w:t>批复</w:t>
            </w:r>
            <w:r>
              <w:rPr>
                <w:rFonts w:hint="eastAsia"/>
                <w:color w:val="000000" w:themeColor="text1"/>
                <w:kern w:val="0"/>
                <w:sz w:val="24"/>
                <w:highlight w:val="none"/>
                <w14:textFill>
                  <w14:solidFill>
                    <w14:schemeClr w14:val="tx1"/>
                  </w14:solidFill>
                </w14:textFill>
              </w:rPr>
              <w:t>了</w:t>
            </w:r>
            <w:r>
              <w:rPr>
                <w:rFonts w:hint="eastAsia"/>
                <w:color w:val="000000" w:themeColor="text1"/>
                <w:kern w:val="0"/>
                <w:sz w:val="24"/>
                <w:highlight w:val="none"/>
                <w:lang w:eastAsia="zh-CN"/>
                <w14:textFill>
                  <w14:solidFill>
                    <w14:schemeClr w14:val="tx1"/>
                  </w14:solidFill>
                </w14:textFill>
              </w:rPr>
              <w:t>《</w:t>
            </w:r>
            <w:r>
              <w:rPr>
                <w:rFonts w:hint="eastAsia"/>
                <w:color w:val="000000" w:themeColor="text1"/>
                <w:kern w:val="0"/>
                <w:sz w:val="24"/>
                <w:highlight w:val="none"/>
                <w14:textFill>
                  <w14:solidFill>
                    <w14:schemeClr w14:val="tx1"/>
                  </w14:solidFill>
                </w14:textFill>
              </w:rPr>
              <w:t>内蒙古自治区生态环境厅关于</w:t>
            </w:r>
            <w:r>
              <w:rPr>
                <w:color w:val="000000" w:themeColor="text1"/>
                <w:kern w:val="0"/>
                <w:sz w:val="24"/>
                <w:highlight w:val="none"/>
                <w14:textFill>
                  <w14:solidFill>
                    <w14:schemeClr w14:val="tx1"/>
                  </w14:solidFill>
                </w14:textFill>
              </w:rPr>
              <w:t>内蒙古鄂尔多斯杭锦经济开发区总体规划（2021-2035）</w:t>
            </w:r>
            <w:r>
              <w:rPr>
                <w:rFonts w:hint="eastAsia"/>
                <w:color w:val="000000" w:themeColor="text1"/>
                <w:kern w:val="0"/>
                <w:sz w:val="24"/>
                <w:highlight w:val="none"/>
                <w14:textFill>
                  <w14:solidFill>
                    <w14:schemeClr w14:val="tx1"/>
                  </w14:solidFill>
                </w14:textFill>
              </w:rPr>
              <w:t>环境影响报告书的审查意见》（内环审</w:t>
            </w:r>
            <w:r>
              <w:rPr>
                <w:color w:val="000000" w:themeColor="text1"/>
                <w:kern w:val="0"/>
                <w:sz w:val="24"/>
                <w:highlight w:val="none"/>
                <w14:textFill>
                  <w14:solidFill>
                    <w14:schemeClr w14:val="tx1"/>
                  </w14:solidFill>
                </w14:textFill>
              </w:rPr>
              <w:t>〔20</w:t>
            </w:r>
            <w:r>
              <w:rPr>
                <w:rFonts w:hint="eastAsia"/>
                <w:color w:val="000000" w:themeColor="text1"/>
                <w:kern w:val="0"/>
                <w:sz w:val="24"/>
                <w:highlight w:val="none"/>
                <w:lang w:val="en-US" w:eastAsia="zh-CN"/>
                <w14:textFill>
                  <w14:solidFill>
                    <w14:schemeClr w14:val="tx1"/>
                  </w14:solidFill>
                </w14:textFill>
              </w:rPr>
              <w:t>23</w:t>
            </w:r>
            <w:r>
              <w:rPr>
                <w:color w:val="000000" w:themeColor="text1"/>
                <w:kern w:val="0"/>
                <w:sz w:val="24"/>
                <w:highlight w:val="none"/>
                <w14:textFill>
                  <w14:solidFill>
                    <w14:schemeClr w14:val="tx1"/>
                  </w14:solidFill>
                </w14:textFill>
              </w:rPr>
              <w:t>〕</w:t>
            </w:r>
            <w:r>
              <w:rPr>
                <w:rFonts w:hint="eastAsia"/>
                <w:color w:val="000000" w:themeColor="text1"/>
                <w:kern w:val="0"/>
                <w:sz w:val="24"/>
                <w:highlight w:val="none"/>
                <w14:textFill>
                  <w14:solidFill>
                    <w14:schemeClr w14:val="tx1"/>
                  </w14:solidFill>
                </w14:textFill>
              </w:rPr>
              <w:t>41号）文件。</w:t>
            </w:r>
          </w:p>
        </w:tc>
      </w:tr>
      <w:tr w14:paraId="1AEE3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2251" w:type="dxa"/>
            <w:vAlign w:val="center"/>
          </w:tcPr>
          <w:p w14:paraId="263838B1">
            <w:pPr>
              <w:autoSpaceDE w:val="0"/>
              <w:autoSpaceDN w:val="0"/>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规划及规划环境影响评价符合性分析</w:t>
            </w:r>
          </w:p>
        </w:tc>
        <w:tc>
          <w:tcPr>
            <w:tcW w:w="6619" w:type="dxa"/>
            <w:gridSpan w:val="3"/>
            <w:vAlign w:val="center"/>
          </w:tcPr>
          <w:p w14:paraId="3B8FC06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本项目建设地点位于鄂尔多斯市杭锦旗锡尼镇，是经市委、市政府批准成立，是全市唯一以新能源为主导产业的园区。</w:t>
            </w:r>
            <w:r>
              <w:rPr>
                <w:color w:val="000000" w:themeColor="text1"/>
                <w:kern w:val="0"/>
                <w:sz w:val="24"/>
                <w:highlight w:val="none"/>
                <w14:textFill>
                  <w14:solidFill>
                    <w14:schemeClr w14:val="tx1"/>
                  </w14:solidFill>
                </w14:textFill>
              </w:rPr>
              <w:t>园区位于锡尼镇南1.5公里处，控制面积95平方公里，规划面积30平方公里，以新能源、新光源装备制造业和天然气应用为主导产业，是集中小企业创业基地</w:t>
            </w:r>
            <w:r>
              <w:rPr>
                <w:rFonts w:hint="eastAsia"/>
                <w:color w:val="000000" w:themeColor="text1"/>
                <w:kern w:val="0"/>
                <w:sz w:val="24"/>
                <w:highlight w:val="none"/>
                <w:lang w:eastAsia="zh-CN"/>
                <w14:textFill>
                  <w14:solidFill>
                    <w14:schemeClr w14:val="tx1"/>
                  </w14:solidFill>
                </w14:textFill>
              </w:rPr>
              <w:t>、</w:t>
            </w:r>
            <w:r>
              <w:rPr>
                <w:color w:val="000000" w:themeColor="text1"/>
                <w:kern w:val="0"/>
                <w:sz w:val="24"/>
                <w:highlight w:val="none"/>
                <w14:textFill>
                  <w14:solidFill>
                    <w14:schemeClr w14:val="tx1"/>
                  </w14:solidFill>
                </w14:textFill>
              </w:rPr>
              <w:t>大学生创业园为一体的现代化产城融合园区。现园区范围约8.71平方公里，其中城镇建设用地3.41平方公里，占38.93%；沙地、闲置用地等其他土地约1平方公里，占11.52%；林地、耕地、草地等非建设用地4.31平方公里，占比高达49.55%</w:t>
            </w:r>
            <w:r>
              <w:rPr>
                <w:rFonts w:hint="eastAsia"/>
                <w:color w:val="000000" w:themeColor="text1"/>
                <w:kern w:val="0"/>
                <w:sz w:val="24"/>
                <w:highlight w:val="none"/>
                <w14:textFill>
                  <w14:solidFill>
                    <w14:schemeClr w14:val="tx1"/>
                  </w14:solidFill>
                </w14:textFill>
              </w:rPr>
              <w:t>。</w:t>
            </w:r>
          </w:p>
          <w:p w14:paraId="770959D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新能源产业园以天然气清洁能源及特色健康产业为主导产业，建设绿色清洁能源杭锦旗地方总部基地，打造集特色健康产业、天然气清洁能源、再生资源于一体的杭锦旗区域协同创新引领区。园区规划发展三大产业，集产学研于一体的总部服务基地及特色健康产业；天然气等清洁能源综合利用产业；以废旧汽车拆解产业园和轮胎回收利用为主的城市可再生资源产业区。</w:t>
            </w:r>
          </w:p>
          <w:p w14:paraId="30B7B04C">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eastAsia="宋体"/>
                <w:color w:val="000000" w:themeColor="text1"/>
                <w:kern w:val="0"/>
                <w:sz w:val="24"/>
                <w:highlight w:val="none"/>
                <w:lang w:eastAsia="zh-CN"/>
                <w14:textFill>
                  <w14:solidFill>
                    <w14:schemeClr w14:val="tx1"/>
                  </w14:solidFill>
                </w14:textFill>
              </w:rPr>
            </w:pPr>
            <w:r>
              <w:rPr>
                <w:rFonts w:hint="eastAsia" w:eastAsia="宋体"/>
                <w:color w:val="000000" w:themeColor="text1"/>
                <w:kern w:val="0"/>
                <w:sz w:val="24"/>
                <w:highlight w:val="none"/>
                <w:lang w:eastAsia="zh-CN"/>
                <w14:textFill>
                  <w14:solidFill>
                    <w14:schemeClr w14:val="tx1"/>
                  </w14:solidFill>
                </w14:textFill>
              </w:rPr>
              <w:drawing>
                <wp:inline distT="0" distB="0" distL="114300" distR="114300">
                  <wp:extent cx="4211955" cy="2974975"/>
                  <wp:effectExtent l="0" t="0" r="17145" b="15875"/>
                  <wp:docPr id="14" name="图片 14" descr="E:/戴/杭锦旗管桩/新能源产业园区规划范围.png新能源产业园区规划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戴/杭锦旗管桩/新能源产业园区规划范围.png新能源产业园区规划范围"/>
                          <pic:cNvPicPr>
                            <a:picLocks noChangeAspect="1"/>
                          </pic:cNvPicPr>
                        </pic:nvPicPr>
                        <pic:blipFill>
                          <a:blip r:embed="rId11"/>
                          <a:srcRect t="204" b="204"/>
                          <a:stretch>
                            <a:fillRect/>
                          </a:stretch>
                        </pic:blipFill>
                        <pic:spPr>
                          <a:xfrm>
                            <a:off x="0" y="0"/>
                            <a:ext cx="4211955" cy="2974975"/>
                          </a:xfrm>
                          <a:prstGeom prst="rect">
                            <a:avLst/>
                          </a:prstGeom>
                        </pic:spPr>
                      </pic:pic>
                    </a:graphicData>
                  </a:graphic>
                </wp:inline>
              </w:drawing>
            </w:r>
          </w:p>
          <w:p w14:paraId="4E4FF6A5">
            <w:pPr>
              <w:autoSpaceDE w:val="0"/>
              <w:autoSpaceDN w:val="0"/>
              <w:adjustRightInd w:val="0"/>
              <w:snapToGrid w:val="0"/>
              <w:spacing w:line="360" w:lineRule="auto"/>
              <w:jc w:val="center"/>
              <w:rPr>
                <w:rFonts w:hint="default" w:eastAsia="宋体"/>
                <w:b/>
                <w:bCs/>
                <w:color w:val="000000" w:themeColor="text1"/>
                <w:kern w:val="0"/>
                <w:sz w:val="24"/>
                <w:highlight w:val="none"/>
                <w:lang w:val="en-US" w:eastAsia="zh-CN"/>
                <w14:textFill>
                  <w14:solidFill>
                    <w14:schemeClr w14:val="tx1"/>
                  </w14:solidFill>
                </w14:textFill>
              </w:rPr>
            </w:pPr>
            <w:r>
              <w:rPr>
                <w:rFonts w:hint="eastAsia"/>
                <w:b/>
                <w:bCs/>
                <w:color w:val="000000" w:themeColor="text1"/>
                <w:kern w:val="0"/>
                <w:sz w:val="24"/>
                <w:highlight w:val="none"/>
                <w:lang w:val="en-US" w:eastAsia="zh-CN"/>
                <w14:textFill>
                  <w14:solidFill>
                    <w14:schemeClr w14:val="tx1"/>
                  </w14:solidFill>
                </w14:textFill>
              </w:rPr>
              <w:t>图1-1 新能源产业园核准四至范围图</w:t>
            </w:r>
          </w:p>
          <w:p w14:paraId="55E3B04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eastAsia="宋体"/>
                <w:color w:val="000000" w:themeColor="text1"/>
                <w:kern w:val="0"/>
                <w:sz w:val="24"/>
                <w:highlight w:val="none"/>
                <w:lang w:val="en-US" w:eastAsia="zh-CN"/>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本项目不符合本次园区规划要求，根据《鄂尔多斯杭锦经济开发区管理委员会关于将光伏新能源基础配套设施项目纳入规划环评修编范围的函》（附件5），鄂尔多斯杭锦经济开发区管理委员会将在下次园区规划环评修编是纳入规划内。同时建设单位承诺（附件6），如杭锦经济开发区管委会下次修编园区规划时，本项目依旧不符合规划要求。建设单位自行承担相应后果，并停产或进行搬迁。</w:t>
            </w:r>
          </w:p>
        </w:tc>
      </w:tr>
      <w:tr w14:paraId="2215A7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2251" w:type="dxa"/>
            <w:vAlign w:val="center"/>
          </w:tcPr>
          <w:p w14:paraId="408D469F">
            <w:pPr>
              <w:autoSpaceDE w:val="0"/>
              <w:autoSpaceDN w:val="0"/>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其他符合性分析</w:t>
            </w:r>
          </w:p>
        </w:tc>
        <w:tc>
          <w:tcPr>
            <w:tcW w:w="6619" w:type="dxa"/>
            <w:gridSpan w:val="3"/>
            <w:vAlign w:val="center"/>
          </w:tcPr>
          <w:p w14:paraId="06DB0F04">
            <w:pPr>
              <w:autoSpaceDE w:val="0"/>
              <w:autoSpaceDN w:val="0"/>
              <w:adjustRightInd w:val="0"/>
              <w:snapToGrid w:val="0"/>
              <w:spacing w:line="360" w:lineRule="auto"/>
              <w:rPr>
                <w:color w:val="auto"/>
                <w:sz w:val="24"/>
                <w:highlight w:val="none"/>
              </w:rPr>
            </w:pPr>
            <w:r>
              <w:rPr>
                <w:color w:val="auto"/>
                <w:sz w:val="24"/>
                <w:highlight w:val="none"/>
              </w:rPr>
              <w:t>一、产业政策符合性分析</w:t>
            </w:r>
          </w:p>
          <w:p w14:paraId="1CDBCA59">
            <w:pPr>
              <w:autoSpaceDE w:val="0"/>
              <w:autoSpaceDN w:val="0"/>
              <w:adjustRightInd w:val="0"/>
              <w:snapToGrid w:val="0"/>
              <w:spacing w:line="360" w:lineRule="auto"/>
              <w:ind w:firstLine="480" w:firstLineChars="200"/>
              <w:rPr>
                <w:color w:val="auto"/>
                <w:sz w:val="24"/>
                <w:highlight w:val="none"/>
              </w:rPr>
            </w:pPr>
            <w:r>
              <w:rPr>
                <w:color w:val="auto"/>
                <w:sz w:val="24"/>
                <w:highlight w:val="none"/>
              </w:rPr>
              <w:t>本项目为</w:t>
            </w:r>
            <w:r>
              <w:rPr>
                <w:rFonts w:hint="eastAsia"/>
                <w:color w:val="auto"/>
                <w:sz w:val="24"/>
                <w:highlight w:val="none"/>
              </w:rPr>
              <w:t>砼结构</w:t>
            </w:r>
            <w:r>
              <w:rPr>
                <w:color w:val="auto"/>
                <w:sz w:val="24"/>
                <w:highlight w:val="none"/>
              </w:rPr>
              <w:t>构件制造项目，根据《产业结构调整目录（20</w:t>
            </w:r>
            <w:r>
              <w:rPr>
                <w:rFonts w:hint="eastAsia"/>
                <w:color w:val="auto"/>
                <w:sz w:val="24"/>
                <w:highlight w:val="none"/>
              </w:rPr>
              <w:t>24</w:t>
            </w:r>
            <w:r>
              <w:rPr>
                <w:color w:val="auto"/>
                <w:sz w:val="24"/>
                <w:highlight w:val="none"/>
              </w:rPr>
              <w:t>年本）》，本项目</w:t>
            </w:r>
            <w:r>
              <w:rPr>
                <w:rFonts w:hint="eastAsia"/>
                <w:color w:val="auto"/>
                <w:sz w:val="24"/>
                <w:highlight w:val="none"/>
              </w:rPr>
              <w:t>不</w:t>
            </w:r>
            <w:r>
              <w:rPr>
                <w:color w:val="auto"/>
                <w:sz w:val="24"/>
                <w:highlight w:val="none"/>
              </w:rPr>
              <w:t>属于鼓励类</w:t>
            </w:r>
            <w:r>
              <w:rPr>
                <w:rFonts w:hint="eastAsia"/>
                <w:color w:val="auto"/>
                <w:sz w:val="24"/>
                <w:highlight w:val="none"/>
              </w:rPr>
              <w:t>及限制类</w:t>
            </w:r>
            <w:r>
              <w:rPr>
                <w:color w:val="auto"/>
                <w:sz w:val="24"/>
                <w:highlight w:val="none"/>
              </w:rPr>
              <w:t>，属于允许类，符合国家产业政策。</w:t>
            </w:r>
          </w:p>
          <w:p w14:paraId="6A626CE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本项目于2024年10月28日在杭锦旗发展和改革委员会进行备案，备案编号2410-150625-04-01-173666。</w:t>
            </w:r>
          </w:p>
          <w:p w14:paraId="36EE6D28">
            <w:pPr>
              <w:autoSpaceDE w:val="0"/>
              <w:autoSpaceDN w:val="0"/>
              <w:adjustRightInd w:val="0"/>
              <w:snapToGrid w:val="0"/>
              <w:spacing w:line="360" w:lineRule="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二、选址合理性分析</w:t>
            </w:r>
          </w:p>
          <w:p w14:paraId="73DE738A">
            <w:pPr>
              <w:autoSpaceDE w:val="0"/>
              <w:autoSpaceDN w:val="0"/>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项目厂址位于</w:t>
            </w:r>
            <w:r>
              <w:rPr>
                <w:color w:val="000000" w:themeColor="text1"/>
                <w:kern w:val="0"/>
                <w:sz w:val="24"/>
                <w:highlight w:val="none"/>
                <w14:textFill>
                  <w14:solidFill>
                    <w14:schemeClr w14:val="tx1"/>
                  </w14:solidFill>
                </w14:textFill>
              </w:rPr>
              <w:t>内蒙古</w:t>
            </w:r>
            <w:r>
              <w:rPr>
                <w:rFonts w:hint="eastAsia"/>
                <w:color w:val="000000" w:themeColor="text1"/>
                <w:kern w:val="0"/>
                <w:sz w:val="24"/>
                <w:highlight w:val="none"/>
                <w:lang w:val="en-US" w:eastAsia="zh-CN"/>
                <w14:textFill>
                  <w14:solidFill>
                    <w14:schemeClr w14:val="tx1"/>
                  </w14:solidFill>
                </w14:textFill>
              </w:rPr>
              <w:t>自治区</w:t>
            </w:r>
            <w:r>
              <w:rPr>
                <w:color w:val="000000" w:themeColor="text1"/>
                <w:kern w:val="0"/>
                <w:sz w:val="24"/>
                <w:highlight w:val="none"/>
                <w14:textFill>
                  <w14:solidFill>
                    <w14:schemeClr w14:val="tx1"/>
                  </w14:solidFill>
                </w14:textFill>
              </w:rPr>
              <w:t>鄂尔多斯</w:t>
            </w:r>
            <w:r>
              <w:rPr>
                <w:rFonts w:hint="eastAsia"/>
                <w:color w:val="000000" w:themeColor="text1"/>
                <w:kern w:val="0"/>
                <w:sz w:val="24"/>
                <w:highlight w:val="none"/>
                <w:lang w:val="en-US" w:eastAsia="zh-CN"/>
                <w14:textFill>
                  <w14:solidFill>
                    <w14:schemeClr w14:val="tx1"/>
                  </w14:solidFill>
                </w14:textFill>
              </w:rPr>
              <w:t>市</w:t>
            </w:r>
            <w:r>
              <w:rPr>
                <w:color w:val="000000" w:themeColor="text1"/>
                <w:kern w:val="0"/>
                <w:sz w:val="24"/>
                <w:highlight w:val="none"/>
                <w14:textFill>
                  <w14:solidFill>
                    <w14:schemeClr w14:val="tx1"/>
                  </w14:solidFill>
                </w14:textFill>
              </w:rPr>
              <w:t>杭锦</w:t>
            </w:r>
            <w:r>
              <w:rPr>
                <w:rFonts w:hint="eastAsia"/>
                <w:color w:val="000000" w:themeColor="text1"/>
                <w:kern w:val="0"/>
                <w:sz w:val="24"/>
                <w:highlight w:val="none"/>
                <w:lang w:val="en-US" w:eastAsia="zh-CN"/>
                <w14:textFill>
                  <w14:solidFill>
                    <w14:schemeClr w14:val="tx1"/>
                  </w14:solidFill>
                </w14:textFill>
              </w:rPr>
              <w:t>旗</w:t>
            </w:r>
            <w:r>
              <w:rPr>
                <w:rFonts w:hint="eastAsia"/>
                <w:color w:val="000000" w:themeColor="text1"/>
                <w:sz w:val="24"/>
                <w:highlight w:val="none"/>
                <w14:textFill>
                  <w14:solidFill>
                    <w14:schemeClr w14:val="tx1"/>
                  </w14:solidFill>
                </w14:textFill>
              </w:rPr>
              <w:t>鄂尔多斯市同圆库布其生态工业治沙股份有限公司</w:t>
            </w:r>
            <w:r>
              <w:rPr>
                <w:rFonts w:hint="eastAsia"/>
                <w:color w:val="000000" w:themeColor="text1"/>
                <w:sz w:val="24"/>
                <w:highlight w:val="none"/>
                <w:lang w:val="en-US" w:eastAsia="zh-CN"/>
                <w14:textFill>
                  <w14:solidFill>
                    <w14:schemeClr w14:val="tx1"/>
                  </w14:solidFill>
                </w14:textFill>
              </w:rPr>
              <w:t>内</w:t>
            </w:r>
            <w:r>
              <w:rPr>
                <w:rFonts w:hint="eastAsia"/>
                <w:color w:val="000000" w:themeColor="text1"/>
                <w:sz w:val="24"/>
                <w:highlight w:val="none"/>
                <w14:textFill>
                  <w14:solidFill>
                    <w14:schemeClr w14:val="tx1"/>
                  </w14:solidFill>
                </w14:textFill>
              </w:rPr>
              <w:t>现有</w:t>
            </w:r>
            <w:r>
              <w:rPr>
                <w:rFonts w:hint="eastAsia"/>
                <w:color w:val="000000" w:themeColor="text1"/>
                <w:sz w:val="24"/>
                <w:highlight w:val="none"/>
                <w:lang w:val="en-US" w:eastAsia="zh-CN"/>
                <w14:textFill>
                  <w14:solidFill>
                    <w14:schemeClr w14:val="tx1"/>
                  </w14:solidFill>
                </w14:textFill>
              </w:rPr>
              <w:t>空地</w:t>
            </w:r>
            <w:r>
              <w:rPr>
                <w:rFonts w:hint="eastAsia"/>
                <w:color w:val="000000" w:themeColor="text1"/>
                <w:sz w:val="24"/>
                <w:highlight w:val="none"/>
                <w14:textFill>
                  <w14:solidFill>
                    <w14:schemeClr w14:val="tx1"/>
                  </w14:solidFill>
                </w14:textFill>
              </w:rPr>
              <w:t>，占地面积为</w:t>
            </w:r>
            <w:r>
              <w:rPr>
                <w:rFonts w:hint="eastAsia"/>
                <w:color w:val="000000" w:themeColor="text1"/>
                <w:sz w:val="24"/>
                <w:highlight w:val="none"/>
                <w:lang w:val="en-US" w:eastAsia="zh-CN"/>
                <w14:textFill>
                  <w14:solidFill>
                    <w14:schemeClr w14:val="tx1"/>
                  </w14:solidFill>
                </w14:textFill>
              </w:rPr>
              <w:t>30981</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2</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项目周边交通便利，基础设施完善，且不在生态红线范围内，用地范围无集中式饮用水水源保护区、自然保护区</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文物古迹等敏感点，本项目不占用</w:t>
            </w:r>
            <w:r>
              <w:rPr>
                <w:rFonts w:hint="eastAsia"/>
                <w:color w:val="000000" w:themeColor="text1"/>
                <w:sz w:val="24"/>
                <w:highlight w:val="none"/>
                <w:lang w:eastAsia="zh-Hans"/>
                <w14:textFill>
                  <w14:solidFill>
                    <w14:schemeClr w14:val="tx1"/>
                  </w14:solidFill>
                </w14:textFill>
              </w:rPr>
              <w:t>基本草原</w:t>
            </w:r>
            <w:r>
              <w:rPr>
                <w:color w:val="000000" w:themeColor="text1"/>
                <w:sz w:val="24"/>
                <w:highlight w:val="none"/>
                <w14:textFill>
                  <w14:solidFill>
                    <w14:schemeClr w14:val="tx1"/>
                  </w14:solidFill>
                </w14:textFill>
              </w:rPr>
              <w:t>、</w:t>
            </w:r>
            <w:r>
              <w:rPr>
                <w:rFonts w:hint="eastAsia"/>
                <w:color w:val="000000" w:themeColor="text1"/>
                <w:sz w:val="24"/>
                <w:highlight w:val="none"/>
                <w:lang w:eastAsia="zh-Hans"/>
                <w14:textFill>
                  <w14:solidFill>
                    <w14:schemeClr w14:val="tx1"/>
                  </w14:solidFill>
                </w14:textFill>
              </w:rPr>
              <w:t>永久</w:t>
            </w:r>
            <w:r>
              <w:rPr>
                <w:color w:val="000000" w:themeColor="text1"/>
                <w:sz w:val="24"/>
                <w:highlight w:val="none"/>
                <w14:textFill>
                  <w14:solidFill>
                    <w14:schemeClr w14:val="tx1"/>
                  </w14:solidFill>
                </w14:textFill>
              </w:rPr>
              <w:t>基本农田及生态红线等</w:t>
            </w:r>
            <w:r>
              <w:rPr>
                <w:rFonts w:hint="eastAsia"/>
                <w:color w:val="000000" w:themeColor="text1"/>
                <w:sz w:val="24"/>
                <w:highlight w:val="none"/>
                <w14:textFill>
                  <w14:solidFill>
                    <w14:schemeClr w14:val="tx1"/>
                  </w14:solidFill>
                </w14:textFill>
              </w:rPr>
              <w:t>环境</w:t>
            </w:r>
            <w:r>
              <w:rPr>
                <w:color w:val="000000" w:themeColor="text1"/>
                <w:sz w:val="24"/>
                <w:highlight w:val="none"/>
                <w14:textFill>
                  <w14:solidFill>
                    <w14:schemeClr w14:val="tx1"/>
                  </w14:solidFill>
                </w14:textFill>
              </w:rPr>
              <w:t>敏感区。项目生产过程中采取有效的防治措施后，污染物均能达标排放，对周围环境影响较小</w:t>
            </w:r>
            <w:r>
              <w:rPr>
                <w:rFonts w:hint="eastAsia"/>
                <w:color w:val="000000" w:themeColor="text1"/>
                <w:sz w:val="24"/>
                <w:highlight w:val="none"/>
                <w14:textFill>
                  <w14:solidFill>
                    <w14:schemeClr w14:val="tx1"/>
                  </w14:solidFill>
                </w14:textFill>
              </w:rPr>
              <w:t>，因此，从环保角度分析，本项目的选址是合理的</w:t>
            </w:r>
            <w:r>
              <w:rPr>
                <w:color w:val="000000" w:themeColor="text1"/>
                <w:sz w:val="24"/>
                <w:highlight w:val="none"/>
                <w14:textFill>
                  <w14:solidFill>
                    <w14:schemeClr w14:val="tx1"/>
                  </w14:solidFill>
                </w14:textFill>
              </w:rPr>
              <w:t>。</w:t>
            </w:r>
          </w:p>
          <w:p w14:paraId="3803776F">
            <w:pPr>
              <w:autoSpaceDE w:val="0"/>
              <w:autoSpaceDN w:val="0"/>
              <w:adjustRightInd w:val="0"/>
              <w:snapToGrid w:val="0"/>
              <w:spacing w:line="360" w:lineRule="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三、</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三线一单</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符合性分析</w:t>
            </w:r>
          </w:p>
          <w:p w14:paraId="2213E2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根据</w:t>
            </w:r>
            <w:r>
              <w:rPr>
                <w:rFonts w:hint="eastAsia" w:cs="Times New Roman"/>
                <w:sz w:val="24"/>
                <w:szCs w:val="24"/>
                <w:highlight w:val="none"/>
                <w:lang w:eastAsia="zh-CN"/>
              </w:rPr>
              <w:t>原</w:t>
            </w:r>
            <w:r>
              <w:rPr>
                <w:rFonts w:hint="default" w:ascii="Times New Roman" w:hAnsi="Times New Roman" w:cs="Times New Roman"/>
                <w:sz w:val="24"/>
                <w:szCs w:val="24"/>
                <w:highlight w:val="none"/>
              </w:rPr>
              <w:t>环境保护部《关于以改善环境质量为核心加强环境影响评价管理的通知》（环评〔2016</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150号文）（2016年10月26日）中</w:t>
            </w:r>
            <w:r>
              <w:rPr>
                <w:rFonts w:hint="eastAsia" w:cs="Times New Roman"/>
                <w:sz w:val="24"/>
                <w:szCs w:val="24"/>
                <w:highlight w:val="none"/>
                <w:lang w:eastAsia="zh-CN"/>
              </w:rPr>
              <w:t>：“</w:t>
            </w:r>
            <w:r>
              <w:rPr>
                <w:rFonts w:hint="default" w:ascii="Times New Roman" w:hAnsi="Times New Roman" w:cs="Times New Roman"/>
                <w:sz w:val="24"/>
                <w:szCs w:val="24"/>
                <w:highlight w:val="none"/>
              </w:rPr>
              <w:t>为适应以改善环境质量为核心的环境管理要求，切实加强环境影响评价（以下简称</w:t>
            </w:r>
            <w:r>
              <w:rPr>
                <w:rFonts w:hint="eastAsia" w:cs="Times New Roman"/>
                <w:sz w:val="24"/>
                <w:szCs w:val="24"/>
                <w:highlight w:val="none"/>
                <w:lang w:eastAsia="zh-CN"/>
              </w:rPr>
              <w:t>‘</w:t>
            </w:r>
            <w:r>
              <w:rPr>
                <w:rFonts w:hint="default" w:ascii="Times New Roman" w:hAnsi="Times New Roman" w:cs="Times New Roman"/>
                <w:sz w:val="24"/>
                <w:szCs w:val="24"/>
                <w:highlight w:val="none"/>
              </w:rPr>
              <w:t>环评</w:t>
            </w:r>
            <w:r>
              <w:rPr>
                <w:rFonts w:hint="eastAsia" w:cs="Times New Roman"/>
                <w:sz w:val="24"/>
                <w:szCs w:val="24"/>
                <w:highlight w:val="none"/>
                <w:lang w:eastAsia="zh-CN"/>
              </w:rPr>
              <w:t>’</w:t>
            </w:r>
            <w:r>
              <w:rPr>
                <w:rFonts w:hint="default" w:ascii="Times New Roman" w:hAnsi="Times New Roman" w:cs="Times New Roman"/>
                <w:sz w:val="24"/>
                <w:szCs w:val="24"/>
                <w:highlight w:val="none"/>
              </w:rPr>
              <w:t>）管理，落实生态保护红线、环境质量底线、资源利用上线和环境准入负面清单（以下简称</w:t>
            </w:r>
            <w:r>
              <w:rPr>
                <w:rFonts w:hint="eastAsia" w:cs="Times New Roman"/>
                <w:sz w:val="24"/>
                <w:szCs w:val="24"/>
                <w:highlight w:val="none"/>
                <w:lang w:eastAsia="zh-CN"/>
              </w:rPr>
              <w:t>‘</w:t>
            </w:r>
            <w:r>
              <w:rPr>
                <w:rFonts w:hint="default" w:ascii="Times New Roman" w:hAnsi="Times New Roman" w:cs="Times New Roman"/>
                <w:sz w:val="24"/>
                <w:szCs w:val="24"/>
                <w:highlight w:val="none"/>
              </w:rPr>
              <w:t>三线一单</w:t>
            </w:r>
            <w:r>
              <w:rPr>
                <w:rFonts w:hint="eastAsia" w:cs="Times New Roman"/>
                <w:sz w:val="24"/>
                <w:szCs w:val="24"/>
                <w:highlight w:val="none"/>
                <w:lang w:eastAsia="zh-CN"/>
              </w:rPr>
              <w:t>’</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约束，建立项目环评审批与规划环评、现有项目环境管理、区域环境质量联动机制，更好地发挥环评制度从源头防范环境污染和生态破坏的作用，加快推进改善环境质量</w:t>
            </w:r>
            <w:r>
              <w:rPr>
                <w:rFonts w:hint="eastAsia" w:cs="Times New Roman"/>
                <w:sz w:val="24"/>
                <w:szCs w:val="24"/>
                <w:highlight w:val="none"/>
                <w:lang w:eastAsia="zh-CN"/>
              </w:rPr>
              <w:t>”</w:t>
            </w:r>
            <w:r>
              <w:rPr>
                <w:rFonts w:hint="default" w:ascii="Times New Roman" w:hAnsi="Times New Roman" w:cs="Times New Roman"/>
                <w:sz w:val="24"/>
                <w:szCs w:val="24"/>
                <w:highlight w:val="none"/>
              </w:rPr>
              <w:t>的要求，本项目结合</w:t>
            </w:r>
            <w:r>
              <w:rPr>
                <w:rFonts w:hint="eastAsia" w:cs="Times New Roman"/>
                <w:sz w:val="24"/>
                <w:szCs w:val="24"/>
                <w:highlight w:val="none"/>
                <w:lang w:eastAsia="zh-CN"/>
              </w:rPr>
              <w:t>“</w:t>
            </w:r>
            <w:r>
              <w:rPr>
                <w:rFonts w:hint="default" w:ascii="Times New Roman" w:hAnsi="Times New Roman" w:cs="Times New Roman"/>
                <w:sz w:val="24"/>
                <w:szCs w:val="24"/>
                <w:highlight w:val="none"/>
              </w:rPr>
              <w:t>三线一单</w:t>
            </w:r>
            <w:r>
              <w:rPr>
                <w:rFonts w:hint="eastAsia" w:cs="Times New Roman"/>
                <w:sz w:val="24"/>
                <w:szCs w:val="24"/>
                <w:highlight w:val="none"/>
                <w:lang w:eastAsia="zh-CN"/>
              </w:rPr>
              <w:t>”的</w:t>
            </w:r>
            <w:r>
              <w:rPr>
                <w:rFonts w:hint="default" w:ascii="Times New Roman" w:hAnsi="Times New Roman" w:cs="Times New Roman"/>
                <w:sz w:val="24"/>
                <w:szCs w:val="24"/>
                <w:highlight w:val="none"/>
              </w:rPr>
              <w:t>要求进行判定。</w:t>
            </w:r>
          </w:p>
          <w:p w14:paraId="3B792E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highlight w:val="none"/>
                <w14:textFill>
                  <w14:solidFill>
                    <w14:schemeClr w14:val="tx1"/>
                  </w14:solidFill>
                </w14:textFill>
              </w:rPr>
            </w:pPr>
            <w:r>
              <w:rPr>
                <w:rFonts w:hint="default" w:ascii="Times New Roman" w:hAnsi="Times New Roman" w:cs="Times New Roman"/>
                <w:sz w:val="24"/>
                <w:szCs w:val="24"/>
                <w:highlight w:val="none"/>
              </w:rPr>
              <w:t>鄂尔多斯属于开展</w:t>
            </w:r>
            <w:r>
              <w:rPr>
                <w:rFonts w:hint="eastAsia" w:cs="Times New Roman"/>
                <w:sz w:val="24"/>
                <w:szCs w:val="24"/>
                <w:highlight w:val="none"/>
                <w:lang w:eastAsia="zh-CN"/>
              </w:rPr>
              <w:t>“</w:t>
            </w:r>
            <w:r>
              <w:rPr>
                <w:rFonts w:hint="default" w:ascii="Times New Roman" w:hAnsi="Times New Roman" w:cs="Times New Roman"/>
                <w:sz w:val="24"/>
                <w:szCs w:val="24"/>
                <w:highlight w:val="none"/>
              </w:rPr>
              <w:t>三线一单</w:t>
            </w:r>
            <w:r>
              <w:rPr>
                <w:rFonts w:hint="eastAsia" w:cs="Times New Roman"/>
                <w:sz w:val="24"/>
                <w:szCs w:val="24"/>
                <w:highlight w:val="none"/>
                <w:lang w:eastAsia="zh-CN"/>
              </w:rPr>
              <w:t>”</w:t>
            </w:r>
            <w:r>
              <w:rPr>
                <w:rFonts w:hint="default" w:ascii="Times New Roman" w:hAnsi="Times New Roman" w:cs="Times New Roman"/>
                <w:sz w:val="24"/>
                <w:szCs w:val="24"/>
                <w:highlight w:val="none"/>
              </w:rPr>
              <w:t>试点城市。2021年09月17日，鄂尔多斯市人民政府发布《鄂尔多斯市人民政府关于</w:t>
            </w:r>
            <w:r>
              <w:rPr>
                <w:rFonts w:hint="eastAsia" w:cs="Times New Roman"/>
                <w:sz w:val="24"/>
                <w:szCs w:val="24"/>
                <w:highlight w:val="none"/>
                <w:lang w:eastAsia="zh-CN"/>
              </w:rPr>
              <w:t>“</w:t>
            </w:r>
            <w:r>
              <w:rPr>
                <w:rFonts w:hint="default" w:ascii="Times New Roman" w:hAnsi="Times New Roman" w:cs="Times New Roman"/>
                <w:sz w:val="24"/>
                <w:szCs w:val="24"/>
                <w:highlight w:val="none"/>
              </w:rPr>
              <w:t>三线一单</w:t>
            </w:r>
            <w:r>
              <w:rPr>
                <w:rFonts w:hint="eastAsia" w:cs="Times New Roman"/>
                <w:sz w:val="24"/>
                <w:szCs w:val="24"/>
                <w:highlight w:val="none"/>
                <w:lang w:eastAsia="zh-CN"/>
              </w:rPr>
              <w:t>”</w:t>
            </w:r>
            <w:r>
              <w:rPr>
                <w:rFonts w:hint="default" w:ascii="Times New Roman" w:hAnsi="Times New Roman" w:cs="Times New Roman"/>
                <w:sz w:val="24"/>
                <w:szCs w:val="24"/>
                <w:highlight w:val="none"/>
              </w:rPr>
              <w:t>生态环境分区管控的实施意见》</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鄂府发〔2021〕218号</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鄂尔多斯市生态环境局于2024年8月6日印发《鄂尔多斯市生态环境分区管控动态更新成果（2023年版）》，对生态环境分区</w:t>
            </w:r>
            <w:r>
              <w:rPr>
                <w:rFonts w:hint="eastAsia" w:cs="Times New Roman"/>
                <w:sz w:val="24"/>
                <w:szCs w:val="24"/>
                <w:highlight w:val="none"/>
                <w:lang w:val="en-US" w:eastAsia="zh-CN"/>
              </w:rPr>
              <w:t>管控</w:t>
            </w:r>
            <w:r>
              <w:rPr>
                <w:rFonts w:hint="default" w:ascii="Times New Roman" w:hAnsi="Times New Roman" w:cs="Times New Roman"/>
                <w:sz w:val="24"/>
                <w:szCs w:val="24"/>
                <w:highlight w:val="none"/>
                <w:lang w:val="en-US" w:eastAsia="zh-CN"/>
              </w:rPr>
              <w:t>进行了动态更新，</w:t>
            </w:r>
            <w:r>
              <w:rPr>
                <w:rFonts w:hint="default" w:ascii="Times New Roman" w:hAnsi="Times New Roman" w:cs="Times New Roman"/>
                <w:sz w:val="24"/>
                <w:szCs w:val="24"/>
                <w:highlight w:val="none"/>
              </w:rPr>
              <w:t>总体思路是按照</w:t>
            </w:r>
            <w:r>
              <w:rPr>
                <w:rFonts w:hint="eastAsia" w:cs="Times New Roman"/>
                <w:sz w:val="24"/>
                <w:szCs w:val="24"/>
                <w:highlight w:val="none"/>
                <w:lang w:eastAsia="zh-CN"/>
              </w:rPr>
              <w:t>“</w:t>
            </w:r>
            <w:r>
              <w:rPr>
                <w:rFonts w:hint="default" w:ascii="Times New Roman" w:hAnsi="Times New Roman" w:cs="Times New Roman"/>
                <w:sz w:val="24"/>
                <w:szCs w:val="24"/>
                <w:highlight w:val="none"/>
              </w:rPr>
              <w:t>空间红线优化布局、环境质量底线调控结构、环境准入促进产业升级</w:t>
            </w:r>
            <w:r>
              <w:rPr>
                <w:rFonts w:hint="eastAsia" w:cs="Times New Roman"/>
                <w:sz w:val="24"/>
                <w:szCs w:val="24"/>
                <w:highlight w:val="none"/>
                <w:lang w:eastAsia="zh-CN"/>
              </w:rPr>
              <w:t>”</w:t>
            </w:r>
            <w:r>
              <w:rPr>
                <w:rFonts w:hint="default" w:ascii="Times New Roman" w:hAnsi="Times New Roman" w:cs="Times New Roman"/>
                <w:sz w:val="24"/>
                <w:szCs w:val="24"/>
                <w:highlight w:val="none"/>
              </w:rPr>
              <w:t>，确保发展不超载、底线不突破，将</w:t>
            </w:r>
            <w:r>
              <w:rPr>
                <w:rFonts w:hint="eastAsia" w:cs="Times New Roman"/>
                <w:sz w:val="24"/>
                <w:szCs w:val="24"/>
                <w:highlight w:val="none"/>
                <w:lang w:eastAsia="zh-CN"/>
              </w:rPr>
              <w:t>“</w:t>
            </w:r>
            <w:r>
              <w:rPr>
                <w:rFonts w:hint="default" w:ascii="Times New Roman" w:hAnsi="Times New Roman" w:cs="Times New Roman"/>
                <w:sz w:val="24"/>
                <w:szCs w:val="24"/>
                <w:highlight w:val="none"/>
              </w:rPr>
              <w:t>三线一单</w:t>
            </w:r>
            <w:r>
              <w:rPr>
                <w:rFonts w:hint="eastAsia" w:cs="Times New Roman"/>
                <w:sz w:val="24"/>
                <w:szCs w:val="24"/>
                <w:highlight w:val="none"/>
                <w:lang w:eastAsia="zh-CN"/>
              </w:rPr>
              <w:t>”</w:t>
            </w:r>
            <w:r>
              <w:rPr>
                <w:rFonts w:hint="default" w:ascii="Times New Roman" w:hAnsi="Times New Roman" w:cs="Times New Roman"/>
                <w:sz w:val="24"/>
                <w:szCs w:val="24"/>
                <w:highlight w:val="none"/>
              </w:rPr>
              <w:t>和空间、总量、准入环境管控融入经济社会发展各领域和全过程。</w:t>
            </w:r>
          </w:p>
          <w:p w14:paraId="513957C9">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（1）生态保护红线</w:t>
            </w:r>
          </w:p>
          <w:p w14:paraId="2C4FE97A">
            <w:pPr>
              <w:spacing w:line="360" w:lineRule="auto"/>
              <w:ind w:firstLine="464" w:firstLineChars="200"/>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根据《内蒙古自治区人民政府关于实施</w:t>
            </w:r>
            <w:r>
              <w:rPr>
                <w:rFonts w:hint="eastAsia" w:cs="Times New Roman"/>
                <w:color w:val="auto"/>
                <w:spacing w:val="-4"/>
                <w:sz w:val="24"/>
                <w:highlight w:val="none"/>
                <w:lang w:eastAsia="zh-CN"/>
              </w:rPr>
              <w:t>“</w:t>
            </w:r>
            <w:r>
              <w:rPr>
                <w:rFonts w:hint="default" w:ascii="Times New Roman" w:hAnsi="Times New Roman" w:cs="Times New Roman"/>
                <w:color w:val="auto"/>
                <w:spacing w:val="-4"/>
                <w:sz w:val="24"/>
                <w:highlight w:val="none"/>
              </w:rPr>
              <w:t>三线一单</w:t>
            </w:r>
            <w:r>
              <w:rPr>
                <w:rFonts w:hint="eastAsia" w:cs="Times New Roman"/>
                <w:color w:val="auto"/>
                <w:spacing w:val="-4"/>
                <w:sz w:val="24"/>
                <w:highlight w:val="none"/>
                <w:lang w:eastAsia="zh-CN"/>
              </w:rPr>
              <w:t>”</w:t>
            </w:r>
            <w:r>
              <w:rPr>
                <w:rFonts w:hint="default" w:ascii="Times New Roman" w:hAnsi="Times New Roman" w:cs="Times New Roman"/>
                <w:color w:val="auto"/>
                <w:spacing w:val="-4"/>
                <w:sz w:val="24"/>
                <w:highlight w:val="none"/>
              </w:rPr>
              <w:t>生态环境分区管控的意见》（内政发〔2020〕24号）</w:t>
            </w:r>
            <w:r>
              <w:rPr>
                <w:rFonts w:hint="eastAsia" w:ascii="Times New Roman" w:hAnsi="Times New Roman" w:cs="Times New Roman"/>
                <w:color w:val="auto"/>
                <w:spacing w:val="-4"/>
                <w:sz w:val="24"/>
                <w:highlight w:val="none"/>
                <w:lang w:eastAsia="zh-CN"/>
              </w:rPr>
              <w:t>、</w:t>
            </w:r>
            <w:r>
              <w:rPr>
                <w:rFonts w:hint="default" w:ascii="Times New Roman" w:hAnsi="Times New Roman" w:cs="Times New Roman"/>
                <w:color w:val="auto"/>
                <w:spacing w:val="-4"/>
                <w:sz w:val="24"/>
                <w:highlight w:val="none"/>
              </w:rPr>
              <w:t>《鄂尔多斯市人民政府关于</w:t>
            </w:r>
            <w:r>
              <w:rPr>
                <w:rFonts w:hint="eastAsia" w:cs="Times New Roman"/>
                <w:color w:val="auto"/>
                <w:spacing w:val="-4"/>
                <w:sz w:val="24"/>
                <w:highlight w:val="none"/>
                <w:lang w:eastAsia="zh-CN"/>
              </w:rPr>
              <w:t>“</w:t>
            </w:r>
            <w:r>
              <w:rPr>
                <w:rFonts w:hint="default" w:ascii="Times New Roman" w:hAnsi="Times New Roman" w:cs="Times New Roman"/>
                <w:color w:val="auto"/>
                <w:spacing w:val="-4"/>
                <w:sz w:val="24"/>
                <w:highlight w:val="none"/>
              </w:rPr>
              <w:t>三线一单</w:t>
            </w:r>
            <w:r>
              <w:rPr>
                <w:rFonts w:hint="eastAsia" w:cs="Times New Roman"/>
                <w:color w:val="auto"/>
                <w:spacing w:val="-4"/>
                <w:sz w:val="24"/>
                <w:highlight w:val="none"/>
                <w:lang w:eastAsia="zh-CN"/>
              </w:rPr>
              <w:t>”</w:t>
            </w:r>
            <w:r>
              <w:rPr>
                <w:rFonts w:hint="default" w:ascii="Times New Roman" w:hAnsi="Times New Roman" w:cs="Times New Roman"/>
                <w:color w:val="auto"/>
                <w:spacing w:val="-4"/>
                <w:sz w:val="24"/>
                <w:highlight w:val="none"/>
              </w:rPr>
              <w:t>生态环境分区管控的实施意见》（鄂府发〔2021〕218号）</w:t>
            </w:r>
            <w:r>
              <w:rPr>
                <w:rFonts w:hint="eastAsia" w:ascii="Times New Roman" w:hAnsi="Times New Roman" w:cs="Times New Roman"/>
                <w:color w:val="auto"/>
                <w:spacing w:val="-4"/>
                <w:sz w:val="24"/>
                <w:highlight w:val="none"/>
                <w:lang w:val="en-US" w:eastAsia="zh-CN"/>
              </w:rPr>
              <w:t>以及《鄂尔多斯市生态环境分区管控动态更新成果（2023年版）》</w:t>
            </w:r>
            <w:r>
              <w:rPr>
                <w:rFonts w:hint="eastAsia" w:cs="Times New Roman"/>
                <w:color w:val="auto"/>
                <w:spacing w:val="-4"/>
                <w:sz w:val="24"/>
                <w:highlight w:val="none"/>
                <w:lang w:eastAsia="zh-CN"/>
              </w:rPr>
              <w:t>，</w:t>
            </w:r>
            <w:r>
              <w:rPr>
                <w:rFonts w:hint="default" w:ascii="Times New Roman" w:hAnsi="Times New Roman" w:cs="Times New Roman"/>
                <w:color w:val="auto"/>
                <w:spacing w:val="-4"/>
                <w:sz w:val="24"/>
                <w:highlight w:val="none"/>
              </w:rPr>
              <w:t>全市生态空间总面积为54408.94平方公里，其中：生态保护红线面积22900.81平方公里，一般生态空间面积31508.13平方公里</w:t>
            </w:r>
            <w:r>
              <w:rPr>
                <w:rFonts w:hint="eastAsia" w:cs="Times New Roman"/>
                <w:color w:val="auto"/>
                <w:spacing w:val="-4"/>
                <w:sz w:val="24"/>
                <w:highlight w:val="none"/>
                <w:lang w:eastAsia="zh-CN"/>
              </w:rPr>
              <w:t>。</w:t>
            </w:r>
            <w:r>
              <w:rPr>
                <w:rFonts w:hint="default" w:ascii="Times New Roman" w:hAnsi="Times New Roman" w:cs="Times New Roman"/>
                <w:color w:val="auto"/>
                <w:spacing w:val="-4"/>
                <w:sz w:val="24"/>
                <w:highlight w:val="none"/>
              </w:rPr>
              <w:t>生态空间面积根据国家和自治区最新批复动态调整。</w:t>
            </w:r>
          </w:p>
          <w:p w14:paraId="072FB8A6">
            <w:pPr>
              <w:spacing w:line="360" w:lineRule="auto"/>
              <w:ind w:firstLine="464" w:firstLineChars="200"/>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全市共划定环境管控单元</w:t>
            </w:r>
            <w:r>
              <w:rPr>
                <w:rFonts w:hint="eastAsia" w:ascii="Times New Roman" w:hAnsi="Times New Roman" w:cs="Times New Roman"/>
                <w:color w:val="auto"/>
                <w:spacing w:val="-4"/>
                <w:sz w:val="24"/>
                <w:highlight w:val="none"/>
                <w:lang w:val="en-US" w:eastAsia="zh-CN"/>
              </w:rPr>
              <w:t>171</w:t>
            </w:r>
            <w:r>
              <w:rPr>
                <w:rFonts w:hint="default" w:ascii="Times New Roman" w:hAnsi="Times New Roman" w:cs="Times New Roman"/>
                <w:color w:val="auto"/>
                <w:spacing w:val="-4"/>
                <w:sz w:val="24"/>
                <w:highlight w:val="none"/>
              </w:rPr>
              <w:t>个，包括优先保护单元、重点管控单元、一般管控单元三类，实施分类管控。</w:t>
            </w:r>
          </w:p>
          <w:p w14:paraId="24DA9D7E">
            <w:pPr>
              <w:spacing w:line="360" w:lineRule="auto"/>
              <w:ind w:firstLine="464" w:firstLineChars="200"/>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优先保护单元共</w:t>
            </w:r>
            <w:r>
              <w:rPr>
                <w:rFonts w:hint="eastAsia" w:ascii="Times New Roman" w:hAnsi="Times New Roman" w:cs="Times New Roman"/>
                <w:color w:val="auto"/>
                <w:spacing w:val="-4"/>
                <w:sz w:val="24"/>
                <w:highlight w:val="none"/>
                <w:lang w:val="en-US" w:eastAsia="zh-CN"/>
              </w:rPr>
              <w:t>76</w:t>
            </w:r>
            <w:r>
              <w:rPr>
                <w:rFonts w:hint="default" w:ascii="Times New Roman" w:hAnsi="Times New Roman" w:cs="Times New Roman"/>
                <w:color w:val="auto"/>
                <w:spacing w:val="-4"/>
                <w:sz w:val="24"/>
                <w:highlight w:val="none"/>
              </w:rPr>
              <w:t>个，面积占比为</w:t>
            </w:r>
            <w:r>
              <w:rPr>
                <w:rFonts w:hint="eastAsia" w:ascii="Times New Roman" w:hAnsi="Times New Roman" w:cs="Times New Roman"/>
                <w:color w:val="auto"/>
                <w:spacing w:val="-4"/>
                <w:sz w:val="24"/>
                <w:highlight w:val="none"/>
                <w:lang w:val="en-US" w:eastAsia="zh-CN"/>
              </w:rPr>
              <w:t>64.35</w:t>
            </w:r>
            <w:r>
              <w:rPr>
                <w:rFonts w:hint="default" w:ascii="Times New Roman" w:hAnsi="Times New Roman" w:cs="Times New Roman"/>
                <w:color w:val="auto"/>
                <w:spacing w:val="-4"/>
                <w:sz w:val="24"/>
                <w:highlight w:val="none"/>
              </w:rPr>
              <w:t>%</w:t>
            </w:r>
            <w:r>
              <w:rPr>
                <w:rFonts w:hint="eastAsia" w:cs="Times New Roman"/>
                <w:color w:val="auto"/>
                <w:spacing w:val="-4"/>
                <w:sz w:val="24"/>
                <w:highlight w:val="none"/>
                <w:lang w:eastAsia="zh-CN"/>
              </w:rPr>
              <w:t>。</w:t>
            </w:r>
            <w:r>
              <w:rPr>
                <w:rFonts w:hint="default" w:ascii="Times New Roman" w:hAnsi="Times New Roman" w:cs="Times New Roman"/>
                <w:color w:val="auto"/>
                <w:spacing w:val="-4"/>
                <w:sz w:val="24"/>
                <w:highlight w:val="none"/>
              </w:rPr>
              <w:t>主要包括我市生态保护红线、自然保护地、集中式饮用水水源保护区等生态功能重要区和生态环境敏感区。该区域以生态环境保护优先为原则，依法禁止或限制大规模、高强度的工业开发和城镇建设，确保生态环境功能不降低。</w:t>
            </w:r>
          </w:p>
          <w:p w14:paraId="49C29DC1">
            <w:pPr>
              <w:spacing w:line="360" w:lineRule="auto"/>
              <w:ind w:firstLine="464" w:firstLineChars="200"/>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重点管控单元共</w:t>
            </w:r>
            <w:r>
              <w:rPr>
                <w:rFonts w:hint="eastAsia" w:ascii="Times New Roman" w:hAnsi="Times New Roman" w:cs="Times New Roman"/>
                <w:color w:val="auto"/>
                <w:spacing w:val="-4"/>
                <w:sz w:val="24"/>
                <w:highlight w:val="none"/>
                <w:lang w:val="en-US" w:eastAsia="zh-CN"/>
              </w:rPr>
              <w:t>86</w:t>
            </w:r>
            <w:r>
              <w:rPr>
                <w:rFonts w:hint="default" w:ascii="Times New Roman" w:hAnsi="Times New Roman" w:cs="Times New Roman"/>
                <w:color w:val="auto"/>
                <w:spacing w:val="-4"/>
                <w:sz w:val="24"/>
                <w:highlight w:val="none"/>
              </w:rPr>
              <w:t>个，面积占比为</w:t>
            </w:r>
            <w:r>
              <w:rPr>
                <w:rFonts w:hint="eastAsia" w:ascii="Times New Roman" w:hAnsi="Times New Roman" w:cs="Times New Roman"/>
                <w:color w:val="auto"/>
                <w:spacing w:val="-4"/>
                <w:sz w:val="24"/>
                <w:highlight w:val="none"/>
                <w:lang w:val="en-US" w:eastAsia="zh-CN"/>
              </w:rPr>
              <w:t>28.10</w:t>
            </w:r>
            <w:r>
              <w:rPr>
                <w:rFonts w:hint="default" w:ascii="Times New Roman" w:hAnsi="Times New Roman" w:cs="Times New Roman"/>
                <w:color w:val="auto"/>
                <w:spacing w:val="-4"/>
                <w:sz w:val="24"/>
                <w:highlight w:val="none"/>
              </w:rPr>
              <w:t>%，主要包括工业园区、城市、矿区等开发强度高、污染排放量大、环境问题相对集中的区域，以及生态需水补给区等。该区域应不断提升资源利用效率，有针对性地加强污染物排放控制和环境风险防控，解决生态环境质量不达标、生态环境风险高等问题。</w:t>
            </w:r>
          </w:p>
          <w:p w14:paraId="29D301B2">
            <w:pPr>
              <w:spacing w:line="360" w:lineRule="auto"/>
              <w:ind w:firstLine="464" w:firstLineChars="200"/>
              <w:rPr>
                <w:color w:val="000000" w:themeColor="text1"/>
                <w:sz w:val="24"/>
                <w:highlight w:val="none"/>
                <w14:textFill>
                  <w14:solidFill>
                    <w14:schemeClr w14:val="tx1"/>
                  </w14:solidFill>
                </w14:textFill>
              </w:rPr>
            </w:pPr>
            <w:r>
              <w:rPr>
                <w:rFonts w:hint="default" w:ascii="Times New Roman" w:hAnsi="Times New Roman" w:cs="Times New Roman"/>
                <w:color w:val="auto"/>
                <w:spacing w:val="-4"/>
                <w:sz w:val="24"/>
                <w:highlight w:val="none"/>
              </w:rPr>
              <w:t>一般管控单元共</w:t>
            </w:r>
            <w:r>
              <w:rPr>
                <w:rFonts w:hint="eastAsia" w:ascii="Times New Roman" w:hAnsi="Times New Roman" w:cs="Times New Roman"/>
                <w:color w:val="auto"/>
                <w:spacing w:val="-4"/>
                <w:sz w:val="24"/>
                <w:highlight w:val="none"/>
                <w:lang w:val="en-US" w:eastAsia="zh-CN"/>
              </w:rPr>
              <w:t>9</w:t>
            </w:r>
            <w:r>
              <w:rPr>
                <w:rFonts w:hint="default" w:ascii="Times New Roman" w:hAnsi="Times New Roman" w:cs="Times New Roman"/>
                <w:color w:val="auto"/>
                <w:spacing w:val="-4"/>
                <w:sz w:val="24"/>
                <w:highlight w:val="none"/>
              </w:rPr>
              <w:t>个，面积占比为</w:t>
            </w:r>
            <w:r>
              <w:rPr>
                <w:rFonts w:hint="eastAsia" w:ascii="Times New Roman" w:hAnsi="Times New Roman" w:cs="Times New Roman"/>
                <w:color w:val="auto"/>
                <w:spacing w:val="-4"/>
                <w:sz w:val="24"/>
                <w:highlight w:val="none"/>
                <w:lang w:val="en-US" w:eastAsia="zh-CN"/>
              </w:rPr>
              <w:t>7.56</w:t>
            </w:r>
            <w:r>
              <w:rPr>
                <w:rFonts w:hint="default" w:ascii="Times New Roman" w:hAnsi="Times New Roman" w:cs="Times New Roman"/>
                <w:color w:val="auto"/>
                <w:spacing w:val="-4"/>
                <w:sz w:val="24"/>
                <w:highlight w:val="none"/>
              </w:rPr>
              <w:t>%</w:t>
            </w:r>
            <w:r>
              <w:rPr>
                <w:rFonts w:hint="eastAsia" w:cs="Times New Roman"/>
                <w:color w:val="auto"/>
                <w:spacing w:val="-4"/>
                <w:sz w:val="24"/>
                <w:highlight w:val="none"/>
                <w:lang w:eastAsia="zh-CN"/>
              </w:rPr>
              <w:t>。除</w:t>
            </w:r>
            <w:r>
              <w:rPr>
                <w:rFonts w:hint="default" w:ascii="Times New Roman" w:hAnsi="Times New Roman" w:cs="Times New Roman"/>
                <w:color w:val="auto"/>
                <w:spacing w:val="-4"/>
                <w:sz w:val="24"/>
                <w:highlight w:val="none"/>
              </w:rPr>
              <w:t>优先保护单元、重点管控单元之外为一般管控单元。该区域主要落实生态环境保护基本要求。</w:t>
            </w:r>
          </w:p>
          <w:p w14:paraId="413C7316">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本项目位于</w:t>
            </w:r>
            <w:r>
              <w:rPr>
                <w:color w:val="000000" w:themeColor="text1"/>
                <w:kern w:val="0"/>
                <w:sz w:val="24"/>
                <w:highlight w:val="none"/>
                <w14:textFill>
                  <w14:solidFill>
                    <w14:schemeClr w14:val="tx1"/>
                  </w14:solidFill>
                </w14:textFill>
              </w:rPr>
              <w:t>内蒙古</w:t>
            </w:r>
            <w:r>
              <w:rPr>
                <w:rFonts w:hint="eastAsia"/>
                <w:color w:val="000000" w:themeColor="text1"/>
                <w:kern w:val="0"/>
                <w:sz w:val="24"/>
                <w:highlight w:val="none"/>
                <w:lang w:val="en-US" w:eastAsia="zh-CN"/>
                <w14:textFill>
                  <w14:solidFill>
                    <w14:schemeClr w14:val="tx1"/>
                  </w14:solidFill>
                </w14:textFill>
              </w:rPr>
              <w:t>自治区</w:t>
            </w:r>
            <w:r>
              <w:rPr>
                <w:color w:val="000000" w:themeColor="text1"/>
                <w:kern w:val="0"/>
                <w:sz w:val="24"/>
                <w:highlight w:val="none"/>
                <w14:textFill>
                  <w14:solidFill>
                    <w14:schemeClr w14:val="tx1"/>
                  </w14:solidFill>
                </w14:textFill>
              </w:rPr>
              <w:t>鄂尔多斯</w:t>
            </w:r>
            <w:r>
              <w:rPr>
                <w:rFonts w:hint="eastAsia"/>
                <w:color w:val="000000" w:themeColor="text1"/>
                <w:kern w:val="0"/>
                <w:sz w:val="24"/>
                <w:highlight w:val="none"/>
                <w:lang w:val="en-US" w:eastAsia="zh-CN"/>
                <w14:textFill>
                  <w14:solidFill>
                    <w14:schemeClr w14:val="tx1"/>
                  </w14:solidFill>
                </w14:textFill>
              </w:rPr>
              <w:t>市</w:t>
            </w:r>
            <w:r>
              <w:rPr>
                <w:color w:val="000000" w:themeColor="text1"/>
                <w:kern w:val="0"/>
                <w:sz w:val="24"/>
                <w:highlight w:val="none"/>
                <w14:textFill>
                  <w14:solidFill>
                    <w14:schemeClr w14:val="tx1"/>
                  </w14:solidFill>
                </w14:textFill>
              </w:rPr>
              <w:t>杭锦</w:t>
            </w:r>
            <w:r>
              <w:rPr>
                <w:rFonts w:hint="eastAsia"/>
                <w:color w:val="000000" w:themeColor="text1"/>
                <w:kern w:val="0"/>
                <w:sz w:val="24"/>
                <w:highlight w:val="none"/>
                <w:lang w:val="en-US" w:eastAsia="zh-CN"/>
                <w14:textFill>
                  <w14:solidFill>
                    <w14:schemeClr w14:val="tx1"/>
                  </w14:solidFill>
                </w14:textFill>
              </w:rPr>
              <w:t>旗</w:t>
            </w:r>
            <w:r>
              <w:rPr>
                <w:color w:val="000000" w:themeColor="text1"/>
                <w:sz w:val="24"/>
                <w:highlight w:val="none"/>
                <w14:textFill>
                  <w14:solidFill>
                    <w14:schemeClr w14:val="tx1"/>
                  </w14:solidFill>
                </w14:textFill>
              </w:rPr>
              <w:t>，属于</w:t>
            </w:r>
            <w:r>
              <w:rPr>
                <w:rFonts w:hint="eastAsia"/>
                <w:color w:val="000000" w:themeColor="text1"/>
                <w:sz w:val="24"/>
                <w:highlight w:val="none"/>
                <w14:textFill>
                  <w14:solidFill>
                    <w14:schemeClr w14:val="tx1"/>
                  </w14:solidFill>
                </w14:textFill>
              </w:rPr>
              <w:t>鄂尔多斯新能源产业示范区</w:t>
            </w:r>
            <w:r>
              <w:rPr>
                <w:color w:val="000000" w:themeColor="text1"/>
                <w:sz w:val="24"/>
                <w:highlight w:val="none"/>
                <w14:textFill>
                  <w14:solidFill>
                    <w14:schemeClr w14:val="tx1"/>
                  </w14:solidFill>
                </w14:textFill>
              </w:rPr>
              <w:t>重点管控单元</w:t>
            </w:r>
            <w:r>
              <w:rPr>
                <w:rFonts w:hint="eastAsia"/>
                <w:color w:val="000000" w:themeColor="text1"/>
                <w:sz w:val="24"/>
                <w:highlight w:val="none"/>
                <w14:textFill>
                  <w14:solidFill>
                    <w14:schemeClr w14:val="tx1"/>
                  </w14:solidFill>
                </w14:textFill>
              </w:rPr>
              <w:t>。</w:t>
            </w:r>
          </w:p>
          <w:p w14:paraId="4717EF9A">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本项目属于</w:t>
            </w:r>
            <w:r>
              <w:rPr>
                <w:rFonts w:hint="eastAsia"/>
                <w:color w:val="auto"/>
                <w:sz w:val="24"/>
                <w:highlight w:val="none"/>
              </w:rPr>
              <w:t>砼结构</w:t>
            </w:r>
            <w:r>
              <w:rPr>
                <w:color w:val="auto"/>
                <w:sz w:val="24"/>
                <w:highlight w:val="none"/>
              </w:rPr>
              <w:t>构件制造项目</w:t>
            </w:r>
            <w:r>
              <w:rPr>
                <w:color w:val="000000" w:themeColor="text1"/>
                <w:sz w:val="24"/>
                <w:highlight w:val="none"/>
                <w14:textFill>
                  <w14:solidFill>
                    <w14:schemeClr w14:val="tx1"/>
                  </w14:solidFill>
                </w14:textFill>
              </w:rPr>
              <w:t>，属于污染物排放控制类型，符合生态保护红线要求。</w:t>
            </w:r>
          </w:p>
          <w:p w14:paraId="73BFB4A3">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（2）环境质量底线</w:t>
            </w:r>
          </w:p>
          <w:p w14:paraId="15088346">
            <w:pPr>
              <w:adjustRightInd w:val="0"/>
              <w:snapToGrid w:val="0"/>
              <w:spacing w:line="360" w:lineRule="auto"/>
              <w:ind w:firstLine="480" w:firstLineChars="200"/>
              <w:jc w:val="both"/>
              <w:rPr>
                <w:rStyle w:val="34"/>
                <w:rFonts w:hint="default" w:ascii="Times New Roman" w:hAnsi="Times New Roman" w:cs="Times New Roman"/>
                <w:color w:val="auto"/>
                <w:kern w:val="0"/>
                <w:sz w:val="24"/>
                <w:highlight w:val="none"/>
                <w:lang w:val="en-US" w:eastAsia="zh-CN"/>
              </w:rPr>
            </w:pPr>
            <w:r>
              <w:rPr>
                <w:rStyle w:val="34"/>
                <w:rFonts w:hint="default" w:ascii="Times New Roman" w:hAnsi="Times New Roman" w:cs="Times New Roman"/>
                <w:color w:val="auto"/>
                <w:kern w:val="0"/>
                <w:sz w:val="24"/>
                <w:highlight w:val="none"/>
                <w:lang w:val="en-US" w:eastAsia="zh-CN"/>
              </w:rPr>
              <w:t>根据内蒙古自治区生态环境厅于2024年6月发布的《2023年内蒙古自治区生态环境状况公告》中全区环境空气质量监测数据，除乌海市各污染物平均浓度均低于《环境空气质量标准》（GB3095-2012）及其修改单二级标准浓度限值要求</w:t>
            </w:r>
            <w:r>
              <w:rPr>
                <w:rStyle w:val="34"/>
                <w:rFonts w:hint="eastAsia" w:cs="Times New Roman"/>
                <w:color w:val="auto"/>
                <w:kern w:val="0"/>
                <w:sz w:val="24"/>
                <w:highlight w:val="none"/>
                <w:lang w:val="en-US" w:eastAsia="zh-CN"/>
              </w:rPr>
              <w:t>外</w:t>
            </w:r>
            <w:r>
              <w:rPr>
                <w:rStyle w:val="34"/>
                <w:rFonts w:hint="default" w:ascii="Times New Roman" w:hAnsi="Times New Roman" w:cs="Times New Roman"/>
                <w:color w:val="auto"/>
                <w:kern w:val="0"/>
                <w:sz w:val="24"/>
                <w:highlight w:val="none"/>
                <w:lang w:val="en-US" w:eastAsia="zh-CN"/>
              </w:rPr>
              <w:t>，项目所在区域为达标区；根据现状监测数据可知，评价范围内TSP浓度满足《环境空气质量标准》（GB3095-2012）二级标准限值</w:t>
            </w:r>
            <w:r>
              <w:rPr>
                <w:rStyle w:val="34"/>
                <w:rFonts w:hint="eastAsia" w:ascii="Times New Roman" w:hAnsi="Times New Roman" w:cs="Times New Roman"/>
                <w:color w:val="auto"/>
                <w:kern w:val="0"/>
                <w:sz w:val="24"/>
                <w:highlight w:val="none"/>
                <w:lang w:val="en-US" w:eastAsia="zh-CN"/>
              </w:rPr>
              <w:t>。</w:t>
            </w:r>
            <w:r>
              <w:rPr>
                <w:rStyle w:val="34"/>
                <w:rFonts w:hint="default" w:ascii="Times New Roman" w:hAnsi="Times New Roman" w:cs="Times New Roman"/>
                <w:color w:val="auto"/>
                <w:kern w:val="0"/>
                <w:sz w:val="24"/>
                <w:highlight w:val="none"/>
                <w:lang w:val="en-US" w:eastAsia="zh-CN"/>
              </w:rPr>
              <w:t>总体环境现状符合环境功能区划要求。本项目运营过程中会产生一定量的废气、噪声和固体废物，采取相应措施后均可达标排放，不会明显降低区域环境质量现状，因此项目的建设不会对当地环境质量底线造成冲击，不会改变区域环境功能区质量要求，能维持环境功能区质量现状。</w:t>
            </w:r>
          </w:p>
          <w:p w14:paraId="02F16469">
            <w:pPr>
              <w:adjustRightInd w:val="0"/>
              <w:snapToGrid w:val="0"/>
              <w:spacing w:line="360" w:lineRule="auto"/>
              <w:ind w:firstLine="480" w:firstLineChars="200"/>
              <w:jc w:val="left"/>
              <w:rPr>
                <w:rStyle w:val="34"/>
                <w:rFonts w:hint="default" w:ascii="Times New Roman" w:hAnsi="Times New Roman" w:cs="Times New Roman"/>
                <w:color w:val="auto"/>
                <w:kern w:val="0"/>
                <w:sz w:val="24"/>
                <w:highlight w:val="none"/>
                <w:lang w:val="en-US" w:eastAsia="zh-CN"/>
              </w:rPr>
            </w:pPr>
            <w:r>
              <w:rPr>
                <w:rStyle w:val="34"/>
                <w:rFonts w:hint="default" w:ascii="Times New Roman" w:hAnsi="Times New Roman" w:cs="Times New Roman"/>
                <w:color w:val="auto"/>
                <w:kern w:val="0"/>
                <w:sz w:val="24"/>
                <w:highlight w:val="none"/>
                <w:lang w:val="en-US" w:eastAsia="zh-CN"/>
              </w:rPr>
              <w:t>（3）资源利用上线</w:t>
            </w:r>
          </w:p>
          <w:p w14:paraId="541F37DA">
            <w:pPr>
              <w:adjustRightInd w:val="0"/>
              <w:snapToGrid w:val="0"/>
              <w:spacing w:line="360" w:lineRule="auto"/>
              <w:ind w:firstLine="480" w:firstLineChars="200"/>
              <w:jc w:val="left"/>
              <w:rPr>
                <w:rStyle w:val="34"/>
                <w:rFonts w:hint="default" w:ascii="Times New Roman" w:hAnsi="Times New Roman" w:cs="Times New Roman"/>
                <w:color w:val="auto"/>
                <w:kern w:val="0"/>
                <w:sz w:val="24"/>
                <w:highlight w:val="none"/>
                <w:lang w:val="en-US" w:eastAsia="zh-CN"/>
              </w:rPr>
            </w:pPr>
            <w:r>
              <w:rPr>
                <w:rStyle w:val="34"/>
                <w:rFonts w:hint="default" w:ascii="Times New Roman" w:hAnsi="Times New Roman" w:cs="Times New Roman"/>
                <w:color w:val="auto"/>
                <w:kern w:val="0"/>
                <w:sz w:val="24"/>
                <w:highlight w:val="none"/>
                <w:lang w:val="en-US" w:eastAsia="zh-CN"/>
              </w:rPr>
              <w:t>资源利用上线指按照自然资源资产</w:t>
            </w:r>
            <w:r>
              <w:rPr>
                <w:rStyle w:val="34"/>
                <w:rFonts w:hint="eastAsia" w:cs="Times New Roman"/>
                <w:color w:val="auto"/>
                <w:kern w:val="0"/>
                <w:sz w:val="24"/>
                <w:highlight w:val="none"/>
                <w:lang w:val="en-US" w:eastAsia="zh-CN"/>
              </w:rPr>
              <w:t>“</w:t>
            </w:r>
            <w:r>
              <w:rPr>
                <w:rStyle w:val="34"/>
                <w:rFonts w:hint="default" w:ascii="Times New Roman" w:hAnsi="Times New Roman" w:cs="Times New Roman"/>
                <w:color w:val="auto"/>
                <w:kern w:val="0"/>
                <w:sz w:val="24"/>
                <w:highlight w:val="none"/>
                <w:lang w:val="en-US" w:eastAsia="zh-CN"/>
              </w:rPr>
              <w:t>只能增值、不能贬值</w:t>
            </w:r>
            <w:r>
              <w:rPr>
                <w:rStyle w:val="34"/>
                <w:rFonts w:hint="eastAsia" w:cs="Times New Roman"/>
                <w:color w:val="auto"/>
                <w:kern w:val="0"/>
                <w:sz w:val="24"/>
                <w:highlight w:val="none"/>
                <w:lang w:val="en-US" w:eastAsia="zh-CN"/>
              </w:rPr>
              <w:t>”</w:t>
            </w:r>
            <w:r>
              <w:rPr>
                <w:rStyle w:val="34"/>
                <w:rFonts w:hint="default" w:ascii="Times New Roman" w:hAnsi="Times New Roman" w:cs="Times New Roman"/>
                <w:color w:val="auto"/>
                <w:kern w:val="0"/>
                <w:sz w:val="24"/>
                <w:highlight w:val="none"/>
                <w:lang w:val="en-US" w:eastAsia="zh-CN"/>
              </w:rPr>
              <w:t>的原则，以保障生态安全和改善环境质量为目的，参考自然资源资产负债表，结合自然资源开发利用效率，提出的分区域分阶段的资源开发利用总量、强度、效率等上线管控要求。</w:t>
            </w:r>
          </w:p>
          <w:p w14:paraId="1561CC86">
            <w:pPr>
              <w:adjustRightInd w:val="0"/>
              <w:snapToGrid w:val="0"/>
              <w:spacing w:line="360" w:lineRule="auto"/>
              <w:ind w:firstLine="480" w:firstLineChars="200"/>
              <w:jc w:val="both"/>
              <w:rPr>
                <w:rStyle w:val="34"/>
                <w:rFonts w:hint="default" w:ascii="Times New Roman" w:hAnsi="Times New Roman" w:cs="Times New Roman"/>
                <w:color w:val="auto"/>
                <w:kern w:val="0"/>
                <w:sz w:val="24"/>
                <w:highlight w:val="none"/>
              </w:rPr>
            </w:pPr>
            <w:r>
              <w:rPr>
                <w:rStyle w:val="34"/>
                <w:rFonts w:hint="default" w:ascii="Times New Roman" w:hAnsi="Times New Roman" w:cs="Times New Roman"/>
                <w:color w:val="auto"/>
                <w:kern w:val="0"/>
                <w:sz w:val="24"/>
                <w:highlight w:val="none"/>
                <w:lang w:val="en-US" w:eastAsia="zh-CN"/>
              </w:rPr>
              <w:t>本项目资源消耗量较小，施工</w:t>
            </w:r>
            <w:r>
              <w:rPr>
                <w:rStyle w:val="34"/>
                <w:rFonts w:hint="eastAsia" w:cs="Times New Roman"/>
                <w:color w:val="auto"/>
                <w:kern w:val="0"/>
                <w:sz w:val="24"/>
                <w:highlight w:val="none"/>
                <w:lang w:val="en-US" w:eastAsia="zh-CN"/>
              </w:rPr>
              <w:t>过程</w:t>
            </w:r>
            <w:r>
              <w:rPr>
                <w:rStyle w:val="34"/>
                <w:rFonts w:hint="default" w:ascii="Times New Roman" w:hAnsi="Times New Roman" w:cs="Times New Roman"/>
                <w:color w:val="auto"/>
                <w:kern w:val="0"/>
                <w:sz w:val="24"/>
                <w:highlight w:val="none"/>
                <w:lang w:val="en-US" w:eastAsia="zh-CN"/>
              </w:rPr>
              <w:t>中</w:t>
            </w:r>
            <w:r>
              <w:rPr>
                <w:rStyle w:val="34"/>
                <w:rFonts w:hint="eastAsia" w:cs="Times New Roman"/>
                <w:color w:val="auto"/>
                <w:kern w:val="0"/>
                <w:sz w:val="24"/>
                <w:highlight w:val="none"/>
                <w:lang w:val="en-US" w:eastAsia="zh-CN"/>
              </w:rPr>
              <w:t>要</w:t>
            </w:r>
            <w:r>
              <w:rPr>
                <w:rStyle w:val="34"/>
                <w:rFonts w:hint="default" w:ascii="Times New Roman" w:hAnsi="Times New Roman" w:cs="Times New Roman"/>
                <w:color w:val="auto"/>
                <w:kern w:val="0"/>
                <w:sz w:val="24"/>
                <w:highlight w:val="none"/>
                <w:lang w:val="en-US" w:eastAsia="zh-CN"/>
              </w:rPr>
              <w:t>加强节能建设，提高能源利用率。建成运行后通过加强节能管理、节能设备的选择以及污染控制措施的实施等手段，以</w:t>
            </w:r>
            <w:r>
              <w:rPr>
                <w:rStyle w:val="34"/>
                <w:rFonts w:hint="eastAsia" w:cs="Times New Roman"/>
                <w:color w:val="auto"/>
                <w:kern w:val="0"/>
                <w:sz w:val="24"/>
                <w:highlight w:val="none"/>
                <w:lang w:val="en-US" w:eastAsia="zh-CN"/>
              </w:rPr>
              <w:t>“</w:t>
            </w:r>
            <w:r>
              <w:rPr>
                <w:rStyle w:val="34"/>
                <w:rFonts w:hint="default" w:ascii="Times New Roman" w:hAnsi="Times New Roman" w:cs="Times New Roman"/>
                <w:color w:val="auto"/>
                <w:kern w:val="0"/>
                <w:sz w:val="24"/>
                <w:highlight w:val="none"/>
                <w:lang w:val="en-US" w:eastAsia="zh-CN"/>
              </w:rPr>
              <w:t>节能、降耗、减污</w:t>
            </w:r>
            <w:r>
              <w:rPr>
                <w:rStyle w:val="34"/>
                <w:rFonts w:hint="eastAsia" w:cs="Times New Roman"/>
                <w:color w:val="auto"/>
                <w:kern w:val="0"/>
                <w:sz w:val="24"/>
                <w:highlight w:val="none"/>
                <w:lang w:val="en-US" w:eastAsia="zh-CN"/>
              </w:rPr>
              <w:t>”</w:t>
            </w:r>
            <w:r>
              <w:rPr>
                <w:rStyle w:val="34"/>
                <w:rFonts w:hint="default" w:ascii="Times New Roman" w:hAnsi="Times New Roman" w:cs="Times New Roman"/>
                <w:color w:val="auto"/>
                <w:kern w:val="0"/>
                <w:sz w:val="24"/>
                <w:highlight w:val="none"/>
                <w:lang w:val="en-US" w:eastAsia="zh-CN"/>
              </w:rPr>
              <w:t>为目的，有效</w:t>
            </w:r>
            <w:r>
              <w:rPr>
                <w:rStyle w:val="34"/>
                <w:rFonts w:hint="eastAsia" w:cs="Times New Roman"/>
                <w:color w:val="auto"/>
                <w:kern w:val="0"/>
                <w:sz w:val="24"/>
                <w:highlight w:val="none"/>
                <w:lang w:val="en-US" w:eastAsia="zh-CN"/>
              </w:rPr>
              <w:t>地</w:t>
            </w:r>
            <w:r>
              <w:rPr>
                <w:rStyle w:val="34"/>
                <w:rFonts w:hint="default" w:ascii="Times New Roman" w:hAnsi="Times New Roman" w:cs="Times New Roman"/>
                <w:color w:val="auto"/>
                <w:kern w:val="0"/>
                <w:sz w:val="24"/>
                <w:highlight w:val="none"/>
                <w:lang w:val="en-US" w:eastAsia="zh-CN"/>
              </w:rPr>
              <w:t>控制污染。项目的水、电等资源不会突破当地的资源利用上线。</w:t>
            </w:r>
          </w:p>
          <w:p w14:paraId="36FD45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highlight w:val="none"/>
              </w:rPr>
            </w:pPr>
            <w:r>
              <w:rPr>
                <w:rFonts w:hint="default"/>
                <w:sz w:val="24"/>
                <w:szCs w:val="24"/>
                <w:highlight w:val="none"/>
              </w:rPr>
              <w:t>（4）生态环境准入清单</w:t>
            </w:r>
          </w:p>
          <w:p w14:paraId="7F30F7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highlight w:val="none"/>
              </w:rPr>
            </w:pPr>
            <w:r>
              <w:rPr>
                <w:rFonts w:hint="default"/>
                <w:sz w:val="24"/>
                <w:szCs w:val="24"/>
                <w:highlight w:val="none"/>
                <w:lang w:val="en-US" w:eastAsia="zh-CN"/>
              </w:rPr>
              <w:t>根据</w:t>
            </w:r>
            <w:r>
              <w:rPr>
                <w:rFonts w:hint="default"/>
                <w:sz w:val="24"/>
                <w:szCs w:val="24"/>
                <w:highlight w:val="none"/>
              </w:rPr>
              <w:t>《鄂尔多斯市人民政府关于</w:t>
            </w:r>
            <w:r>
              <w:rPr>
                <w:rFonts w:hint="eastAsia"/>
                <w:sz w:val="24"/>
                <w:szCs w:val="24"/>
                <w:highlight w:val="none"/>
                <w:lang w:eastAsia="zh-CN"/>
              </w:rPr>
              <w:t>“</w:t>
            </w:r>
            <w:r>
              <w:rPr>
                <w:rFonts w:hint="default"/>
                <w:sz w:val="24"/>
                <w:szCs w:val="24"/>
                <w:highlight w:val="none"/>
              </w:rPr>
              <w:t>三线一单</w:t>
            </w:r>
            <w:r>
              <w:rPr>
                <w:rFonts w:hint="eastAsia"/>
                <w:sz w:val="24"/>
                <w:szCs w:val="24"/>
                <w:highlight w:val="none"/>
                <w:lang w:eastAsia="zh-CN"/>
              </w:rPr>
              <w:t>”</w:t>
            </w:r>
            <w:r>
              <w:rPr>
                <w:rFonts w:hint="default"/>
                <w:sz w:val="24"/>
                <w:szCs w:val="24"/>
                <w:highlight w:val="none"/>
              </w:rPr>
              <w:t>生态环境分区管控的实施意见》（鄂府发〔2021〕218号）</w:t>
            </w:r>
            <w:r>
              <w:rPr>
                <w:rFonts w:hint="eastAsia"/>
                <w:sz w:val="24"/>
                <w:szCs w:val="24"/>
                <w:highlight w:val="none"/>
                <w:lang w:val="en-US" w:eastAsia="zh-CN"/>
              </w:rPr>
              <w:t>、《鄂尔多斯市生态环境管控准入清单（2023年）》，</w:t>
            </w:r>
            <w:r>
              <w:rPr>
                <w:rFonts w:hint="eastAsia"/>
                <w:color w:val="000000" w:themeColor="text1"/>
                <w:sz w:val="24"/>
                <w:highlight w:val="none"/>
                <w14:textFill>
                  <w14:solidFill>
                    <w14:schemeClr w14:val="tx1"/>
                  </w14:solidFill>
                </w14:textFill>
              </w:rPr>
              <w:t>本项目属于重点管控单元</w:t>
            </w:r>
            <w:r>
              <w:rPr>
                <w:rFonts w:hint="default"/>
                <w:sz w:val="24"/>
                <w:szCs w:val="24"/>
                <w:highlight w:val="none"/>
              </w:rPr>
              <w:t>—</w:t>
            </w:r>
            <w:r>
              <w:rPr>
                <w:rFonts w:hint="eastAsia"/>
                <w:color w:val="000000" w:themeColor="text1"/>
                <w:sz w:val="24"/>
                <w:highlight w:val="none"/>
                <w14:textFill>
                  <w14:solidFill>
                    <w14:schemeClr w14:val="tx1"/>
                  </w14:solidFill>
                </w14:textFill>
              </w:rPr>
              <w:t>鄂尔多斯新能源产业示范区重点管控单元（编码</w:t>
            </w:r>
            <w:r>
              <w:rPr>
                <w:color w:val="000000" w:themeColor="text1"/>
                <w:sz w:val="24"/>
                <w:highlight w:val="none"/>
                <w14:textFill>
                  <w14:solidFill>
                    <w14:schemeClr w14:val="tx1"/>
                  </w14:solidFill>
                </w14:textFill>
              </w:rPr>
              <w:t>ZH15062</w:t>
            </w:r>
            <w:r>
              <w:rPr>
                <w:rFonts w:hint="eastAsia"/>
                <w:color w:val="000000" w:themeColor="text1"/>
                <w:sz w:val="24"/>
                <w:highlight w:val="none"/>
                <w14:textFill>
                  <w14:solidFill>
                    <w14:schemeClr w14:val="tx1"/>
                  </w14:solidFill>
                </w14:textFill>
              </w:rPr>
              <w:t>520002）</w:t>
            </w:r>
            <w:r>
              <w:rPr>
                <w:rFonts w:hint="default"/>
                <w:sz w:val="24"/>
                <w:szCs w:val="24"/>
                <w:highlight w:val="none"/>
                <w:lang w:val="en-US" w:eastAsia="zh-CN"/>
              </w:rPr>
              <w:t>。</w:t>
            </w:r>
            <w:r>
              <w:rPr>
                <w:rFonts w:hint="eastAsia"/>
                <w:sz w:val="24"/>
                <w:szCs w:val="24"/>
                <w:highlight w:val="none"/>
                <w:lang w:val="en-US" w:eastAsia="zh-CN"/>
              </w:rPr>
              <w:t>具体</w:t>
            </w:r>
            <w:r>
              <w:rPr>
                <w:rFonts w:hint="default"/>
                <w:sz w:val="24"/>
                <w:szCs w:val="24"/>
                <w:highlight w:val="none"/>
                <w:lang w:val="en-US" w:eastAsia="zh-CN"/>
              </w:rPr>
              <w:t>如下：</w:t>
            </w:r>
          </w:p>
          <w:p w14:paraId="111D2D68">
            <w:pPr>
              <w:pStyle w:val="9"/>
              <w:spacing w:before="0" w:after="0" w:line="360" w:lineRule="auto"/>
              <w:ind w:right="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表1-1本项目与生态环境准入清单符合性分析表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3342"/>
              <w:gridCol w:w="2117"/>
            </w:tblGrid>
            <w:tr w14:paraId="6269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3" w:type="dxa"/>
                  <w:gridSpan w:val="2"/>
                </w:tcPr>
                <w:p w14:paraId="27639AFE">
                  <w:pPr>
                    <w:pStyle w:val="29"/>
                    <w:ind w:left="0" w:leftChars="0" w:firstLine="0" w:firstLineChars="0"/>
                    <w:jc w:val="center"/>
                    <w:rPr>
                      <w:sz w:val="21"/>
                      <w:szCs w:val="21"/>
                      <w:highlight w:val="none"/>
                    </w:rPr>
                  </w:pPr>
                  <w:r>
                    <w:rPr>
                      <w:sz w:val="21"/>
                      <w:szCs w:val="21"/>
                      <w:highlight w:val="none"/>
                    </w:rPr>
                    <w:t>重点管控单元</w:t>
                  </w:r>
                  <w:r>
                    <w:rPr>
                      <w:rFonts w:hint="eastAsia"/>
                      <w:sz w:val="21"/>
                      <w:szCs w:val="21"/>
                      <w:highlight w:val="none"/>
                    </w:rPr>
                    <w:t>要求</w:t>
                  </w:r>
                </w:p>
              </w:tc>
              <w:tc>
                <w:tcPr>
                  <w:tcW w:w="2117" w:type="dxa"/>
                </w:tcPr>
                <w:p w14:paraId="333DBC32">
                  <w:pPr>
                    <w:pStyle w:val="29"/>
                    <w:ind w:left="0" w:leftChars="0" w:firstLine="0" w:firstLineChars="0"/>
                    <w:jc w:val="center"/>
                    <w:rPr>
                      <w:sz w:val="21"/>
                      <w:szCs w:val="21"/>
                      <w:highlight w:val="none"/>
                    </w:rPr>
                  </w:pPr>
                  <w:r>
                    <w:rPr>
                      <w:sz w:val="21"/>
                      <w:szCs w:val="21"/>
                      <w:highlight w:val="none"/>
                    </w:rPr>
                    <w:t>本项目</w:t>
                  </w:r>
                </w:p>
              </w:tc>
            </w:tr>
            <w:tr w14:paraId="39D0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vAlign w:val="center"/>
                </w:tcPr>
                <w:p w14:paraId="065E933A">
                  <w:pPr>
                    <w:pStyle w:val="29"/>
                    <w:ind w:left="0" w:leftChars="0" w:firstLine="0" w:firstLineChars="0"/>
                    <w:rPr>
                      <w:sz w:val="21"/>
                      <w:szCs w:val="21"/>
                      <w:highlight w:val="none"/>
                    </w:rPr>
                  </w:pPr>
                  <w:r>
                    <w:rPr>
                      <w:sz w:val="21"/>
                      <w:szCs w:val="21"/>
                      <w:highlight w:val="none"/>
                    </w:rPr>
                    <w:t>空间布局约束</w:t>
                  </w:r>
                </w:p>
              </w:tc>
              <w:tc>
                <w:tcPr>
                  <w:tcW w:w="3342" w:type="dxa"/>
                  <w:vAlign w:val="center"/>
                </w:tcPr>
                <w:p w14:paraId="7542B9C9">
                  <w:pPr>
                    <w:widowControl/>
                    <w:rPr>
                      <w:kern w:val="0"/>
                      <w:szCs w:val="21"/>
                      <w:highlight w:val="none"/>
                    </w:rPr>
                  </w:pPr>
                  <w:r>
                    <w:rPr>
                      <w:rStyle w:val="52"/>
                      <w:rFonts w:ascii="Times New Roman" w:hAnsi="Times New Roman"/>
                      <w:sz w:val="21"/>
                      <w:szCs w:val="21"/>
                      <w:highlight w:val="none"/>
                    </w:rPr>
                    <w:t>1.</w:t>
                  </w:r>
                  <w:r>
                    <w:rPr>
                      <w:rStyle w:val="90"/>
                      <w:rFonts w:hint="eastAsia" w:ascii="Times New Roman" w:hAnsi="Times New Roman"/>
                      <w:sz w:val="21"/>
                      <w:szCs w:val="21"/>
                      <w:highlight w:val="none"/>
                    </w:rPr>
                    <w:t>禁止不符合园区产业定位及规划环评等要求的项目入园；国家明令淘汰的落后产能和不符合国家产业政策的项目，禁止向工业园区转移。</w:t>
                  </w:r>
                  <w:r>
                    <w:rPr>
                      <w:rStyle w:val="52"/>
                      <w:rFonts w:ascii="Times New Roman" w:hAnsi="Times New Roman"/>
                      <w:sz w:val="21"/>
                      <w:szCs w:val="21"/>
                      <w:highlight w:val="none"/>
                    </w:rPr>
                    <w:t>2.</w:t>
                  </w:r>
                  <w:r>
                    <w:rPr>
                      <w:rStyle w:val="90"/>
                      <w:rFonts w:hint="eastAsia" w:ascii="Times New Roman" w:hAnsi="Times New Roman"/>
                      <w:sz w:val="21"/>
                      <w:szCs w:val="21"/>
                      <w:highlight w:val="none"/>
                    </w:rPr>
                    <w:t>与滞洪区、自然保护区和居民点等环境</w:t>
                  </w:r>
                  <w:r>
                    <w:rPr>
                      <w:rStyle w:val="90"/>
                      <w:rFonts w:hint="eastAsia"/>
                      <w:sz w:val="21"/>
                      <w:szCs w:val="21"/>
                      <w:highlight w:val="none"/>
                      <w:lang w:eastAsia="zh-CN"/>
                    </w:rPr>
                    <w:t>敏感</w:t>
                  </w:r>
                  <w:r>
                    <w:rPr>
                      <w:rStyle w:val="90"/>
                      <w:rFonts w:hint="eastAsia" w:ascii="Times New Roman" w:hAnsi="Times New Roman"/>
                      <w:sz w:val="21"/>
                      <w:szCs w:val="21"/>
                      <w:highlight w:val="none"/>
                    </w:rPr>
                    <w:t>区之间设置合理的防护隔离带</w:t>
                  </w:r>
                  <w:r>
                    <w:rPr>
                      <w:rStyle w:val="90"/>
                      <w:rFonts w:ascii="Times New Roman" w:hAnsi="Times New Roman"/>
                      <w:sz w:val="21"/>
                      <w:szCs w:val="21"/>
                      <w:highlight w:val="none"/>
                    </w:rPr>
                    <w:t>。</w:t>
                  </w:r>
                </w:p>
              </w:tc>
              <w:tc>
                <w:tcPr>
                  <w:tcW w:w="2117" w:type="dxa"/>
                  <w:vAlign w:val="center"/>
                </w:tcPr>
                <w:p w14:paraId="1B6FD670">
                  <w:pPr>
                    <w:pStyle w:val="2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rFonts w:hint="eastAsia"/>
                      <w:sz w:val="21"/>
                      <w:szCs w:val="21"/>
                      <w:highlight w:val="none"/>
                    </w:rPr>
                  </w:pPr>
                  <w:r>
                    <w:rPr>
                      <w:sz w:val="21"/>
                      <w:szCs w:val="21"/>
                      <w:highlight w:val="none"/>
                    </w:rPr>
                    <w:t>本项目为</w:t>
                  </w:r>
                  <w:r>
                    <w:rPr>
                      <w:rFonts w:hint="eastAsia"/>
                      <w:sz w:val="21"/>
                      <w:szCs w:val="21"/>
                      <w:highlight w:val="none"/>
                    </w:rPr>
                    <w:t>砼结构</w:t>
                  </w:r>
                  <w:r>
                    <w:rPr>
                      <w:sz w:val="21"/>
                      <w:szCs w:val="21"/>
                      <w:highlight w:val="none"/>
                    </w:rPr>
                    <w:t>构件制造项目，</w:t>
                  </w:r>
                  <w:r>
                    <w:rPr>
                      <w:rFonts w:hint="eastAsia"/>
                      <w:sz w:val="21"/>
                      <w:szCs w:val="21"/>
                      <w:highlight w:val="none"/>
                      <w:lang w:val="en-US" w:eastAsia="zh-CN"/>
                    </w:rPr>
                    <w:t>本项目不在新能源产业区本次规划核准四至范围内</w:t>
                  </w:r>
                  <w:r>
                    <w:rPr>
                      <w:rFonts w:hint="eastAsia"/>
                      <w:sz w:val="21"/>
                      <w:szCs w:val="21"/>
                      <w:highlight w:val="none"/>
                      <w:lang w:eastAsia="zh-CN"/>
                    </w:rPr>
                    <w:t>，</w:t>
                  </w:r>
                  <w:r>
                    <w:rPr>
                      <w:rFonts w:hint="eastAsia"/>
                      <w:sz w:val="21"/>
                      <w:szCs w:val="21"/>
                      <w:highlight w:val="none"/>
                    </w:rPr>
                    <w:t>不属</w:t>
                  </w:r>
                  <w:r>
                    <w:rPr>
                      <w:rFonts w:hint="eastAsia"/>
                      <w:sz w:val="21"/>
                      <w:szCs w:val="21"/>
                      <w:highlight w:val="none"/>
                      <w:lang w:eastAsia="zh-CN"/>
                    </w:rPr>
                    <w:t>于</w:t>
                  </w:r>
                  <w:r>
                    <w:rPr>
                      <w:rFonts w:hint="eastAsia"/>
                      <w:sz w:val="21"/>
                      <w:szCs w:val="21"/>
                      <w:highlight w:val="none"/>
                    </w:rPr>
                    <w:t>《产业结构调整目录（2024年本）》中淘汰类项目；本项目选址位于鄂尔多斯市同圆库布其生态工业治沙股份有限公司现有工业场地，距离最近居民区2.9km。</w:t>
                  </w:r>
                </w:p>
                <w:p w14:paraId="1BDE4A2F">
                  <w:pPr>
                    <w:pStyle w:val="29"/>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textAlignment w:val="auto"/>
                    <w:rPr>
                      <w:sz w:val="21"/>
                      <w:szCs w:val="21"/>
                      <w:highlight w:val="none"/>
                    </w:rPr>
                  </w:pPr>
                  <w:r>
                    <w:rPr>
                      <w:rFonts w:hint="eastAsia"/>
                      <w:sz w:val="21"/>
                      <w:szCs w:val="21"/>
                      <w:highlight w:val="none"/>
                      <w:lang w:val="en-US" w:eastAsia="zh-CN"/>
                    </w:rPr>
                    <w:t>根据《鄂尔多斯杭锦经济开发区管理委员会关于将光伏新能源基础配套设施项目纳入规划环评修编范围的函》（见附件6），鄂尔多斯杭锦经济开发区管理委员会将在下次园区规划环评修编是纳入规划范围内。</w:t>
                  </w:r>
                </w:p>
              </w:tc>
            </w:tr>
            <w:tr w14:paraId="48E19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vAlign w:val="center"/>
                </w:tcPr>
                <w:p w14:paraId="16413527">
                  <w:pPr>
                    <w:pStyle w:val="29"/>
                    <w:ind w:left="0" w:leftChars="0" w:firstLine="0" w:firstLineChars="0"/>
                    <w:rPr>
                      <w:sz w:val="21"/>
                      <w:szCs w:val="21"/>
                      <w:highlight w:val="none"/>
                    </w:rPr>
                  </w:pPr>
                  <w:r>
                    <w:rPr>
                      <w:sz w:val="21"/>
                      <w:szCs w:val="21"/>
                      <w:highlight w:val="none"/>
                    </w:rPr>
                    <w:t>污染物排放管控</w:t>
                  </w:r>
                </w:p>
              </w:tc>
              <w:tc>
                <w:tcPr>
                  <w:tcW w:w="3342" w:type="dxa"/>
                  <w:vAlign w:val="center"/>
                </w:tcPr>
                <w:p w14:paraId="5EA0D76F">
                  <w:pPr>
                    <w:widowControl/>
                    <w:rPr>
                      <w:kern w:val="0"/>
                      <w:szCs w:val="21"/>
                      <w:highlight w:val="none"/>
                    </w:rPr>
                  </w:pPr>
                  <w:r>
                    <w:rPr>
                      <w:rStyle w:val="52"/>
                      <w:rFonts w:hint="eastAsia" w:ascii="Times New Roman" w:hAnsi="Times New Roman"/>
                      <w:sz w:val="21"/>
                      <w:szCs w:val="21"/>
                      <w:highlight w:val="none"/>
                    </w:rPr>
                    <w:t>1.按</w:t>
                  </w:r>
                  <w:r>
                    <w:rPr>
                      <w:rStyle w:val="52"/>
                      <w:rFonts w:hint="eastAsia"/>
                      <w:sz w:val="21"/>
                      <w:szCs w:val="21"/>
                      <w:highlight w:val="none"/>
                      <w:lang w:eastAsia="zh-CN"/>
                    </w:rPr>
                    <w:t>“</w:t>
                  </w:r>
                  <w:r>
                    <w:rPr>
                      <w:rStyle w:val="52"/>
                      <w:rFonts w:hint="eastAsia" w:ascii="Times New Roman" w:hAnsi="Times New Roman"/>
                      <w:sz w:val="21"/>
                      <w:szCs w:val="21"/>
                      <w:highlight w:val="none"/>
                    </w:rPr>
                    <w:t>清污分流</w:t>
                  </w:r>
                  <w:r>
                    <w:rPr>
                      <w:rStyle w:val="52"/>
                      <w:rFonts w:hint="eastAsia"/>
                      <w:sz w:val="21"/>
                      <w:szCs w:val="21"/>
                      <w:highlight w:val="none"/>
                      <w:lang w:eastAsia="zh-CN"/>
                    </w:rPr>
                    <w:t>”“</w:t>
                  </w:r>
                  <w:r>
                    <w:rPr>
                      <w:rStyle w:val="52"/>
                      <w:rFonts w:hint="eastAsia" w:ascii="Times New Roman" w:hAnsi="Times New Roman"/>
                      <w:sz w:val="21"/>
                      <w:szCs w:val="21"/>
                      <w:highlight w:val="none"/>
                    </w:rPr>
                    <w:t>雨污分流</w:t>
                  </w:r>
                  <w:r>
                    <w:rPr>
                      <w:rStyle w:val="52"/>
                      <w:rFonts w:hint="eastAsia"/>
                      <w:sz w:val="21"/>
                      <w:szCs w:val="21"/>
                      <w:highlight w:val="none"/>
                      <w:lang w:eastAsia="zh-CN"/>
                    </w:rPr>
                    <w:t>”“</w:t>
                  </w:r>
                  <w:r>
                    <w:rPr>
                      <w:rStyle w:val="52"/>
                      <w:rFonts w:hint="eastAsia" w:ascii="Times New Roman" w:hAnsi="Times New Roman"/>
                      <w:sz w:val="21"/>
                      <w:szCs w:val="21"/>
                      <w:highlight w:val="none"/>
                    </w:rPr>
                    <w:t>污污分流</w:t>
                  </w:r>
                  <w:r>
                    <w:rPr>
                      <w:rStyle w:val="52"/>
                      <w:rFonts w:hint="eastAsia"/>
                      <w:sz w:val="21"/>
                      <w:szCs w:val="21"/>
                      <w:highlight w:val="none"/>
                      <w:lang w:eastAsia="zh-CN"/>
                    </w:rPr>
                    <w:t>”</w:t>
                  </w:r>
                  <w:r>
                    <w:rPr>
                      <w:rStyle w:val="52"/>
                      <w:rFonts w:hint="eastAsia" w:ascii="Times New Roman" w:hAnsi="Times New Roman"/>
                      <w:sz w:val="21"/>
                      <w:szCs w:val="21"/>
                      <w:highlight w:val="none"/>
                    </w:rPr>
                    <w:t>原则，污水应收尽收，全部回用或作为景观用水不外排。2.加强对废气特别是有毒及恶臭气体的收集和处置，严格控制挥发性有机物（VOCs）排放。3.固体废物产生量大的化工园区应配套建设固体废物处置设施。4.重点行业粉状物料堆场实现全封闭，块状物料</w:t>
                  </w:r>
                  <w:r>
                    <w:rPr>
                      <w:rStyle w:val="52"/>
                      <w:rFonts w:hint="eastAsia"/>
                      <w:sz w:val="21"/>
                      <w:szCs w:val="21"/>
                      <w:highlight w:val="none"/>
                      <w:lang w:eastAsia="zh-CN"/>
                    </w:rPr>
                    <w:t>堆场</w:t>
                  </w:r>
                  <w:r>
                    <w:rPr>
                      <w:rStyle w:val="52"/>
                      <w:rFonts w:hint="eastAsia" w:ascii="Times New Roman" w:hAnsi="Times New Roman"/>
                      <w:sz w:val="21"/>
                      <w:szCs w:val="21"/>
                      <w:highlight w:val="none"/>
                    </w:rPr>
                    <w:t>安装抑尘设施。5.燃煤发电机组执行大气污染物超低排放限值</w:t>
                  </w:r>
                </w:p>
              </w:tc>
              <w:tc>
                <w:tcPr>
                  <w:tcW w:w="2117" w:type="dxa"/>
                  <w:vAlign w:val="center"/>
                </w:tcPr>
                <w:p w14:paraId="5B7594FD">
                  <w:pPr>
                    <w:pStyle w:val="29"/>
                    <w:ind w:left="0" w:leftChars="0" w:firstLine="0" w:firstLineChars="0"/>
                    <w:rPr>
                      <w:sz w:val="21"/>
                      <w:szCs w:val="21"/>
                      <w:highlight w:val="none"/>
                    </w:rPr>
                  </w:pPr>
                  <w:r>
                    <w:rPr>
                      <w:sz w:val="21"/>
                      <w:szCs w:val="21"/>
                      <w:highlight w:val="none"/>
                    </w:rPr>
                    <w:t>本项目采用雨污分流措施，生活污水进入化粪池</w:t>
                  </w:r>
                  <w:r>
                    <w:rPr>
                      <w:rFonts w:hint="eastAsia"/>
                      <w:sz w:val="21"/>
                      <w:szCs w:val="21"/>
                      <w:highlight w:val="none"/>
                    </w:rPr>
                    <w:t>处理后排放至园区污水处理厂，无生产废水产生；本项目无</w:t>
                  </w:r>
                  <w:r>
                    <w:rPr>
                      <w:rStyle w:val="52"/>
                      <w:rFonts w:hint="eastAsia" w:ascii="Times New Roman" w:hAnsi="Times New Roman"/>
                      <w:sz w:val="21"/>
                      <w:szCs w:val="21"/>
                      <w:highlight w:val="none"/>
                    </w:rPr>
                    <w:t>挥发性有机物（VOCs）排放；本项目物料均在车间内全封闭储存；本项目不涉及燃煤发电机组。</w:t>
                  </w:r>
                </w:p>
              </w:tc>
            </w:tr>
            <w:tr w14:paraId="19322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vAlign w:val="center"/>
                </w:tcPr>
                <w:p w14:paraId="121E4006">
                  <w:pPr>
                    <w:pStyle w:val="29"/>
                    <w:ind w:left="0" w:leftChars="0" w:firstLine="0" w:firstLineChars="0"/>
                    <w:rPr>
                      <w:sz w:val="21"/>
                      <w:szCs w:val="21"/>
                      <w:highlight w:val="none"/>
                    </w:rPr>
                  </w:pPr>
                  <w:r>
                    <w:rPr>
                      <w:sz w:val="21"/>
                      <w:szCs w:val="21"/>
                      <w:highlight w:val="none"/>
                    </w:rPr>
                    <w:t>资源利用效率要求</w:t>
                  </w:r>
                </w:p>
              </w:tc>
              <w:tc>
                <w:tcPr>
                  <w:tcW w:w="3342" w:type="dxa"/>
                  <w:vAlign w:val="center"/>
                </w:tcPr>
                <w:p w14:paraId="2D8AE98B">
                  <w:pPr>
                    <w:widowControl/>
                    <w:rPr>
                      <w:kern w:val="0"/>
                      <w:szCs w:val="21"/>
                      <w:highlight w:val="none"/>
                    </w:rPr>
                  </w:pPr>
                  <w:r>
                    <w:rPr>
                      <w:rStyle w:val="52"/>
                      <w:rFonts w:hint="eastAsia" w:ascii="Times New Roman" w:hAnsi="Times New Roman"/>
                      <w:sz w:val="21"/>
                      <w:szCs w:val="21"/>
                      <w:highlight w:val="none"/>
                    </w:rPr>
                    <w:t>严控地下水超采。新建、改建、扩建的高耗水工业项目，禁止擅自使用地下水。食品、制药等项目取用地下水，须经有管理权限的水行政主管部门批准。</w:t>
                  </w:r>
                </w:p>
              </w:tc>
              <w:tc>
                <w:tcPr>
                  <w:tcW w:w="2117" w:type="dxa"/>
                  <w:vAlign w:val="center"/>
                </w:tcPr>
                <w:p w14:paraId="452E3849">
                  <w:pPr>
                    <w:pStyle w:val="29"/>
                    <w:ind w:left="0" w:leftChars="0" w:firstLine="0" w:firstLineChars="0"/>
                    <w:rPr>
                      <w:sz w:val="21"/>
                      <w:szCs w:val="21"/>
                      <w:highlight w:val="none"/>
                    </w:rPr>
                  </w:pPr>
                  <w:r>
                    <w:rPr>
                      <w:rFonts w:hint="eastAsia"/>
                      <w:sz w:val="21"/>
                      <w:szCs w:val="21"/>
                      <w:highlight w:val="none"/>
                    </w:rPr>
                    <w:t>本项目不进行地下水开采</w:t>
                  </w:r>
                  <w:r>
                    <w:rPr>
                      <w:sz w:val="21"/>
                      <w:szCs w:val="21"/>
                      <w:highlight w:val="none"/>
                    </w:rPr>
                    <w:t>。</w:t>
                  </w:r>
                </w:p>
              </w:tc>
            </w:tr>
            <w:tr w14:paraId="3666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vAlign w:val="center"/>
                </w:tcPr>
                <w:p w14:paraId="740121C5">
                  <w:pPr>
                    <w:pStyle w:val="29"/>
                    <w:ind w:left="0" w:leftChars="0" w:firstLine="0" w:firstLineChars="0"/>
                    <w:rPr>
                      <w:sz w:val="21"/>
                      <w:szCs w:val="21"/>
                      <w:highlight w:val="none"/>
                    </w:rPr>
                  </w:pPr>
                  <w:r>
                    <w:rPr>
                      <w:rFonts w:hint="eastAsia"/>
                      <w:sz w:val="21"/>
                      <w:szCs w:val="21"/>
                      <w:highlight w:val="none"/>
                    </w:rPr>
                    <w:t>环境风险防控</w:t>
                  </w:r>
                </w:p>
              </w:tc>
              <w:tc>
                <w:tcPr>
                  <w:tcW w:w="3342" w:type="dxa"/>
                  <w:vAlign w:val="center"/>
                </w:tcPr>
                <w:p w14:paraId="6A797967">
                  <w:pPr>
                    <w:widowControl/>
                    <w:rPr>
                      <w:rStyle w:val="52"/>
                      <w:rFonts w:hint="eastAsia" w:ascii="Times New Roman" w:hAnsi="Times New Roman" w:eastAsia="宋体"/>
                      <w:sz w:val="21"/>
                      <w:szCs w:val="21"/>
                      <w:highlight w:val="none"/>
                      <w:lang w:eastAsia="zh-CN"/>
                    </w:rPr>
                  </w:pPr>
                  <w:r>
                    <w:rPr>
                      <w:rStyle w:val="52"/>
                      <w:sz w:val="21"/>
                      <w:szCs w:val="21"/>
                      <w:highlight w:val="none"/>
                    </w:rPr>
                    <w:t>完善区域环境风险防范机制，有效防范环境风险。建立和不断完善环境风险</w:t>
                  </w:r>
                  <w:r>
                    <w:rPr>
                      <w:rStyle w:val="52"/>
                      <w:rFonts w:hint="eastAsia"/>
                      <w:sz w:val="21"/>
                      <w:szCs w:val="21"/>
                      <w:highlight w:val="none"/>
                      <w:lang w:eastAsia="zh-CN"/>
                    </w:rPr>
                    <w:t>防范</w:t>
                  </w:r>
                  <w:r>
                    <w:rPr>
                      <w:rStyle w:val="52"/>
                      <w:sz w:val="21"/>
                      <w:szCs w:val="21"/>
                      <w:highlight w:val="none"/>
                    </w:rPr>
                    <w:t>机制和应急体系，构建有效的区域环境风险联防联控机制，最大限度降低环境风险</w:t>
                  </w:r>
                  <w:r>
                    <w:rPr>
                      <w:rStyle w:val="52"/>
                      <w:rFonts w:hint="eastAsia"/>
                      <w:sz w:val="21"/>
                      <w:szCs w:val="21"/>
                      <w:highlight w:val="none"/>
                      <w:lang w:eastAsia="zh-CN"/>
                    </w:rPr>
                    <w:t>。</w:t>
                  </w:r>
                </w:p>
              </w:tc>
              <w:tc>
                <w:tcPr>
                  <w:tcW w:w="2117" w:type="dxa"/>
                  <w:vAlign w:val="center"/>
                </w:tcPr>
                <w:p w14:paraId="5133418E">
                  <w:pPr>
                    <w:pStyle w:val="29"/>
                    <w:ind w:left="0" w:leftChars="0" w:firstLine="0" w:firstLineChars="0"/>
                    <w:rPr>
                      <w:sz w:val="21"/>
                      <w:szCs w:val="21"/>
                      <w:highlight w:val="none"/>
                    </w:rPr>
                  </w:pPr>
                  <w:r>
                    <w:rPr>
                      <w:rFonts w:hint="eastAsia"/>
                      <w:sz w:val="21"/>
                      <w:szCs w:val="21"/>
                      <w:highlight w:val="none"/>
                    </w:rPr>
                    <w:t>本环评要求项目建成后进行应急预案的备案和定期演练。</w:t>
                  </w:r>
                </w:p>
              </w:tc>
            </w:tr>
          </w:tbl>
          <w:p w14:paraId="349926DE">
            <w:pPr>
              <w:spacing w:line="360" w:lineRule="auto"/>
              <w:ind w:firstLine="480" w:firstLineChars="200"/>
              <w:rPr>
                <w:rFonts w:hint="eastAsia" w:eastAsia="宋体"/>
                <w:color w:val="000000" w:themeColor="text1"/>
                <w:sz w:val="24"/>
                <w:highlight w:val="none"/>
                <w:lang w:eastAsia="zh-CN"/>
                <w14:textFill>
                  <w14:solidFill>
                    <w14:schemeClr w14:val="tx1"/>
                  </w14:solidFill>
                </w14:textFill>
              </w:rPr>
            </w:pPr>
            <w:r>
              <w:rPr>
                <w:color w:val="000000" w:themeColor="text1"/>
                <w:sz w:val="24"/>
                <w:highlight w:val="none"/>
                <w14:textFill>
                  <w14:solidFill>
                    <w14:schemeClr w14:val="tx1"/>
                  </w14:solidFill>
                </w14:textFill>
              </w:rPr>
              <w:t>综上所述，本项目符合</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三线一单</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要求</w:t>
            </w:r>
            <w:r>
              <w:rPr>
                <w:rFonts w:hint="eastAsia"/>
                <w:color w:val="000000" w:themeColor="text1"/>
                <w:sz w:val="24"/>
                <w:highlight w:val="none"/>
                <w:lang w:eastAsia="zh-CN"/>
                <w14:textFill>
                  <w14:solidFill>
                    <w14:schemeClr w14:val="tx1"/>
                  </w14:solidFill>
                </w14:textFill>
              </w:rPr>
              <w:t>。</w:t>
            </w:r>
          </w:p>
          <w:p w14:paraId="50B1EA8C">
            <w:pPr>
              <w:ind w:firstLine="480" w:firstLineChars="200"/>
              <w:rPr>
                <w:color w:val="000000" w:themeColor="text1"/>
                <w:sz w:val="24"/>
                <w:highlight w:val="none"/>
                <w14:textFill>
                  <w14:solidFill>
                    <w14:schemeClr w14:val="tx1"/>
                  </w14:solidFill>
                </w14:textFill>
              </w:rPr>
            </w:pPr>
          </w:p>
          <w:p w14:paraId="547FD3A0">
            <w:pPr>
              <w:pStyle w:val="29"/>
              <w:ind w:firstLine="480"/>
              <w:rPr>
                <w:highlight w:val="none"/>
              </w:rPr>
            </w:pPr>
          </w:p>
          <w:p w14:paraId="46E68800">
            <w:pPr>
              <w:rPr>
                <w:highlight w:val="none"/>
              </w:rPr>
            </w:pPr>
          </w:p>
          <w:p w14:paraId="19823669">
            <w:pPr>
              <w:pStyle w:val="6"/>
              <w:rPr>
                <w:highlight w:val="none"/>
              </w:rPr>
            </w:pPr>
          </w:p>
          <w:p w14:paraId="336E1B2F">
            <w:pPr>
              <w:pStyle w:val="29"/>
              <w:ind w:firstLine="480"/>
              <w:rPr>
                <w:highlight w:val="none"/>
              </w:rPr>
            </w:pPr>
          </w:p>
        </w:tc>
      </w:tr>
    </w:tbl>
    <w:p w14:paraId="14059C07">
      <w:pPr>
        <w:spacing w:line="360" w:lineRule="auto"/>
        <w:outlineLvl w:val="0"/>
        <w:rPr>
          <w:rFonts w:eastAsia="黑体"/>
          <w:color w:val="000000" w:themeColor="text1"/>
          <w:sz w:val="30"/>
          <w:highlight w:val="none"/>
          <w14:textFill>
            <w14:solidFill>
              <w14:schemeClr w14:val="tx1"/>
            </w14:solidFill>
          </w14:textFill>
        </w:rPr>
        <w:sectPr>
          <w:footerReference r:id="rId5" w:type="default"/>
          <w:pgSz w:w="11906" w:h="16838"/>
          <w:pgMar w:top="1701" w:right="1531" w:bottom="1701" w:left="1531" w:header="851" w:footer="1077" w:gutter="0"/>
          <w:pgNumType w:start="1"/>
          <w:cols w:space="720" w:num="1"/>
          <w:docGrid w:linePitch="312" w:charSpace="0"/>
        </w:sectPr>
      </w:pPr>
    </w:p>
    <w:p w14:paraId="54F96C68">
      <w:pPr>
        <w:pStyle w:val="26"/>
        <w:jc w:val="center"/>
        <w:outlineLvl w:val="0"/>
        <w:rPr>
          <w:rFonts w:hint="eastAsia"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二、建设项目工程分析</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9"/>
        <w:gridCol w:w="8301"/>
      </w:tblGrid>
      <w:tr w14:paraId="2B54A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9" w:type="dxa"/>
            <w:vAlign w:val="center"/>
          </w:tcPr>
          <w:p w14:paraId="7FC0AC4B">
            <w:pPr>
              <w:pStyle w:val="26"/>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建设内容</w:t>
            </w:r>
          </w:p>
        </w:tc>
        <w:tc>
          <w:tcPr>
            <w:tcW w:w="8301" w:type="dxa"/>
          </w:tcPr>
          <w:p w14:paraId="1D9EA346">
            <w:pPr>
              <w:adjustRightInd w:val="0"/>
              <w:snapToGrid w:val="0"/>
              <w:spacing w:line="360" w:lineRule="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1</w:t>
            </w:r>
            <w:r>
              <w:rPr>
                <w:rFonts w:hint="eastAsia"/>
                <w:b/>
                <w:bCs/>
                <w:color w:val="000000" w:themeColor="text1"/>
                <w:sz w:val="24"/>
                <w:highlight w:val="none"/>
                <w:lang w:val="en-US" w:eastAsia="zh-CN"/>
                <w14:textFill>
                  <w14:solidFill>
                    <w14:schemeClr w14:val="tx1"/>
                  </w14:solidFill>
                </w14:textFill>
              </w:rPr>
              <w:t>.</w:t>
            </w:r>
            <w:r>
              <w:rPr>
                <w:b/>
                <w:bCs/>
                <w:color w:val="000000" w:themeColor="text1"/>
                <w:sz w:val="24"/>
                <w:highlight w:val="none"/>
                <w14:textFill>
                  <w14:solidFill>
                    <w14:schemeClr w14:val="tx1"/>
                  </w14:solidFill>
                </w14:textFill>
              </w:rPr>
              <w:t>项目建设背景</w:t>
            </w:r>
          </w:p>
          <w:p w14:paraId="293E12E5">
            <w:pPr>
              <w:pStyle w:val="12"/>
              <w:adjustRightInd w:val="0"/>
              <w:snapToGrid w:val="0"/>
              <w:spacing w:line="360" w:lineRule="auto"/>
              <w:ind w:firstLine="480" w:firstLineChars="200"/>
              <w:rPr>
                <w:rFonts w:hAnsi="Times New Roman"/>
                <w:color w:val="000000" w:themeColor="text1"/>
                <w:sz w:val="24"/>
                <w:highlight w:val="none"/>
                <w14:textFill>
                  <w14:solidFill>
                    <w14:schemeClr w14:val="tx1"/>
                  </w14:solidFill>
                </w14:textFill>
              </w:rPr>
            </w:pPr>
            <w:bookmarkStart w:id="2" w:name="_Hlk116404493"/>
            <w:r>
              <w:rPr>
                <w:rFonts w:hint="eastAsia" w:hAnsi="Times New Roman"/>
                <w:color w:val="000000" w:themeColor="text1"/>
                <w:sz w:val="24"/>
                <w:highlight w:val="none"/>
                <w:lang w:val="en-US" w:eastAsia="zh-CN"/>
                <w14:textFill>
                  <w14:solidFill>
                    <w14:schemeClr w14:val="tx1"/>
                  </w14:solidFill>
                </w14:textFill>
              </w:rPr>
              <w:t>内蒙古同圆新能源科技有限责任公司</w:t>
            </w:r>
            <w:r>
              <w:rPr>
                <w:rFonts w:hint="eastAsia" w:hAnsi="Times New Roman"/>
                <w:color w:val="000000" w:themeColor="text1"/>
                <w:sz w:val="24"/>
                <w:highlight w:val="none"/>
                <w14:textFill>
                  <w14:solidFill>
                    <w14:schemeClr w14:val="tx1"/>
                  </w14:solidFill>
                </w14:textFill>
              </w:rPr>
              <w:t>由鄂尔多斯市同圆投资控股集团有限责任公司与杭锦旗鑫河国资投资经营有限公司</w:t>
            </w:r>
            <w:r>
              <w:rPr>
                <w:rFonts w:hint="eastAsia" w:hAnsi="Times New Roman"/>
                <w:color w:val="000000" w:themeColor="text1"/>
                <w:sz w:val="24"/>
                <w:highlight w:val="none"/>
                <w:lang w:eastAsia="zh-CN"/>
                <w14:textFill>
                  <w14:solidFill>
                    <w14:schemeClr w14:val="tx1"/>
                  </w14:solidFill>
                </w14:textFill>
              </w:rPr>
              <w:t>共同</w:t>
            </w:r>
            <w:r>
              <w:rPr>
                <w:rFonts w:hint="eastAsia" w:hAnsi="Times New Roman"/>
                <w:color w:val="000000" w:themeColor="text1"/>
                <w:sz w:val="24"/>
                <w:highlight w:val="none"/>
                <w14:textFill>
                  <w14:solidFill>
                    <w14:schemeClr w14:val="tx1"/>
                  </w14:solidFill>
                </w14:textFill>
              </w:rPr>
              <w:t>出资成立，其中鄂尔多斯市同圆投资控股集团有限责任公司持股99.9%。是杭锦旗旗委、旗人民政府批准建立，具有独立法人资格的国有企业。公司成立于2013年6月9日，注册地址位于内蒙古自治区鄂尔多斯市杭锦旗锡尼镇，新兴产业园区经二路东、一环路北、经三路西、经六路南。</w:t>
            </w:r>
          </w:p>
          <w:p w14:paraId="69EA68CD">
            <w:pPr>
              <w:pStyle w:val="12"/>
              <w:adjustRightInd w:val="0"/>
              <w:snapToGrid w:val="0"/>
              <w:spacing w:line="360" w:lineRule="auto"/>
              <w:ind w:firstLine="480" w:firstLineChars="200"/>
              <w:rPr>
                <w:rFonts w:hAnsi="Times New Roman"/>
                <w:color w:val="000000" w:themeColor="text1"/>
                <w:sz w:val="24"/>
                <w:highlight w:val="none"/>
                <w14:textFill>
                  <w14:solidFill>
                    <w14:schemeClr w14:val="tx1"/>
                  </w14:solidFill>
                </w14:textFill>
              </w:rPr>
            </w:pPr>
            <w:r>
              <w:rPr>
                <w:rFonts w:hint="eastAsia" w:hAnsi="Times New Roman"/>
                <w:color w:val="000000" w:themeColor="text1"/>
                <w:sz w:val="24"/>
                <w:highlight w:val="none"/>
                <w14:textFill>
                  <w14:solidFill>
                    <w14:schemeClr w14:val="tx1"/>
                  </w14:solidFill>
                </w14:textFill>
              </w:rPr>
              <w:t>目前公司已建成投产的综合利用环保市政砖项目，年产7950万块，总投资8480万元，项目位于内蒙古自治区鄂尔多斯市杭锦旗锡尼镇。该项目目前运行稳定，运行过程中未出现任何环保、安全等生产问题，未收到举报投诉。</w:t>
            </w:r>
          </w:p>
          <w:p w14:paraId="60C37F66">
            <w:pPr>
              <w:pStyle w:val="12"/>
              <w:adjustRightInd w:val="0"/>
              <w:snapToGrid w:val="0"/>
              <w:spacing w:line="360" w:lineRule="auto"/>
              <w:ind w:firstLine="480" w:firstLineChars="200"/>
              <w:rPr>
                <w:rFonts w:hAnsi="Times New Roman"/>
                <w:color w:val="000000" w:themeColor="text1"/>
                <w:sz w:val="24"/>
                <w:highlight w:val="none"/>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本项目位于</w:t>
            </w:r>
            <w:r>
              <w:rPr>
                <w:color w:val="000000" w:themeColor="text1"/>
                <w:kern w:val="0"/>
                <w:sz w:val="24"/>
                <w:highlight w:val="none"/>
                <w14:textFill>
                  <w14:solidFill>
                    <w14:schemeClr w14:val="tx1"/>
                  </w14:solidFill>
                </w14:textFill>
              </w:rPr>
              <w:t>内蒙古</w:t>
            </w:r>
            <w:r>
              <w:rPr>
                <w:rFonts w:hint="eastAsia"/>
                <w:color w:val="000000" w:themeColor="text1"/>
                <w:kern w:val="0"/>
                <w:sz w:val="24"/>
                <w:highlight w:val="none"/>
                <w:lang w:val="en-US" w:eastAsia="zh-CN"/>
                <w14:textFill>
                  <w14:solidFill>
                    <w14:schemeClr w14:val="tx1"/>
                  </w14:solidFill>
                </w14:textFill>
              </w:rPr>
              <w:t>自治区</w:t>
            </w:r>
            <w:r>
              <w:rPr>
                <w:color w:val="000000" w:themeColor="text1"/>
                <w:kern w:val="0"/>
                <w:sz w:val="24"/>
                <w:highlight w:val="none"/>
                <w14:textFill>
                  <w14:solidFill>
                    <w14:schemeClr w14:val="tx1"/>
                  </w14:solidFill>
                </w14:textFill>
              </w:rPr>
              <w:t>鄂尔多斯</w:t>
            </w:r>
            <w:r>
              <w:rPr>
                <w:rFonts w:hint="eastAsia"/>
                <w:color w:val="000000" w:themeColor="text1"/>
                <w:kern w:val="0"/>
                <w:sz w:val="24"/>
                <w:highlight w:val="none"/>
                <w:lang w:val="en-US" w:eastAsia="zh-CN"/>
                <w14:textFill>
                  <w14:solidFill>
                    <w14:schemeClr w14:val="tx1"/>
                  </w14:solidFill>
                </w14:textFill>
              </w:rPr>
              <w:t>市</w:t>
            </w:r>
            <w:r>
              <w:rPr>
                <w:color w:val="000000" w:themeColor="text1"/>
                <w:kern w:val="0"/>
                <w:sz w:val="24"/>
                <w:highlight w:val="none"/>
                <w14:textFill>
                  <w14:solidFill>
                    <w14:schemeClr w14:val="tx1"/>
                  </w14:solidFill>
                </w14:textFill>
              </w:rPr>
              <w:t>杭锦</w:t>
            </w:r>
            <w:r>
              <w:rPr>
                <w:rFonts w:hint="eastAsia"/>
                <w:color w:val="000000" w:themeColor="text1"/>
                <w:kern w:val="0"/>
                <w:sz w:val="24"/>
                <w:highlight w:val="none"/>
                <w:lang w:val="en-US" w:eastAsia="zh-CN"/>
                <w14:textFill>
                  <w14:solidFill>
                    <w14:schemeClr w14:val="tx1"/>
                  </w14:solidFill>
                </w14:textFill>
              </w:rPr>
              <w:t>旗锡尼镇</w:t>
            </w:r>
            <w:r>
              <w:rPr>
                <w:rFonts w:hint="eastAsia"/>
                <w:color w:val="000000" w:themeColor="text1"/>
                <w:sz w:val="24"/>
                <w:highlight w:val="none"/>
                <w14:textFill>
                  <w14:solidFill>
                    <w14:schemeClr w14:val="tx1"/>
                  </w14:solidFill>
                </w14:textFill>
              </w:rPr>
              <w:t>鄂尔多斯市同圆库布其生态工业治沙股份有限公司</w:t>
            </w:r>
            <w:r>
              <w:rPr>
                <w:rFonts w:hint="eastAsia"/>
                <w:color w:val="000000" w:themeColor="text1"/>
                <w:sz w:val="24"/>
                <w:highlight w:val="none"/>
                <w:lang w:val="en-US" w:eastAsia="zh-CN"/>
                <w14:textFill>
                  <w14:solidFill>
                    <w14:schemeClr w14:val="tx1"/>
                  </w14:solidFill>
                </w14:textFill>
              </w:rPr>
              <w:t>内</w:t>
            </w:r>
            <w:r>
              <w:rPr>
                <w:rFonts w:hint="eastAsia"/>
                <w:color w:val="000000" w:themeColor="text1"/>
                <w:sz w:val="24"/>
                <w:highlight w:val="none"/>
                <w14:textFill>
                  <w14:solidFill>
                    <w14:schemeClr w14:val="tx1"/>
                  </w14:solidFill>
                </w14:textFill>
              </w:rPr>
              <w:t>现有</w:t>
            </w:r>
            <w:r>
              <w:rPr>
                <w:rFonts w:hint="eastAsia"/>
                <w:color w:val="000000" w:themeColor="text1"/>
                <w:sz w:val="24"/>
                <w:highlight w:val="none"/>
                <w:lang w:val="en-US" w:eastAsia="zh-CN"/>
                <w14:textFill>
                  <w14:solidFill>
                    <w14:schemeClr w14:val="tx1"/>
                  </w14:solidFill>
                </w14:textFill>
              </w:rPr>
              <w:t>空地</w:t>
            </w:r>
            <w:r>
              <w:rPr>
                <w:rFonts w:ascii="Times New Roman" w:hAnsi="Times New Roman"/>
                <w:color w:val="000000" w:themeColor="text1"/>
                <w:sz w:val="24"/>
                <w:highlight w:val="none"/>
                <w14:textFill>
                  <w14:solidFill>
                    <w14:schemeClr w14:val="tx1"/>
                  </w14:solidFill>
                </w14:textFill>
              </w:rPr>
              <w:t>，与综合利用环保市政砖项目共用一个厂区，总占地面积为30981m</w:t>
            </w:r>
            <w:r>
              <w:rPr>
                <w:rFonts w:ascii="Times New Roman" w:hAnsi="Times New Roman"/>
                <w:color w:val="000000" w:themeColor="text1"/>
                <w:sz w:val="24"/>
                <w:highlight w:val="none"/>
                <w:vertAlign w:val="superscript"/>
                <w14:textFill>
                  <w14:solidFill>
                    <w14:schemeClr w14:val="tx1"/>
                  </w14:solidFill>
                </w14:textFill>
              </w:rPr>
              <w:t>2</w:t>
            </w:r>
            <w:r>
              <w:rPr>
                <w:rFonts w:ascii="Times New Roman" w:hAnsi="Times New Roman"/>
                <w:color w:val="000000" w:themeColor="text1"/>
                <w:sz w:val="24"/>
                <w:highlight w:val="none"/>
                <w14:textFill>
                  <w14:solidFill>
                    <w14:schemeClr w14:val="tx1"/>
                  </w14:solidFill>
                </w14:textFill>
              </w:rPr>
              <w:t>，本项目在厂区内</w:t>
            </w:r>
            <w:r>
              <w:rPr>
                <w:rFonts w:hint="eastAsia" w:ascii="Times New Roman" w:hAnsi="Times New Roman"/>
                <w:color w:val="000000" w:themeColor="text1"/>
                <w:sz w:val="24"/>
                <w:highlight w:val="none"/>
                <w:lang w:val="en-US" w:eastAsia="zh-CN"/>
                <w14:textFill>
                  <w14:solidFill>
                    <w14:schemeClr w14:val="tx1"/>
                  </w14:solidFill>
                </w14:textFill>
              </w:rPr>
              <w:t>空地</w:t>
            </w:r>
            <w:r>
              <w:rPr>
                <w:rFonts w:ascii="Times New Roman" w:hAnsi="Times New Roman"/>
                <w:color w:val="000000" w:themeColor="text1"/>
                <w:sz w:val="24"/>
                <w:highlight w:val="none"/>
                <w14:textFill>
                  <w14:solidFill>
                    <w14:schemeClr w14:val="tx1"/>
                  </w14:solidFill>
                </w14:textFill>
              </w:rPr>
              <w:t>建设生产车间一座，原料库一座，办公楼一座，宿舍一座，混凝土搅拌站一座，敞开式产品堆场一座，建设完成后形成年</w:t>
            </w:r>
            <w:r>
              <w:rPr>
                <w:rFonts w:hint="eastAsia" w:ascii="Times New Roman" w:hAnsi="Times New Roman"/>
                <w:color w:val="000000" w:themeColor="text1"/>
                <w:sz w:val="24"/>
                <w:highlight w:val="none"/>
                <w:lang w:val="en-US" w:eastAsia="zh-CN"/>
                <w14:textFill>
                  <w14:solidFill>
                    <w14:schemeClr w14:val="tx1"/>
                  </w14:solidFill>
                </w14:textFill>
              </w:rPr>
              <w:t>生</w:t>
            </w:r>
            <w:r>
              <w:rPr>
                <w:rFonts w:ascii="Times New Roman" w:hAnsi="Times New Roman"/>
                <w:color w:val="000000" w:themeColor="text1"/>
                <w:sz w:val="24"/>
                <w:highlight w:val="none"/>
                <w14:textFill>
                  <w14:solidFill>
                    <w14:schemeClr w14:val="tx1"/>
                  </w14:solidFill>
                </w14:textFill>
              </w:rPr>
              <w:t>产光伏管桩300</w:t>
            </w:r>
            <w:r>
              <w:rPr>
                <w:rFonts w:hint="eastAsia" w:ascii="Times New Roman" w:hAnsi="Times New Roman"/>
                <w:color w:val="000000" w:themeColor="text1"/>
                <w:sz w:val="24"/>
                <w:highlight w:val="none"/>
                <w:lang w:val="en-US" w:eastAsia="zh-CN"/>
                <w14:textFill>
                  <w14:solidFill>
                    <w14:schemeClr w14:val="tx1"/>
                  </w14:solidFill>
                </w14:textFill>
              </w:rPr>
              <w:t>万</w:t>
            </w:r>
            <w:r>
              <w:rPr>
                <w:rFonts w:ascii="Times New Roman" w:hAnsi="Times New Roman"/>
                <w:color w:val="000000" w:themeColor="text1"/>
                <w:sz w:val="24"/>
                <w:highlight w:val="none"/>
                <w14:textFill>
                  <w14:solidFill>
                    <w14:schemeClr w14:val="tx1"/>
                  </w14:solidFill>
                </w14:textFill>
              </w:rPr>
              <w:t>m</w:t>
            </w:r>
            <w:r>
              <w:rPr>
                <w:rFonts w:hAnsi="Times New Roman"/>
                <w:color w:val="000000" w:themeColor="text1"/>
                <w:sz w:val="24"/>
                <w:highlight w:val="none"/>
                <w14:textFill>
                  <w14:solidFill>
                    <w14:schemeClr w14:val="tx1"/>
                  </w14:solidFill>
                </w14:textFill>
              </w:rPr>
              <w:t>。</w:t>
            </w:r>
          </w:p>
          <w:p w14:paraId="34BA4591">
            <w:pPr>
              <w:pStyle w:val="9"/>
              <w:spacing w:before="0" w:after="0" w:line="360" w:lineRule="auto"/>
              <w:ind w:right="0"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按照《中华人民共和国环境保护法》《中华人民共和国环境影响评价法》以及《建设项目环境保护管理条例》（国务院令第682号）的要求</w:t>
            </w:r>
            <w:r>
              <w:rPr>
                <w:rFonts w:hint="eastAsia"/>
                <w:color w:val="000000" w:themeColor="text1"/>
                <w:sz w:val="24"/>
                <w:szCs w:val="24"/>
                <w:highlight w:val="none"/>
                <w:lang w:eastAsia="zh-CN"/>
                <w14:textFill>
                  <w14:solidFill>
                    <w14:schemeClr w14:val="tx1"/>
                  </w14:solidFill>
                </w14:textFill>
              </w:rPr>
              <w:t>，根据</w:t>
            </w:r>
            <w:r>
              <w:rPr>
                <w:rFonts w:hint="eastAsia"/>
                <w:color w:val="000000" w:themeColor="text1"/>
                <w:sz w:val="24"/>
                <w:szCs w:val="24"/>
                <w:highlight w:val="none"/>
                <w14:textFill>
                  <w14:solidFill>
                    <w14:schemeClr w14:val="tx1"/>
                  </w14:solidFill>
                </w14:textFill>
              </w:rPr>
              <w:t>《建设项目环境影响评价分类管理名录》（2021年版），本项目需编制环境影响报告表。建设单位委托内蒙古意丰</w:t>
            </w:r>
            <w:r>
              <w:rPr>
                <w:color w:val="000000" w:themeColor="text1"/>
                <w:sz w:val="24"/>
                <w:szCs w:val="24"/>
                <w:highlight w:val="none"/>
                <w14:textFill>
                  <w14:solidFill>
                    <w14:schemeClr w14:val="tx1"/>
                  </w14:solidFill>
                </w14:textFill>
              </w:rPr>
              <w:t>环保科技</w:t>
            </w:r>
            <w:r>
              <w:rPr>
                <w:rFonts w:hint="eastAsia"/>
                <w:color w:val="000000" w:themeColor="text1"/>
                <w:sz w:val="24"/>
                <w:szCs w:val="24"/>
                <w:highlight w:val="none"/>
                <w14:textFill>
                  <w14:solidFill>
                    <w14:schemeClr w14:val="tx1"/>
                  </w14:solidFill>
                </w14:textFill>
              </w:rPr>
              <w:t>有限公司承担本项目的环评任务。接受委托后</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我公司立即组织技术人员对项目现场进行了踏勘，在收集资料的基础上，根据环境影响评价相关法律法规、导则及技术规范要求，编制完成《</w:t>
            </w:r>
            <w:r>
              <w:rPr>
                <w:rFonts w:hint="eastAsia"/>
                <w:color w:val="000000" w:themeColor="text1"/>
                <w:sz w:val="24"/>
                <w:highlight w:val="none"/>
                <w14:textFill>
                  <w14:solidFill>
                    <w14:schemeClr w14:val="tx1"/>
                  </w14:solidFill>
                </w14:textFill>
              </w:rPr>
              <w:t>光伏新能源基础配套设施</w:t>
            </w:r>
            <w:r>
              <w:rPr>
                <w:rFonts w:hint="eastAsia"/>
                <w:color w:val="000000" w:themeColor="text1"/>
                <w:sz w:val="24"/>
                <w:szCs w:val="24"/>
                <w:highlight w:val="none"/>
                <w14:textFill>
                  <w14:solidFill>
                    <w14:schemeClr w14:val="tx1"/>
                  </w14:solidFill>
                </w14:textFill>
              </w:rPr>
              <w:t>项目环境影响评价报告表》，呈生态环境主管部门审查。</w:t>
            </w:r>
            <w:bookmarkEnd w:id="2"/>
          </w:p>
          <w:p w14:paraId="690B9388">
            <w:pPr>
              <w:adjustRightInd w:val="0"/>
              <w:snapToGrid w:val="0"/>
              <w:spacing w:line="360" w:lineRule="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2</w:t>
            </w:r>
            <w:r>
              <w:rPr>
                <w:rFonts w:hint="eastAsia"/>
                <w:b/>
                <w:bCs/>
                <w:color w:val="000000" w:themeColor="text1"/>
                <w:sz w:val="24"/>
                <w:highlight w:val="none"/>
                <w:lang w:val="en-US" w:eastAsia="zh-CN"/>
                <w14:textFill>
                  <w14:solidFill>
                    <w14:schemeClr w14:val="tx1"/>
                  </w14:solidFill>
                </w14:textFill>
              </w:rPr>
              <w:t>.</w:t>
            </w:r>
            <w:r>
              <w:rPr>
                <w:b/>
                <w:bCs/>
                <w:color w:val="000000" w:themeColor="text1"/>
                <w:sz w:val="24"/>
                <w:highlight w:val="none"/>
                <w14:textFill>
                  <w14:solidFill>
                    <w14:schemeClr w14:val="tx1"/>
                  </w14:solidFill>
                </w14:textFill>
              </w:rPr>
              <w:t>建设内容</w:t>
            </w:r>
          </w:p>
          <w:p w14:paraId="7C27A9A9">
            <w:pPr>
              <w:pStyle w:val="75"/>
              <w:spacing w:line="360" w:lineRule="auto"/>
              <w:ind w:firstLine="480"/>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项目名称：</w:t>
            </w:r>
            <w:r>
              <w:rPr>
                <w:rFonts w:hint="eastAsia"/>
                <w:color w:val="000000" w:themeColor="text1"/>
                <w:sz w:val="24"/>
                <w:highlight w:val="none"/>
                <w14:textFill>
                  <w14:solidFill>
                    <w14:schemeClr w14:val="tx1"/>
                  </w14:solidFill>
                </w14:textFill>
              </w:rPr>
              <w:t>光伏新能源基础配套设施项目</w:t>
            </w:r>
          </w:p>
          <w:p w14:paraId="18A4AFC2">
            <w:pPr>
              <w:pStyle w:val="75"/>
              <w:spacing w:line="360" w:lineRule="auto"/>
              <w:ind w:firstLine="480"/>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建设单位：</w:t>
            </w:r>
            <w:r>
              <w:rPr>
                <w:rFonts w:hint="eastAsia" w:ascii="Times New Roman" w:hAnsi="Times New Roman"/>
                <w:color w:val="000000" w:themeColor="text1"/>
                <w:sz w:val="24"/>
                <w:szCs w:val="24"/>
                <w:highlight w:val="none"/>
                <w:lang w:val="en-US" w:eastAsia="zh-CN"/>
                <w14:textFill>
                  <w14:solidFill>
                    <w14:schemeClr w14:val="tx1"/>
                  </w14:solidFill>
                </w14:textFill>
              </w:rPr>
              <w:t>内蒙古同圆新能源科技有限责任公司</w:t>
            </w:r>
          </w:p>
          <w:p w14:paraId="00F76698">
            <w:pPr>
              <w:pStyle w:val="75"/>
              <w:spacing w:line="360" w:lineRule="auto"/>
              <w:ind w:firstLine="480"/>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建设性质：新建</w:t>
            </w:r>
          </w:p>
          <w:p w14:paraId="2E2782C7">
            <w:pPr>
              <w:pStyle w:val="75"/>
              <w:spacing w:line="360" w:lineRule="auto"/>
              <w:ind w:firstLine="480"/>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建设地点：</w:t>
            </w:r>
            <w:r>
              <w:rPr>
                <w:color w:val="000000" w:themeColor="text1"/>
                <w:kern w:val="0"/>
                <w:sz w:val="24"/>
                <w:highlight w:val="none"/>
                <w14:textFill>
                  <w14:solidFill>
                    <w14:schemeClr w14:val="tx1"/>
                  </w14:solidFill>
                </w14:textFill>
              </w:rPr>
              <w:t>内蒙古</w:t>
            </w:r>
            <w:r>
              <w:rPr>
                <w:rFonts w:hint="eastAsia"/>
                <w:color w:val="000000" w:themeColor="text1"/>
                <w:kern w:val="0"/>
                <w:sz w:val="24"/>
                <w:highlight w:val="none"/>
                <w:lang w:val="en-US" w:eastAsia="zh-CN"/>
                <w14:textFill>
                  <w14:solidFill>
                    <w14:schemeClr w14:val="tx1"/>
                  </w14:solidFill>
                </w14:textFill>
              </w:rPr>
              <w:t>自治区</w:t>
            </w:r>
            <w:r>
              <w:rPr>
                <w:color w:val="000000" w:themeColor="text1"/>
                <w:kern w:val="0"/>
                <w:sz w:val="24"/>
                <w:highlight w:val="none"/>
                <w14:textFill>
                  <w14:solidFill>
                    <w14:schemeClr w14:val="tx1"/>
                  </w14:solidFill>
                </w14:textFill>
              </w:rPr>
              <w:t>鄂尔多斯</w:t>
            </w:r>
            <w:r>
              <w:rPr>
                <w:rFonts w:hint="eastAsia"/>
                <w:color w:val="000000" w:themeColor="text1"/>
                <w:kern w:val="0"/>
                <w:sz w:val="24"/>
                <w:highlight w:val="none"/>
                <w:lang w:val="en-US" w:eastAsia="zh-CN"/>
                <w14:textFill>
                  <w14:solidFill>
                    <w14:schemeClr w14:val="tx1"/>
                  </w14:solidFill>
                </w14:textFill>
              </w:rPr>
              <w:t>市</w:t>
            </w:r>
            <w:r>
              <w:rPr>
                <w:color w:val="000000" w:themeColor="text1"/>
                <w:kern w:val="0"/>
                <w:sz w:val="24"/>
                <w:highlight w:val="none"/>
                <w14:textFill>
                  <w14:solidFill>
                    <w14:schemeClr w14:val="tx1"/>
                  </w14:solidFill>
                </w14:textFill>
              </w:rPr>
              <w:t>杭锦</w:t>
            </w:r>
            <w:r>
              <w:rPr>
                <w:rFonts w:hint="eastAsia"/>
                <w:color w:val="000000" w:themeColor="text1"/>
                <w:kern w:val="0"/>
                <w:sz w:val="24"/>
                <w:highlight w:val="none"/>
                <w:lang w:val="en-US" w:eastAsia="zh-CN"/>
                <w14:textFill>
                  <w14:solidFill>
                    <w14:schemeClr w14:val="tx1"/>
                  </w14:solidFill>
                </w14:textFill>
              </w:rPr>
              <w:t>旗</w:t>
            </w:r>
            <w:r>
              <w:rPr>
                <w:rFonts w:ascii="Times New Roman" w:hAnsi="Times New Roman"/>
                <w:color w:val="000000" w:themeColor="text1"/>
                <w:sz w:val="24"/>
                <w:highlight w:val="none"/>
                <w14:textFill>
                  <w14:solidFill>
                    <w14:schemeClr w14:val="tx1"/>
                  </w14:solidFill>
                </w14:textFill>
              </w:rPr>
              <w:t>锡尼镇</w:t>
            </w:r>
            <w:r>
              <w:rPr>
                <w:rFonts w:hint="eastAsia"/>
                <w:color w:val="000000" w:themeColor="text1"/>
                <w:sz w:val="24"/>
                <w:highlight w:val="none"/>
                <w14:textFill>
                  <w14:solidFill>
                    <w14:schemeClr w14:val="tx1"/>
                  </w14:solidFill>
                </w14:textFill>
              </w:rPr>
              <w:t>鄂尔多斯市同圆库布其生态工业治沙股份有限公司</w:t>
            </w:r>
            <w:r>
              <w:rPr>
                <w:rFonts w:hint="eastAsia"/>
                <w:color w:val="000000" w:themeColor="text1"/>
                <w:sz w:val="24"/>
                <w:highlight w:val="none"/>
                <w:lang w:val="en-US" w:eastAsia="zh-CN"/>
                <w14:textFill>
                  <w14:solidFill>
                    <w14:schemeClr w14:val="tx1"/>
                  </w14:solidFill>
                </w14:textFill>
              </w:rPr>
              <w:t>内</w:t>
            </w:r>
            <w:r>
              <w:rPr>
                <w:rFonts w:hint="eastAsia"/>
                <w:color w:val="000000" w:themeColor="text1"/>
                <w:sz w:val="24"/>
                <w:highlight w:val="none"/>
                <w14:textFill>
                  <w14:solidFill>
                    <w14:schemeClr w14:val="tx1"/>
                  </w14:solidFill>
                </w14:textFill>
              </w:rPr>
              <w:t>现有</w:t>
            </w:r>
            <w:r>
              <w:rPr>
                <w:rFonts w:hint="eastAsia"/>
                <w:color w:val="000000" w:themeColor="text1"/>
                <w:sz w:val="24"/>
                <w:highlight w:val="none"/>
                <w:lang w:val="en-US" w:eastAsia="zh-CN"/>
                <w14:textFill>
                  <w14:solidFill>
                    <w14:schemeClr w14:val="tx1"/>
                  </w14:solidFill>
                </w14:textFill>
              </w:rPr>
              <w:t>空地</w:t>
            </w:r>
          </w:p>
          <w:p w14:paraId="3CD0D08E">
            <w:pPr>
              <w:pStyle w:val="75"/>
              <w:spacing w:line="360" w:lineRule="auto"/>
              <w:ind w:firstLine="480"/>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占地面积：占地规模30981m</w:t>
            </w:r>
            <w:r>
              <w:rPr>
                <w:rFonts w:ascii="Times New Roman" w:hAnsi="Times New Roman"/>
                <w:color w:val="000000" w:themeColor="text1"/>
                <w:sz w:val="24"/>
                <w:szCs w:val="24"/>
                <w:highlight w:val="none"/>
                <w:vertAlign w:val="superscript"/>
                <w14:textFill>
                  <w14:solidFill>
                    <w14:schemeClr w14:val="tx1"/>
                  </w14:solidFill>
                </w14:textFill>
              </w:rPr>
              <w:t>2</w:t>
            </w:r>
            <w:r>
              <w:rPr>
                <w:rFonts w:ascii="Times New Roman" w:hAnsi="Times New Roman"/>
                <w:color w:val="000000" w:themeColor="text1"/>
                <w:sz w:val="24"/>
                <w:szCs w:val="24"/>
                <w:highlight w:val="none"/>
                <w14:textFill>
                  <w14:solidFill>
                    <w14:schemeClr w14:val="tx1"/>
                  </w14:solidFill>
                </w14:textFill>
              </w:rPr>
              <w:t>。</w:t>
            </w:r>
          </w:p>
          <w:p w14:paraId="31DDA8C6">
            <w:pPr>
              <w:pStyle w:val="75"/>
              <w:spacing w:line="360" w:lineRule="auto"/>
              <w:ind w:firstLine="480"/>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项目投资：本项目总投资为</w:t>
            </w:r>
            <w:r>
              <w:rPr>
                <w:rFonts w:hint="eastAsia" w:ascii="Times New Roman" w:hAnsi="Times New Roman"/>
                <w:color w:val="000000" w:themeColor="text1"/>
                <w:sz w:val="24"/>
                <w:szCs w:val="24"/>
                <w:highlight w:val="none"/>
                <w:lang w:val="en-US" w:eastAsia="zh-CN"/>
                <w14:textFill>
                  <w14:solidFill>
                    <w14:schemeClr w14:val="tx1"/>
                  </w14:solidFill>
                </w14:textFill>
              </w:rPr>
              <w:t>5000</w:t>
            </w:r>
            <w:r>
              <w:rPr>
                <w:rFonts w:ascii="Times New Roman" w:hAnsi="Times New Roman"/>
                <w:color w:val="000000" w:themeColor="text1"/>
                <w:sz w:val="24"/>
                <w:szCs w:val="24"/>
                <w:highlight w:val="none"/>
                <w14:textFill>
                  <w14:solidFill>
                    <w14:schemeClr w14:val="tx1"/>
                  </w14:solidFill>
                </w14:textFill>
              </w:rPr>
              <w:t>万元，</w:t>
            </w:r>
            <w:r>
              <w:rPr>
                <w:rFonts w:ascii="Times New Roman" w:hAnsi="Times New Roman"/>
                <w:sz w:val="24"/>
                <w:szCs w:val="24"/>
                <w:highlight w:val="none"/>
              </w:rPr>
              <w:t>环保投资为</w:t>
            </w:r>
            <w:r>
              <w:rPr>
                <w:rFonts w:hint="eastAsia" w:ascii="Times New Roman" w:hAnsi="Times New Roman"/>
                <w:sz w:val="24"/>
                <w:szCs w:val="24"/>
                <w:highlight w:val="none"/>
                <w:lang w:val="en-US" w:eastAsia="zh-CN"/>
              </w:rPr>
              <w:t>407</w:t>
            </w:r>
            <w:r>
              <w:rPr>
                <w:rFonts w:ascii="Times New Roman" w:hAnsi="Times New Roman"/>
                <w:sz w:val="24"/>
                <w:szCs w:val="24"/>
                <w:highlight w:val="none"/>
              </w:rPr>
              <w:t>万元</w:t>
            </w:r>
            <w:r>
              <w:rPr>
                <w:rFonts w:ascii="Times New Roman" w:hAnsi="Times New Roman"/>
                <w:color w:val="000000" w:themeColor="text1"/>
                <w:sz w:val="24"/>
                <w:szCs w:val="24"/>
                <w:highlight w:val="none"/>
                <w14:textFill>
                  <w14:solidFill>
                    <w14:schemeClr w14:val="tx1"/>
                  </w14:solidFill>
                </w14:textFill>
              </w:rPr>
              <w:t>，占总投资</w:t>
            </w:r>
            <w:r>
              <w:rPr>
                <w:rFonts w:hint="eastAsia" w:ascii="Times New Roman" w:hAnsi="Times New Roman"/>
                <w:color w:val="000000" w:themeColor="text1"/>
                <w:sz w:val="24"/>
                <w:szCs w:val="24"/>
                <w:highlight w:val="none"/>
                <w:lang w:val="en-US" w:eastAsia="zh-CN"/>
                <w14:textFill>
                  <w14:solidFill>
                    <w14:schemeClr w14:val="tx1"/>
                  </w14:solidFill>
                </w14:textFill>
              </w:rPr>
              <w:t>8.14</w:t>
            </w:r>
            <w:r>
              <w:rPr>
                <w:rFonts w:ascii="Times New Roman" w:hAnsi="Times New Roman"/>
                <w:color w:val="000000" w:themeColor="text1"/>
                <w:sz w:val="24"/>
                <w:szCs w:val="24"/>
                <w:highlight w:val="none"/>
                <w14:textFill>
                  <w14:solidFill>
                    <w14:schemeClr w14:val="tx1"/>
                  </w14:solidFill>
                </w14:textFill>
              </w:rPr>
              <w:t>%。</w:t>
            </w:r>
          </w:p>
          <w:p w14:paraId="1FA0732C">
            <w:pPr>
              <w:pStyle w:val="75"/>
              <w:spacing w:line="360" w:lineRule="auto"/>
              <w:ind w:firstLine="480"/>
              <w:rPr>
                <w:rFonts w:ascii="Times New Roman" w:hAnsi="Times New Roman"/>
                <w:color w:val="000000" w:themeColor="text1"/>
                <w:sz w:val="24"/>
                <w:szCs w:val="24"/>
                <w:highlight w:val="none"/>
                <w14:textFill>
                  <w14:solidFill>
                    <w14:schemeClr w14:val="tx1"/>
                  </w14:solidFill>
                </w14:textFill>
              </w:rPr>
            </w:pPr>
            <w:r>
              <w:rPr>
                <w:rFonts w:hint="eastAsia" w:ascii="Times New Roman" w:hAnsi="Times New Roman"/>
                <w:color w:val="000000" w:themeColor="text1"/>
                <w:sz w:val="24"/>
                <w:szCs w:val="24"/>
                <w:highlight w:val="none"/>
                <w14:textFill>
                  <w14:solidFill>
                    <w14:schemeClr w14:val="tx1"/>
                  </w14:solidFill>
                </w14:textFill>
              </w:rPr>
              <w:t>建设规模：本项目年产Φ300PHC桩（8-15米节长A型、B型、AB型）300万米</w:t>
            </w:r>
            <w:r>
              <w:rPr>
                <w:rFonts w:ascii="Times New Roman" w:hAnsi="Times New Roman"/>
                <w:color w:val="000000" w:themeColor="text1"/>
                <w:sz w:val="24"/>
                <w:szCs w:val="24"/>
                <w:highlight w:val="none"/>
                <w14:textFill>
                  <w14:solidFill>
                    <w14:schemeClr w14:val="tx1"/>
                  </w14:solidFill>
                </w14:textFill>
              </w:rPr>
              <w:t>。</w:t>
            </w:r>
          </w:p>
          <w:p w14:paraId="696F1E26">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建设内容：</w:t>
            </w:r>
            <w:r>
              <w:rPr>
                <w:rFonts w:hint="eastAsia"/>
                <w:color w:val="000000" w:themeColor="text1"/>
                <w:sz w:val="24"/>
                <w:highlight w:val="none"/>
                <w:lang w:val="en-US" w:eastAsia="zh-CN"/>
                <w14:textFill>
                  <w14:solidFill>
                    <w14:schemeClr w14:val="tx1"/>
                  </w14:solidFill>
                </w14:textFill>
              </w:rPr>
              <w:t>建设管桩生产线1条，主要建设内容包括</w:t>
            </w:r>
            <w:r>
              <w:rPr>
                <w:color w:val="000000" w:themeColor="text1"/>
                <w:sz w:val="24"/>
                <w:highlight w:val="none"/>
                <w14:textFill>
                  <w14:solidFill>
                    <w14:schemeClr w14:val="tx1"/>
                  </w14:solidFill>
                </w14:textFill>
              </w:rPr>
              <w:t>生产车间</w:t>
            </w:r>
            <w:r>
              <w:rPr>
                <w:rFonts w:hint="eastAsia"/>
                <w:color w:val="000000" w:themeColor="text1"/>
                <w:sz w:val="24"/>
                <w:highlight w:val="none"/>
                <w:lang w:val="en-US" w:eastAsia="zh-CN"/>
                <w14:textFill>
                  <w14:solidFill>
                    <w14:schemeClr w14:val="tx1"/>
                  </w14:solidFill>
                </w14:textFill>
              </w:rPr>
              <w:t>1</w:t>
            </w:r>
            <w:r>
              <w:rPr>
                <w:color w:val="000000" w:themeColor="text1"/>
                <w:sz w:val="24"/>
                <w:highlight w:val="none"/>
                <w14:textFill>
                  <w14:solidFill>
                    <w14:schemeClr w14:val="tx1"/>
                  </w14:solidFill>
                </w14:textFill>
              </w:rPr>
              <w:t>座，原料库</w:t>
            </w:r>
            <w:r>
              <w:rPr>
                <w:rFonts w:hint="eastAsia"/>
                <w:color w:val="000000" w:themeColor="text1"/>
                <w:sz w:val="24"/>
                <w:highlight w:val="none"/>
                <w:lang w:val="en-US" w:eastAsia="zh-CN"/>
                <w14:textFill>
                  <w14:solidFill>
                    <w14:schemeClr w14:val="tx1"/>
                  </w14:solidFill>
                </w14:textFill>
              </w:rPr>
              <w:t>1</w:t>
            </w:r>
            <w:r>
              <w:rPr>
                <w:color w:val="000000" w:themeColor="text1"/>
                <w:sz w:val="24"/>
                <w:highlight w:val="none"/>
                <w14:textFill>
                  <w14:solidFill>
                    <w14:schemeClr w14:val="tx1"/>
                  </w14:solidFill>
                </w14:textFill>
              </w:rPr>
              <w:t>座，办公楼</w:t>
            </w:r>
            <w:r>
              <w:rPr>
                <w:rFonts w:hint="eastAsia"/>
                <w:color w:val="000000" w:themeColor="text1"/>
                <w:sz w:val="24"/>
                <w:highlight w:val="none"/>
                <w:lang w:val="en-US" w:eastAsia="zh-CN"/>
                <w14:textFill>
                  <w14:solidFill>
                    <w14:schemeClr w14:val="tx1"/>
                  </w14:solidFill>
                </w14:textFill>
              </w:rPr>
              <w:t>1</w:t>
            </w:r>
            <w:r>
              <w:rPr>
                <w:color w:val="000000" w:themeColor="text1"/>
                <w:sz w:val="24"/>
                <w:highlight w:val="none"/>
                <w14:textFill>
                  <w14:solidFill>
                    <w14:schemeClr w14:val="tx1"/>
                  </w14:solidFill>
                </w14:textFill>
              </w:rPr>
              <w:t>座，宿舍</w:t>
            </w:r>
            <w:r>
              <w:rPr>
                <w:rFonts w:hint="eastAsia"/>
                <w:color w:val="000000" w:themeColor="text1"/>
                <w:sz w:val="24"/>
                <w:highlight w:val="none"/>
                <w:lang w:val="en-US" w:eastAsia="zh-CN"/>
                <w14:textFill>
                  <w14:solidFill>
                    <w14:schemeClr w14:val="tx1"/>
                  </w14:solidFill>
                </w14:textFill>
              </w:rPr>
              <w:t>1</w:t>
            </w:r>
            <w:r>
              <w:rPr>
                <w:color w:val="000000" w:themeColor="text1"/>
                <w:sz w:val="24"/>
                <w:highlight w:val="none"/>
                <w14:textFill>
                  <w14:solidFill>
                    <w14:schemeClr w14:val="tx1"/>
                  </w14:solidFill>
                </w14:textFill>
              </w:rPr>
              <w:t>座，混凝土搅拌</w:t>
            </w:r>
            <w:r>
              <w:rPr>
                <w:rFonts w:hint="eastAsia"/>
                <w:color w:val="000000" w:themeColor="text1"/>
                <w:sz w:val="24"/>
                <w:highlight w:val="none"/>
                <w14:textFill>
                  <w14:solidFill>
                    <w14:schemeClr w14:val="tx1"/>
                  </w14:solidFill>
                </w14:textFill>
              </w:rPr>
              <w:t>楼</w:t>
            </w:r>
            <w:r>
              <w:rPr>
                <w:rFonts w:hint="eastAsia"/>
                <w:color w:val="000000" w:themeColor="text1"/>
                <w:sz w:val="24"/>
                <w:highlight w:val="none"/>
                <w:lang w:val="en-US" w:eastAsia="zh-CN"/>
                <w14:textFill>
                  <w14:solidFill>
                    <w14:schemeClr w14:val="tx1"/>
                  </w14:solidFill>
                </w14:textFill>
              </w:rPr>
              <w:t>1</w:t>
            </w:r>
            <w:r>
              <w:rPr>
                <w:color w:val="000000" w:themeColor="text1"/>
                <w:sz w:val="24"/>
                <w:highlight w:val="none"/>
                <w14:textFill>
                  <w14:solidFill>
                    <w14:schemeClr w14:val="tx1"/>
                  </w14:solidFill>
                </w14:textFill>
              </w:rPr>
              <w:t>座，敞开式产品堆场</w:t>
            </w:r>
            <w:r>
              <w:rPr>
                <w:rFonts w:hint="eastAsia"/>
                <w:color w:val="000000" w:themeColor="text1"/>
                <w:sz w:val="24"/>
                <w:highlight w:val="none"/>
                <w:lang w:val="en-US" w:eastAsia="zh-CN"/>
                <w14:textFill>
                  <w14:solidFill>
                    <w14:schemeClr w14:val="tx1"/>
                  </w14:solidFill>
                </w14:textFill>
              </w:rPr>
              <w:t>1</w:t>
            </w:r>
            <w:r>
              <w:rPr>
                <w:color w:val="000000" w:themeColor="text1"/>
                <w:sz w:val="24"/>
                <w:highlight w:val="none"/>
                <w14:textFill>
                  <w14:solidFill>
                    <w14:schemeClr w14:val="tx1"/>
                  </w14:solidFill>
                </w14:textFill>
              </w:rPr>
              <w:t>座</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水泥筒仓2座，矿粉和硅粉筒仓各1座以及配套公辅设施</w:t>
            </w:r>
            <w:r>
              <w:rPr>
                <w:color w:val="000000" w:themeColor="text1"/>
                <w:sz w:val="24"/>
                <w:highlight w:val="none"/>
                <w14:textFill>
                  <w14:solidFill>
                    <w14:schemeClr w14:val="tx1"/>
                  </w14:solidFill>
                </w14:textFill>
              </w:rPr>
              <w:t>。</w:t>
            </w:r>
          </w:p>
          <w:p w14:paraId="66E4765D">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建设内容见下表：</w:t>
            </w:r>
          </w:p>
          <w:p w14:paraId="659DB077">
            <w:pPr>
              <w:adjustRightInd w:val="0"/>
              <w:snapToGrid w:val="0"/>
              <w:ind w:firstLine="482" w:firstLineChars="200"/>
              <w:jc w:val="center"/>
              <w:rPr>
                <w:b/>
                <w:color w:val="000000" w:themeColor="text1"/>
                <w:sz w:val="24"/>
                <w:szCs w:val="21"/>
                <w:highlight w:val="none"/>
                <w14:textFill>
                  <w14:solidFill>
                    <w14:schemeClr w14:val="tx1"/>
                  </w14:solidFill>
                </w14:textFill>
              </w:rPr>
            </w:pPr>
            <w:r>
              <w:rPr>
                <w:b/>
                <w:color w:val="000000" w:themeColor="text1"/>
                <w:sz w:val="24"/>
                <w:szCs w:val="21"/>
                <w:highlight w:val="none"/>
                <w14:textFill>
                  <w14:solidFill>
                    <w14:schemeClr w14:val="tx1"/>
                  </w14:solidFill>
                </w14:textFill>
              </w:rPr>
              <w:t>表2-1   主要工程建设内容</w:t>
            </w:r>
          </w:p>
          <w:tbl>
            <w:tblPr>
              <w:tblStyle w:val="30"/>
              <w:tblW w:w="8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426"/>
              <w:gridCol w:w="1295"/>
              <w:gridCol w:w="4894"/>
              <w:gridCol w:w="739"/>
            </w:tblGrid>
            <w:tr w14:paraId="1392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shd w:val="clear" w:color="auto" w:fill="auto"/>
                  <w:vAlign w:val="center"/>
                </w:tcPr>
                <w:p w14:paraId="6D87A789">
                  <w:pPr>
                    <w:pStyle w:val="45"/>
                    <w:spacing w:before="0" w:line="240" w:lineRule="auto"/>
                    <w:ind w:right="0"/>
                    <w:rPr>
                      <w:b w:val="0"/>
                      <w:bCs/>
                      <w:color w:val="auto"/>
                      <w:sz w:val="21"/>
                      <w:szCs w:val="21"/>
                      <w:highlight w:val="none"/>
                    </w:rPr>
                  </w:pPr>
                  <w:r>
                    <w:rPr>
                      <w:b w:val="0"/>
                      <w:bCs/>
                      <w:color w:val="auto"/>
                      <w:sz w:val="21"/>
                      <w:szCs w:val="21"/>
                      <w:highlight w:val="none"/>
                    </w:rPr>
                    <w:t>工程类别</w:t>
                  </w:r>
                </w:p>
              </w:tc>
              <w:tc>
                <w:tcPr>
                  <w:tcW w:w="1721" w:type="dxa"/>
                  <w:gridSpan w:val="2"/>
                  <w:shd w:val="clear" w:color="auto" w:fill="auto"/>
                  <w:vAlign w:val="center"/>
                </w:tcPr>
                <w:p w14:paraId="0833189A">
                  <w:pPr>
                    <w:pStyle w:val="45"/>
                    <w:spacing w:before="0" w:line="240" w:lineRule="auto"/>
                    <w:ind w:right="0"/>
                    <w:rPr>
                      <w:b w:val="0"/>
                      <w:bCs/>
                      <w:color w:val="auto"/>
                      <w:sz w:val="21"/>
                      <w:szCs w:val="21"/>
                      <w:highlight w:val="none"/>
                    </w:rPr>
                  </w:pPr>
                  <w:r>
                    <w:rPr>
                      <w:b w:val="0"/>
                      <w:bCs/>
                      <w:color w:val="auto"/>
                      <w:sz w:val="21"/>
                      <w:szCs w:val="21"/>
                      <w:highlight w:val="none"/>
                    </w:rPr>
                    <w:t>项目名称</w:t>
                  </w:r>
                </w:p>
              </w:tc>
              <w:tc>
                <w:tcPr>
                  <w:tcW w:w="4894" w:type="dxa"/>
                  <w:shd w:val="clear" w:color="auto" w:fill="auto"/>
                  <w:vAlign w:val="center"/>
                </w:tcPr>
                <w:p w14:paraId="2B4379BA">
                  <w:pPr>
                    <w:pStyle w:val="45"/>
                    <w:spacing w:before="0" w:line="240" w:lineRule="auto"/>
                    <w:ind w:right="0"/>
                    <w:rPr>
                      <w:b w:val="0"/>
                      <w:bCs/>
                      <w:color w:val="auto"/>
                      <w:sz w:val="21"/>
                      <w:szCs w:val="21"/>
                      <w:highlight w:val="none"/>
                    </w:rPr>
                  </w:pPr>
                  <w:r>
                    <w:rPr>
                      <w:b w:val="0"/>
                      <w:bCs/>
                      <w:color w:val="auto"/>
                      <w:sz w:val="21"/>
                      <w:szCs w:val="21"/>
                      <w:highlight w:val="none"/>
                    </w:rPr>
                    <w:t>建设内容</w:t>
                  </w:r>
                </w:p>
              </w:tc>
              <w:tc>
                <w:tcPr>
                  <w:tcW w:w="739" w:type="dxa"/>
                  <w:shd w:val="clear" w:color="auto" w:fill="auto"/>
                  <w:vAlign w:val="center"/>
                </w:tcPr>
                <w:p w14:paraId="56A1ADBC">
                  <w:pPr>
                    <w:pStyle w:val="45"/>
                    <w:spacing w:before="0" w:line="240" w:lineRule="auto"/>
                    <w:ind w:right="0"/>
                    <w:rPr>
                      <w:b w:val="0"/>
                      <w:bCs/>
                      <w:color w:val="auto"/>
                      <w:sz w:val="21"/>
                      <w:szCs w:val="21"/>
                      <w:highlight w:val="none"/>
                    </w:rPr>
                  </w:pPr>
                  <w:r>
                    <w:rPr>
                      <w:b w:val="0"/>
                      <w:bCs/>
                      <w:color w:val="auto"/>
                      <w:sz w:val="21"/>
                      <w:szCs w:val="21"/>
                      <w:highlight w:val="none"/>
                    </w:rPr>
                    <w:t>备注</w:t>
                  </w:r>
                </w:p>
              </w:tc>
            </w:tr>
            <w:tr w14:paraId="3BF8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restart"/>
                  <w:shd w:val="clear" w:color="auto" w:fill="auto"/>
                  <w:vAlign w:val="center"/>
                </w:tcPr>
                <w:p w14:paraId="0567494E">
                  <w:pPr>
                    <w:pStyle w:val="45"/>
                    <w:spacing w:before="0" w:line="240" w:lineRule="auto"/>
                    <w:ind w:right="0"/>
                    <w:rPr>
                      <w:b w:val="0"/>
                      <w:bCs/>
                      <w:color w:val="auto"/>
                      <w:sz w:val="21"/>
                      <w:szCs w:val="21"/>
                      <w:highlight w:val="none"/>
                    </w:rPr>
                  </w:pPr>
                  <w:r>
                    <w:rPr>
                      <w:b w:val="0"/>
                      <w:bCs/>
                      <w:color w:val="auto"/>
                      <w:sz w:val="21"/>
                      <w:szCs w:val="21"/>
                      <w:highlight w:val="none"/>
                    </w:rPr>
                    <w:t>主体工程</w:t>
                  </w:r>
                </w:p>
              </w:tc>
              <w:tc>
                <w:tcPr>
                  <w:tcW w:w="1721" w:type="dxa"/>
                  <w:gridSpan w:val="2"/>
                  <w:shd w:val="clear" w:color="auto" w:fill="auto"/>
                  <w:vAlign w:val="center"/>
                </w:tcPr>
                <w:p w14:paraId="05785F1A">
                  <w:pPr>
                    <w:pStyle w:val="45"/>
                    <w:spacing w:before="0" w:line="240" w:lineRule="auto"/>
                    <w:ind w:right="0"/>
                    <w:rPr>
                      <w:b w:val="0"/>
                      <w:bCs/>
                      <w:color w:val="auto"/>
                      <w:sz w:val="21"/>
                      <w:szCs w:val="21"/>
                      <w:highlight w:val="none"/>
                    </w:rPr>
                  </w:pPr>
                  <w:r>
                    <w:rPr>
                      <w:rFonts w:hint="eastAsia"/>
                      <w:b w:val="0"/>
                      <w:bCs/>
                      <w:color w:val="auto"/>
                      <w:sz w:val="21"/>
                      <w:szCs w:val="21"/>
                      <w:highlight w:val="none"/>
                    </w:rPr>
                    <w:t>生产车间</w:t>
                  </w:r>
                </w:p>
              </w:tc>
              <w:tc>
                <w:tcPr>
                  <w:tcW w:w="4894" w:type="dxa"/>
                  <w:shd w:val="clear" w:color="auto" w:fill="auto"/>
                  <w:vAlign w:val="center"/>
                </w:tcPr>
                <w:p w14:paraId="75E52E0D">
                  <w:pPr>
                    <w:widowControl/>
                    <w:rPr>
                      <w:color w:val="auto"/>
                      <w:kern w:val="0"/>
                      <w:szCs w:val="21"/>
                      <w:highlight w:val="none"/>
                      <w:lang w:bidi="ar"/>
                    </w:rPr>
                  </w:pPr>
                  <w:r>
                    <w:rPr>
                      <w:rFonts w:hint="eastAsia"/>
                      <w:bCs/>
                      <w:color w:val="auto"/>
                      <w:szCs w:val="21"/>
                      <w:highlight w:val="none"/>
                      <w:lang w:val="zh-CN"/>
                    </w:rPr>
                    <w:t>全封闭钢结构车间</w:t>
                  </w:r>
                  <w:r>
                    <w:rPr>
                      <w:rFonts w:hint="eastAsia"/>
                      <w:bCs/>
                      <w:color w:val="auto"/>
                      <w:szCs w:val="21"/>
                      <w:highlight w:val="none"/>
                    </w:rPr>
                    <w:t>1座，</w:t>
                  </w:r>
                  <w:r>
                    <w:rPr>
                      <w:color w:val="auto"/>
                      <w:kern w:val="0"/>
                      <w:szCs w:val="21"/>
                      <w:highlight w:val="none"/>
                      <w:lang w:bidi="ar"/>
                    </w:rPr>
                    <w:t>占地面积为</w:t>
                  </w:r>
                  <w:r>
                    <w:rPr>
                      <w:rFonts w:hint="eastAsia"/>
                      <w:color w:val="auto"/>
                      <w:kern w:val="0"/>
                      <w:szCs w:val="21"/>
                      <w:highlight w:val="none"/>
                      <w:lang w:bidi="ar"/>
                    </w:rPr>
                    <w:t>6600</w:t>
                  </w:r>
                  <w:r>
                    <w:rPr>
                      <w:bCs/>
                      <w:color w:val="auto"/>
                      <w:szCs w:val="21"/>
                      <w:highlight w:val="none"/>
                      <w:lang w:val="zh-CN"/>
                    </w:rPr>
                    <w:t>m</w:t>
                  </w:r>
                  <w:r>
                    <w:rPr>
                      <w:bCs/>
                      <w:color w:val="auto"/>
                      <w:szCs w:val="21"/>
                      <w:highlight w:val="none"/>
                      <w:vertAlign w:val="superscript"/>
                      <w:lang w:val="zh-CN"/>
                    </w:rPr>
                    <w:t>2</w:t>
                  </w:r>
                  <w:r>
                    <w:rPr>
                      <w:rFonts w:hint="eastAsia"/>
                      <w:bCs/>
                      <w:color w:val="auto"/>
                      <w:szCs w:val="21"/>
                      <w:highlight w:val="none"/>
                      <w:lang w:val="zh-CN"/>
                    </w:rPr>
                    <w:t>，</w:t>
                  </w:r>
                  <w:r>
                    <w:rPr>
                      <w:color w:val="auto"/>
                      <w:kern w:val="0"/>
                      <w:szCs w:val="21"/>
                      <w:highlight w:val="none"/>
                      <w:lang w:bidi="ar"/>
                    </w:rPr>
                    <w:t>长</w:t>
                  </w:r>
                  <w:r>
                    <w:rPr>
                      <w:rFonts w:hint="eastAsia"/>
                      <w:color w:val="auto"/>
                      <w:kern w:val="0"/>
                      <w:szCs w:val="21"/>
                      <w:highlight w:val="none"/>
                      <w:lang w:bidi="ar"/>
                    </w:rPr>
                    <w:t>120</w:t>
                  </w:r>
                  <w:r>
                    <w:rPr>
                      <w:color w:val="auto"/>
                      <w:kern w:val="0"/>
                      <w:szCs w:val="21"/>
                      <w:highlight w:val="none"/>
                      <w:lang w:bidi="ar"/>
                    </w:rPr>
                    <w:t>m×宽</w:t>
                  </w:r>
                  <w:r>
                    <w:rPr>
                      <w:rFonts w:hint="eastAsia"/>
                      <w:color w:val="auto"/>
                      <w:kern w:val="0"/>
                      <w:szCs w:val="21"/>
                      <w:highlight w:val="none"/>
                      <w:lang w:bidi="ar"/>
                    </w:rPr>
                    <w:t>55</w:t>
                  </w:r>
                  <w:r>
                    <w:rPr>
                      <w:color w:val="auto"/>
                      <w:kern w:val="0"/>
                      <w:szCs w:val="21"/>
                      <w:highlight w:val="none"/>
                      <w:lang w:bidi="ar"/>
                    </w:rPr>
                    <w:t>m×</w:t>
                  </w:r>
                  <w:r>
                    <w:rPr>
                      <w:rFonts w:hint="eastAsia"/>
                      <w:color w:val="auto"/>
                      <w:kern w:val="0"/>
                      <w:szCs w:val="21"/>
                      <w:highlight w:val="none"/>
                      <w:lang w:bidi="ar"/>
                    </w:rPr>
                    <w:t>高9.8</w:t>
                  </w:r>
                  <w:r>
                    <w:rPr>
                      <w:color w:val="auto"/>
                      <w:kern w:val="0"/>
                      <w:szCs w:val="21"/>
                      <w:highlight w:val="none"/>
                      <w:lang w:bidi="ar"/>
                    </w:rPr>
                    <w:t>m</w:t>
                  </w:r>
                  <w:r>
                    <w:rPr>
                      <w:rFonts w:hint="eastAsia"/>
                      <w:color w:val="auto"/>
                      <w:kern w:val="0"/>
                      <w:szCs w:val="21"/>
                      <w:highlight w:val="none"/>
                      <w:lang w:bidi="ar"/>
                    </w:rPr>
                    <w:t>，</w:t>
                  </w:r>
                  <w:r>
                    <w:rPr>
                      <w:rFonts w:hint="eastAsia"/>
                      <w:color w:val="auto"/>
                      <w:kern w:val="0"/>
                      <w:szCs w:val="21"/>
                      <w:highlight w:val="none"/>
                      <w:lang w:val="en-US" w:eastAsia="zh-CN" w:bidi="ar"/>
                    </w:rPr>
                    <w:t>车间内安装管桩浇筑、成型、养护生产线1条</w:t>
                  </w:r>
                  <w:r>
                    <w:rPr>
                      <w:rFonts w:hint="eastAsia"/>
                      <w:color w:val="auto"/>
                      <w:kern w:val="0"/>
                      <w:szCs w:val="21"/>
                      <w:highlight w:val="none"/>
                      <w:lang w:bidi="ar"/>
                    </w:rPr>
                    <w:t>。</w:t>
                  </w:r>
                </w:p>
              </w:tc>
              <w:tc>
                <w:tcPr>
                  <w:tcW w:w="739" w:type="dxa"/>
                  <w:shd w:val="clear" w:color="auto" w:fill="auto"/>
                  <w:vAlign w:val="center"/>
                </w:tcPr>
                <w:p w14:paraId="74249F1B">
                  <w:pPr>
                    <w:jc w:val="center"/>
                    <w:rPr>
                      <w:bCs/>
                      <w:color w:val="auto"/>
                      <w:szCs w:val="21"/>
                      <w:highlight w:val="none"/>
                    </w:rPr>
                  </w:pPr>
                  <w:r>
                    <w:rPr>
                      <w:bCs/>
                      <w:color w:val="auto"/>
                      <w:szCs w:val="21"/>
                      <w:highlight w:val="none"/>
                    </w:rPr>
                    <w:t>新建</w:t>
                  </w:r>
                </w:p>
              </w:tc>
            </w:tr>
            <w:tr w14:paraId="354F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58912243">
                  <w:pPr>
                    <w:pStyle w:val="45"/>
                    <w:spacing w:before="0" w:line="240" w:lineRule="auto"/>
                    <w:ind w:right="0"/>
                    <w:rPr>
                      <w:b w:val="0"/>
                      <w:bCs/>
                      <w:color w:val="auto"/>
                      <w:sz w:val="21"/>
                      <w:szCs w:val="21"/>
                      <w:highlight w:val="none"/>
                    </w:rPr>
                  </w:pPr>
                </w:p>
              </w:tc>
              <w:tc>
                <w:tcPr>
                  <w:tcW w:w="1721" w:type="dxa"/>
                  <w:gridSpan w:val="2"/>
                  <w:shd w:val="clear" w:color="auto" w:fill="auto"/>
                  <w:vAlign w:val="center"/>
                </w:tcPr>
                <w:p w14:paraId="696398B0">
                  <w:pPr>
                    <w:pStyle w:val="45"/>
                    <w:spacing w:before="0" w:line="240" w:lineRule="auto"/>
                    <w:ind w:right="0"/>
                    <w:rPr>
                      <w:b w:val="0"/>
                      <w:bCs/>
                      <w:color w:val="auto"/>
                      <w:sz w:val="21"/>
                      <w:szCs w:val="21"/>
                      <w:highlight w:val="none"/>
                    </w:rPr>
                  </w:pPr>
                  <w:r>
                    <w:rPr>
                      <w:rFonts w:hint="eastAsia"/>
                      <w:b w:val="0"/>
                      <w:bCs/>
                      <w:color w:val="auto"/>
                      <w:sz w:val="21"/>
                      <w:szCs w:val="21"/>
                      <w:highlight w:val="none"/>
                    </w:rPr>
                    <w:t>搅拌楼</w:t>
                  </w:r>
                </w:p>
              </w:tc>
              <w:tc>
                <w:tcPr>
                  <w:tcW w:w="4894" w:type="dxa"/>
                  <w:shd w:val="clear" w:color="auto" w:fill="auto"/>
                  <w:vAlign w:val="center"/>
                </w:tcPr>
                <w:p w14:paraId="2CE57ED1">
                  <w:pPr>
                    <w:widowControl/>
                    <w:rPr>
                      <w:rFonts w:hint="default" w:eastAsia="宋体"/>
                      <w:bCs/>
                      <w:color w:val="auto"/>
                      <w:szCs w:val="21"/>
                      <w:highlight w:val="none"/>
                      <w:lang w:val="en-US" w:eastAsia="zh-CN"/>
                    </w:rPr>
                  </w:pPr>
                  <w:r>
                    <w:rPr>
                      <w:rFonts w:hint="eastAsia"/>
                      <w:bCs/>
                      <w:color w:val="auto"/>
                      <w:szCs w:val="21"/>
                      <w:highlight w:val="none"/>
                      <w:lang w:val="zh-CN"/>
                    </w:rPr>
                    <w:t>建设搅拌楼为</w:t>
                  </w:r>
                  <w:r>
                    <w:rPr>
                      <w:rFonts w:hint="eastAsia"/>
                      <w:bCs/>
                      <w:color w:val="auto"/>
                      <w:szCs w:val="21"/>
                      <w:highlight w:val="none"/>
                      <w:lang w:val="en-US" w:eastAsia="zh-CN"/>
                    </w:rPr>
                    <w:t>砖混</w:t>
                  </w:r>
                  <w:r>
                    <w:rPr>
                      <w:rFonts w:hint="eastAsia"/>
                      <w:bCs/>
                      <w:color w:val="auto"/>
                      <w:szCs w:val="21"/>
                      <w:highlight w:val="none"/>
                      <w:lang w:val="zh-CN"/>
                    </w:rPr>
                    <w:t>结构，2层，占地面积1000</w:t>
                  </w:r>
                  <w:r>
                    <w:rPr>
                      <w:bCs/>
                      <w:color w:val="auto"/>
                      <w:szCs w:val="21"/>
                      <w:highlight w:val="none"/>
                      <w:lang w:val="zh-CN"/>
                    </w:rPr>
                    <w:t>m</w:t>
                  </w:r>
                  <w:r>
                    <w:rPr>
                      <w:bCs/>
                      <w:color w:val="auto"/>
                      <w:szCs w:val="21"/>
                      <w:highlight w:val="none"/>
                      <w:vertAlign w:val="superscript"/>
                      <w:lang w:val="zh-CN"/>
                    </w:rPr>
                    <w:t>2</w:t>
                  </w:r>
                  <w:r>
                    <w:rPr>
                      <w:rFonts w:hint="eastAsia"/>
                      <w:bCs/>
                      <w:color w:val="auto"/>
                      <w:szCs w:val="21"/>
                      <w:highlight w:val="none"/>
                      <w:lang w:val="zh-CN"/>
                    </w:rPr>
                    <w:t>，单层层高4.2m，长50m×20m。</w:t>
                  </w:r>
                  <w:r>
                    <w:rPr>
                      <w:rFonts w:hint="eastAsia"/>
                      <w:bCs/>
                      <w:color w:val="auto"/>
                      <w:szCs w:val="21"/>
                      <w:highlight w:val="none"/>
                      <w:lang w:val="en-US" w:eastAsia="zh-CN"/>
                    </w:rPr>
                    <w:t>建设混凝土生产线1条，用于生产管桩所需混凝土</w:t>
                  </w:r>
                  <w:r>
                    <w:rPr>
                      <w:rFonts w:hint="eastAsia"/>
                      <w:highlight w:val="none"/>
                      <w:lang w:eastAsia="zh-CN"/>
                    </w:rPr>
                    <w:t>，</w:t>
                  </w:r>
                  <w:r>
                    <w:rPr>
                      <w:rFonts w:hint="eastAsia"/>
                      <w:highlight w:val="none"/>
                      <w:lang w:val="en-US" w:eastAsia="zh-CN"/>
                    </w:rPr>
                    <w:t>年生产混凝土46158m</w:t>
                  </w:r>
                  <w:r>
                    <w:rPr>
                      <w:rFonts w:hint="eastAsia"/>
                      <w:highlight w:val="none"/>
                      <w:vertAlign w:val="superscript"/>
                      <w:lang w:val="en-US" w:eastAsia="zh-CN"/>
                    </w:rPr>
                    <w:t>3</w:t>
                  </w:r>
                  <w:r>
                    <w:rPr>
                      <w:rFonts w:hint="eastAsia"/>
                      <w:highlight w:val="none"/>
                      <w:lang w:val="en-US" w:eastAsia="zh-CN"/>
                    </w:rPr>
                    <w:t>。</w:t>
                  </w:r>
                </w:p>
              </w:tc>
              <w:tc>
                <w:tcPr>
                  <w:tcW w:w="739" w:type="dxa"/>
                  <w:shd w:val="clear" w:color="auto" w:fill="auto"/>
                  <w:vAlign w:val="center"/>
                </w:tcPr>
                <w:p w14:paraId="7B3EDA75">
                  <w:pPr>
                    <w:jc w:val="center"/>
                    <w:rPr>
                      <w:bCs/>
                      <w:color w:val="auto"/>
                      <w:szCs w:val="21"/>
                      <w:highlight w:val="none"/>
                    </w:rPr>
                  </w:pPr>
                  <w:r>
                    <w:rPr>
                      <w:rFonts w:hint="eastAsia"/>
                      <w:bCs/>
                      <w:color w:val="auto"/>
                      <w:szCs w:val="21"/>
                      <w:highlight w:val="none"/>
                    </w:rPr>
                    <w:t>新建</w:t>
                  </w:r>
                </w:p>
              </w:tc>
            </w:tr>
            <w:tr w14:paraId="6311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vMerge w:val="restart"/>
                  <w:shd w:val="clear" w:color="auto" w:fill="auto"/>
                  <w:vAlign w:val="center"/>
                </w:tcPr>
                <w:p w14:paraId="760CC2BC">
                  <w:pPr>
                    <w:jc w:val="center"/>
                    <w:rPr>
                      <w:bCs/>
                      <w:color w:val="auto"/>
                      <w:szCs w:val="21"/>
                      <w:highlight w:val="none"/>
                    </w:rPr>
                  </w:pPr>
                  <w:r>
                    <w:rPr>
                      <w:bCs/>
                      <w:color w:val="auto"/>
                      <w:szCs w:val="21"/>
                      <w:highlight w:val="none"/>
                    </w:rPr>
                    <w:t>储运工程</w:t>
                  </w:r>
                </w:p>
              </w:tc>
              <w:tc>
                <w:tcPr>
                  <w:tcW w:w="1721" w:type="dxa"/>
                  <w:gridSpan w:val="2"/>
                  <w:shd w:val="clear" w:color="auto" w:fill="auto"/>
                  <w:vAlign w:val="center"/>
                </w:tcPr>
                <w:p w14:paraId="6297A380">
                  <w:pPr>
                    <w:pStyle w:val="45"/>
                    <w:spacing w:before="0" w:line="240" w:lineRule="auto"/>
                    <w:ind w:right="0"/>
                    <w:rPr>
                      <w:b w:val="0"/>
                      <w:bCs/>
                      <w:color w:val="auto"/>
                      <w:sz w:val="21"/>
                      <w:szCs w:val="21"/>
                      <w:highlight w:val="none"/>
                    </w:rPr>
                  </w:pPr>
                  <w:r>
                    <w:rPr>
                      <w:rFonts w:hint="eastAsia"/>
                      <w:b w:val="0"/>
                      <w:bCs/>
                      <w:color w:val="auto"/>
                      <w:sz w:val="21"/>
                      <w:szCs w:val="21"/>
                      <w:highlight w:val="none"/>
                    </w:rPr>
                    <w:t>原料库</w:t>
                  </w:r>
                </w:p>
              </w:tc>
              <w:tc>
                <w:tcPr>
                  <w:tcW w:w="4894" w:type="dxa"/>
                  <w:shd w:val="clear" w:color="auto" w:fill="auto"/>
                  <w:vAlign w:val="center"/>
                </w:tcPr>
                <w:p w14:paraId="6E68536B">
                  <w:pPr>
                    <w:pStyle w:val="75"/>
                    <w:spacing w:line="240" w:lineRule="auto"/>
                    <w:ind w:firstLine="0" w:firstLineChars="0"/>
                    <w:rPr>
                      <w:rFonts w:ascii="Times New Roman" w:hAnsi="Times New Roman"/>
                      <w:bCs/>
                      <w:color w:val="auto"/>
                      <w:sz w:val="21"/>
                      <w:szCs w:val="21"/>
                      <w:highlight w:val="none"/>
                    </w:rPr>
                  </w:pPr>
                  <w:r>
                    <w:rPr>
                      <w:rFonts w:hint="eastAsia" w:ascii="Times New Roman" w:hAnsi="Times New Roman"/>
                      <w:bCs/>
                      <w:color w:val="auto"/>
                      <w:sz w:val="21"/>
                      <w:szCs w:val="21"/>
                      <w:highlight w:val="none"/>
                    </w:rPr>
                    <w:t>全封闭原料库车间1座，占地面积</w:t>
                  </w:r>
                  <w:r>
                    <w:rPr>
                      <w:rFonts w:hint="eastAsia" w:ascii="Times New Roman" w:hAnsi="Times New Roman"/>
                      <w:bCs/>
                      <w:color w:val="auto"/>
                      <w:sz w:val="21"/>
                      <w:szCs w:val="21"/>
                      <w:highlight w:val="none"/>
                      <w:lang w:val="en-US" w:eastAsia="zh-CN"/>
                    </w:rPr>
                    <w:t>为</w:t>
                  </w:r>
                  <w:r>
                    <w:rPr>
                      <w:rFonts w:hint="eastAsia" w:ascii="Times New Roman" w:hAnsi="Times New Roman"/>
                      <w:bCs/>
                      <w:color w:val="auto"/>
                      <w:sz w:val="21"/>
                      <w:szCs w:val="21"/>
                      <w:highlight w:val="none"/>
                    </w:rPr>
                    <w:t>1400m</w:t>
                  </w:r>
                  <w:r>
                    <w:rPr>
                      <w:rFonts w:hint="eastAsia" w:ascii="Times New Roman" w:hAnsi="Times New Roman"/>
                      <w:bCs/>
                      <w:color w:val="auto"/>
                      <w:sz w:val="21"/>
                      <w:szCs w:val="21"/>
                      <w:highlight w:val="none"/>
                      <w:vertAlign w:val="superscript"/>
                    </w:rPr>
                    <w:t>2</w:t>
                  </w:r>
                  <w:r>
                    <w:rPr>
                      <w:rFonts w:hint="eastAsia" w:ascii="Times New Roman" w:hAnsi="Times New Roman"/>
                      <w:bCs/>
                      <w:color w:val="auto"/>
                      <w:sz w:val="21"/>
                      <w:szCs w:val="21"/>
                      <w:highlight w:val="none"/>
                    </w:rPr>
                    <w:t>，长50m×宽28m×高9.8m，内部储存砂石、钢筋等材料。</w:t>
                  </w:r>
                </w:p>
              </w:tc>
              <w:tc>
                <w:tcPr>
                  <w:tcW w:w="739" w:type="dxa"/>
                  <w:shd w:val="clear" w:color="auto" w:fill="auto"/>
                  <w:vAlign w:val="center"/>
                </w:tcPr>
                <w:p w14:paraId="33551B9E">
                  <w:pPr>
                    <w:pStyle w:val="45"/>
                    <w:spacing w:before="0" w:line="240" w:lineRule="auto"/>
                    <w:ind w:right="0"/>
                    <w:rPr>
                      <w:b w:val="0"/>
                      <w:bCs/>
                      <w:color w:val="auto"/>
                      <w:sz w:val="21"/>
                      <w:szCs w:val="21"/>
                      <w:highlight w:val="none"/>
                    </w:rPr>
                  </w:pPr>
                  <w:r>
                    <w:rPr>
                      <w:b w:val="0"/>
                      <w:bCs/>
                      <w:color w:val="auto"/>
                      <w:sz w:val="21"/>
                      <w:szCs w:val="21"/>
                      <w:highlight w:val="none"/>
                    </w:rPr>
                    <w:t>新建</w:t>
                  </w:r>
                </w:p>
              </w:tc>
            </w:tr>
            <w:tr w14:paraId="1D63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vMerge w:val="continue"/>
                  <w:shd w:val="clear" w:color="auto" w:fill="auto"/>
                  <w:vAlign w:val="center"/>
                </w:tcPr>
                <w:p w14:paraId="1497D20B">
                  <w:pPr>
                    <w:jc w:val="center"/>
                    <w:rPr>
                      <w:bCs/>
                      <w:color w:val="auto"/>
                      <w:szCs w:val="21"/>
                      <w:highlight w:val="none"/>
                    </w:rPr>
                  </w:pPr>
                </w:p>
              </w:tc>
              <w:tc>
                <w:tcPr>
                  <w:tcW w:w="1721" w:type="dxa"/>
                  <w:gridSpan w:val="2"/>
                  <w:shd w:val="clear" w:color="auto" w:fill="auto"/>
                  <w:vAlign w:val="center"/>
                </w:tcPr>
                <w:p w14:paraId="1F61B4C8">
                  <w:pPr>
                    <w:pStyle w:val="45"/>
                    <w:spacing w:before="0" w:line="240" w:lineRule="auto"/>
                    <w:ind w:right="0"/>
                    <w:rPr>
                      <w:b w:val="0"/>
                      <w:bCs/>
                      <w:color w:val="auto"/>
                      <w:sz w:val="21"/>
                      <w:szCs w:val="21"/>
                      <w:highlight w:val="none"/>
                    </w:rPr>
                  </w:pPr>
                  <w:r>
                    <w:rPr>
                      <w:rFonts w:hint="eastAsia"/>
                      <w:b w:val="0"/>
                      <w:bCs/>
                      <w:color w:val="auto"/>
                      <w:sz w:val="21"/>
                      <w:szCs w:val="21"/>
                      <w:highlight w:val="none"/>
                      <w:lang w:val="en-US" w:eastAsia="zh-CN"/>
                    </w:rPr>
                    <w:t>水泥</w:t>
                  </w:r>
                  <w:r>
                    <w:rPr>
                      <w:rFonts w:hint="eastAsia"/>
                      <w:b w:val="0"/>
                      <w:bCs/>
                      <w:color w:val="auto"/>
                      <w:sz w:val="21"/>
                      <w:szCs w:val="21"/>
                      <w:highlight w:val="none"/>
                    </w:rPr>
                    <w:t>筒仓</w:t>
                  </w:r>
                </w:p>
              </w:tc>
              <w:tc>
                <w:tcPr>
                  <w:tcW w:w="4894" w:type="dxa"/>
                  <w:shd w:val="clear" w:color="auto" w:fill="auto"/>
                  <w:vAlign w:val="center"/>
                </w:tcPr>
                <w:p w14:paraId="02612CC2">
                  <w:pPr>
                    <w:pStyle w:val="75"/>
                    <w:spacing w:line="240" w:lineRule="auto"/>
                    <w:ind w:firstLine="0" w:firstLineChars="0"/>
                    <w:rPr>
                      <w:rFonts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bCs/>
                      <w:color w:val="auto"/>
                      <w:sz w:val="21"/>
                      <w:szCs w:val="21"/>
                      <w:highlight w:val="none"/>
                      <w:lang w:eastAsia="zh-CN"/>
                    </w:rPr>
                    <w:t>建设</w:t>
                  </w:r>
                  <w:r>
                    <w:rPr>
                      <w:rFonts w:hint="eastAsia" w:ascii="Times New Roman" w:hAnsi="Times New Roman"/>
                      <w:bCs/>
                      <w:color w:val="auto"/>
                      <w:sz w:val="21"/>
                      <w:szCs w:val="21"/>
                      <w:highlight w:val="none"/>
                    </w:rPr>
                    <w:t>水泥筒仓2座，单座容积300m</w:t>
                  </w:r>
                  <w:r>
                    <w:rPr>
                      <w:rFonts w:hint="default" w:ascii="Times New Roman" w:hAnsi="Times New Roman" w:cs="Times New Roman"/>
                      <w:bCs/>
                      <w:color w:val="auto"/>
                      <w:sz w:val="21"/>
                      <w:szCs w:val="21"/>
                      <w:highlight w:val="none"/>
                    </w:rPr>
                    <w:t>³</w:t>
                  </w:r>
                  <w:r>
                    <w:rPr>
                      <w:rFonts w:hint="eastAsia" w:ascii="Times New Roman" w:hAnsi="Times New Roman"/>
                      <w:bCs/>
                      <w:color w:val="auto"/>
                      <w:sz w:val="21"/>
                      <w:szCs w:val="21"/>
                      <w:highlight w:val="none"/>
                    </w:rPr>
                    <w:t>，筒仓顶部内置粉尘滤芯除尘器。水泥通过压缩空气泵打入生产车间内进料仓。</w:t>
                  </w:r>
                </w:p>
              </w:tc>
              <w:tc>
                <w:tcPr>
                  <w:tcW w:w="739" w:type="dxa"/>
                  <w:shd w:val="clear" w:color="auto" w:fill="auto"/>
                  <w:vAlign w:val="center"/>
                </w:tcPr>
                <w:p w14:paraId="64FEC89E">
                  <w:pPr>
                    <w:pStyle w:val="45"/>
                    <w:spacing w:before="0" w:line="240" w:lineRule="auto"/>
                    <w:ind w:right="0"/>
                    <w:rPr>
                      <w:b w:val="0"/>
                      <w:bCs/>
                      <w:color w:val="auto"/>
                      <w:sz w:val="21"/>
                      <w:szCs w:val="21"/>
                      <w:highlight w:val="none"/>
                    </w:rPr>
                  </w:pPr>
                  <w:r>
                    <w:rPr>
                      <w:b w:val="0"/>
                      <w:bCs/>
                      <w:color w:val="auto"/>
                      <w:sz w:val="21"/>
                      <w:szCs w:val="21"/>
                      <w:highlight w:val="none"/>
                    </w:rPr>
                    <w:t>新建</w:t>
                  </w:r>
                </w:p>
              </w:tc>
            </w:tr>
            <w:tr w14:paraId="4B2D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vMerge w:val="continue"/>
                  <w:shd w:val="clear" w:color="auto" w:fill="auto"/>
                  <w:vAlign w:val="center"/>
                </w:tcPr>
                <w:p w14:paraId="38FA1465">
                  <w:pPr>
                    <w:jc w:val="center"/>
                    <w:rPr>
                      <w:bCs/>
                      <w:color w:val="auto"/>
                      <w:szCs w:val="21"/>
                      <w:highlight w:val="none"/>
                    </w:rPr>
                  </w:pPr>
                </w:p>
              </w:tc>
              <w:tc>
                <w:tcPr>
                  <w:tcW w:w="1721" w:type="dxa"/>
                  <w:gridSpan w:val="2"/>
                  <w:shd w:val="clear" w:color="auto" w:fill="auto"/>
                  <w:vAlign w:val="center"/>
                </w:tcPr>
                <w:p w14:paraId="52E03893">
                  <w:pPr>
                    <w:pStyle w:val="45"/>
                    <w:spacing w:before="0" w:line="240" w:lineRule="auto"/>
                    <w:ind w:right="0"/>
                    <w:rPr>
                      <w:rFonts w:hint="eastAsia"/>
                      <w:b w:val="0"/>
                      <w:bCs/>
                      <w:color w:val="auto"/>
                      <w:sz w:val="21"/>
                      <w:szCs w:val="21"/>
                      <w:highlight w:val="none"/>
                    </w:rPr>
                  </w:pPr>
                  <w:r>
                    <w:rPr>
                      <w:rFonts w:hint="eastAsia"/>
                      <w:b w:val="0"/>
                      <w:bCs/>
                      <w:color w:val="auto"/>
                      <w:sz w:val="21"/>
                      <w:szCs w:val="21"/>
                      <w:highlight w:val="none"/>
                    </w:rPr>
                    <w:t>矿粉筒仓</w:t>
                  </w:r>
                </w:p>
              </w:tc>
              <w:tc>
                <w:tcPr>
                  <w:tcW w:w="4894" w:type="dxa"/>
                  <w:shd w:val="clear" w:color="auto" w:fill="auto"/>
                  <w:vAlign w:val="center"/>
                </w:tcPr>
                <w:p w14:paraId="03606D6C">
                  <w:pPr>
                    <w:pStyle w:val="75"/>
                    <w:spacing w:line="240" w:lineRule="auto"/>
                    <w:ind w:firstLine="0" w:firstLineChars="0"/>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bCs/>
                      <w:color w:val="auto"/>
                      <w:sz w:val="21"/>
                      <w:szCs w:val="21"/>
                      <w:highlight w:val="none"/>
                      <w:lang w:eastAsia="zh-CN"/>
                    </w:rPr>
                    <w:t>建设</w:t>
                  </w:r>
                  <w:r>
                    <w:rPr>
                      <w:rFonts w:hint="eastAsia" w:ascii="Times New Roman" w:hAnsi="Times New Roman"/>
                      <w:bCs/>
                      <w:color w:val="auto"/>
                      <w:sz w:val="21"/>
                      <w:szCs w:val="21"/>
                      <w:highlight w:val="none"/>
                    </w:rPr>
                    <w:t>矿粉筒仓1座，容积300m</w:t>
                  </w:r>
                  <w:r>
                    <w:rPr>
                      <w:rFonts w:hint="default" w:ascii="Times New Roman" w:hAnsi="Times New Roman" w:cs="Times New Roman"/>
                      <w:bCs/>
                      <w:color w:val="auto"/>
                      <w:sz w:val="21"/>
                      <w:szCs w:val="21"/>
                      <w:highlight w:val="none"/>
                    </w:rPr>
                    <w:t>³</w:t>
                  </w:r>
                  <w:r>
                    <w:rPr>
                      <w:rFonts w:hint="eastAsia" w:ascii="Times New Roman" w:hAnsi="Times New Roman"/>
                      <w:bCs/>
                      <w:color w:val="auto"/>
                      <w:sz w:val="21"/>
                      <w:szCs w:val="21"/>
                      <w:highlight w:val="none"/>
                    </w:rPr>
                    <w:t>，筒仓顶部内置粉尘滤芯除尘器。矿粉通过压缩空气泵打入生产车间内进料仓。</w:t>
                  </w:r>
                </w:p>
              </w:tc>
              <w:tc>
                <w:tcPr>
                  <w:tcW w:w="739" w:type="dxa"/>
                  <w:shd w:val="clear" w:color="auto" w:fill="auto"/>
                  <w:vAlign w:val="center"/>
                </w:tcPr>
                <w:p w14:paraId="62455ADE">
                  <w:pPr>
                    <w:pStyle w:val="45"/>
                    <w:spacing w:before="0" w:line="240" w:lineRule="auto"/>
                    <w:ind w:right="0"/>
                    <w:rPr>
                      <w:b w:val="0"/>
                      <w:bCs/>
                      <w:color w:val="auto"/>
                      <w:sz w:val="21"/>
                      <w:szCs w:val="21"/>
                      <w:highlight w:val="none"/>
                    </w:rPr>
                  </w:pPr>
                  <w:r>
                    <w:rPr>
                      <w:b w:val="0"/>
                      <w:bCs/>
                      <w:color w:val="auto"/>
                      <w:sz w:val="21"/>
                      <w:szCs w:val="21"/>
                      <w:highlight w:val="none"/>
                    </w:rPr>
                    <w:t>新建</w:t>
                  </w:r>
                </w:p>
              </w:tc>
            </w:tr>
            <w:tr w14:paraId="5DD6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dxa"/>
                  <w:vMerge w:val="continue"/>
                  <w:shd w:val="clear" w:color="auto" w:fill="auto"/>
                  <w:vAlign w:val="center"/>
                </w:tcPr>
                <w:p w14:paraId="2F1F5730">
                  <w:pPr>
                    <w:jc w:val="center"/>
                    <w:rPr>
                      <w:bCs/>
                      <w:color w:val="auto"/>
                      <w:szCs w:val="21"/>
                      <w:highlight w:val="none"/>
                    </w:rPr>
                  </w:pPr>
                </w:p>
              </w:tc>
              <w:tc>
                <w:tcPr>
                  <w:tcW w:w="1721" w:type="dxa"/>
                  <w:gridSpan w:val="2"/>
                  <w:shd w:val="clear" w:color="auto" w:fill="auto"/>
                  <w:vAlign w:val="center"/>
                </w:tcPr>
                <w:p w14:paraId="6B4D8140">
                  <w:pPr>
                    <w:pStyle w:val="45"/>
                    <w:spacing w:before="0" w:line="240" w:lineRule="auto"/>
                    <w:ind w:right="0"/>
                    <w:rPr>
                      <w:rFonts w:hint="eastAsia"/>
                      <w:b w:val="0"/>
                      <w:bCs w:val="0"/>
                      <w:color w:val="auto"/>
                      <w:sz w:val="21"/>
                      <w:szCs w:val="21"/>
                      <w:highlight w:val="none"/>
                    </w:rPr>
                  </w:pPr>
                  <w:r>
                    <w:rPr>
                      <w:rFonts w:hint="eastAsia" w:ascii="Times New Roman" w:hAnsi="Times New Roman"/>
                      <w:b w:val="0"/>
                      <w:bCs w:val="0"/>
                      <w:color w:val="auto"/>
                      <w:sz w:val="21"/>
                      <w:szCs w:val="21"/>
                      <w:highlight w:val="none"/>
                    </w:rPr>
                    <w:t>硅粉筒仓</w:t>
                  </w:r>
                </w:p>
              </w:tc>
              <w:tc>
                <w:tcPr>
                  <w:tcW w:w="4894" w:type="dxa"/>
                  <w:shd w:val="clear" w:color="auto" w:fill="auto"/>
                  <w:vAlign w:val="center"/>
                </w:tcPr>
                <w:p w14:paraId="7B00BA51">
                  <w:pPr>
                    <w:pStyle w:val="75"/>
                    <w:spacing w:line="240" w:lineRule="auto"/>
                    <w:ind w:firstLine="0" w:firstLineChars="0"/>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bCs/>
                      <w:color w:val="auto"/>
                      <w:sz w:val="21"/>
                      <w:szCs w:val="21"/>
                      <w:highlight w:val="none"/>
                      <w:lang w:eastAsia="zh-CN"/>
                    </w:rPr>
                    <w:t>建设</w:t>
                  </w:r>
                  <w:r>
                    <w:rPr>
                      <w:rFonts w:hint="eastAsia" w:ascii="Times New Roman" w:hAnsi="Times New Roman"/>
                      <w:bCs/>
                      <w:color w:val="auto"/>
                      <w:sz w:val="21"/>
                      <w:szCs w:val="21"/>
                      <w:highlight w:val="none"/>
                    </w:rPr>
                    <w:t>硅粉筒仓1座，容积300m</w:t>
                  </w:r>
                  <w:r>
                    <w:rPr>
                      <w:rFonts w:hint="default" w:ascii="Times New Roman" w:hAnsi="Times New Roman" w:cs="Times New Roman"/>
                      <w:bCs/>
                      <w:color w:val="auto"/>
                      <w:sz w:val="21"/>
                      <w:szCs w:val="21"/>
                      <w:highlight w:val="none"/>
                    </w:rPr>
                    <w:t>³</w:t>
                  </w:r>
                  <w:r>
                    <w:rPr>
                      <w:rFonts w:hint="eastAsia" w:ascii="Times New Roman" w:hAnsi="Times New Roman"/>
                      <w:bCs/>
                      <w:color w:val="auto"/>
                      <w:sz w:val="21"/>
                      <w:szCs w:val="21"/>
                      <w:highlight w:val="none"/>
                    </w:rPr>
                    <w:t>，筒仓顶部内置粉尘滤芯除尘器。硅粉通过压缩空气泵打入生产车间内进料仓。</w:t>
                  </w:r>
                </w:p>
              </w:tc>
              <w:tc>
                <w:tcPr>
                  <w:tcW w:w="739" w:type="dxa"/>
                  <w:shd w:val="clear" w:color="auto" w:fill="auto"/>
                  <w:vAlign w:val="center"/>
                </w:tcPr>
                <w:p w14:paraId="1F4C212D">
                  <w:pPr>
                    <w:pStyle w:val="45"/>
                    <w:spacing w:before="0" w:line="240" w:lineRule="auto"/>
                    <w:ind w:right="0"/>
                    <w:rPr>
                      <w:b w:val="0"/>
                      <w:bCs/>
                      <w:color w:val="auto"/>
                      <w:sz w:val="21"/>
                      <w:szCs w:val="21"/>
                      <w:highlight w:val="none"/>
                    </w:rPr>
                  </w:pPr>
                  <w:r>
                    <w:rPr>
                      <w:b w:val="0"/>
                      <w:bCs/>
                      <w:color w:val="auto"/>
                      <w:sz w:val="21"/>
                      <w:szCs w:val="21"/>
                      <w:highlight w:val="none"/>
                    </w:rPr>
                    <w:t>新建</w:t>
                  </w:r>
                </w:p>
              </w:tc>
            </w:tr>
            <w:tr w14:paraId="2FAF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2A33247A">
                  <w:pPr>
                    <w:jc w:val="center"/>
                    <w:rPr>
                      <w:bCs/>
                      <w:color w:val="auto"/>
                      <w:szCs w:val="21"/>
                      <w:highlight w:val="none"/>
                    </w:rPr>
                  </w:pPr>
                </w:p>
              </w:tc>
              <w:tc>
                <w:tcPr>
                  <w:tcW w:w="1721" w:type="dxa"/>
                  <w:gridSpan w:val="2"/>
                  <w:shd w:val="clear" w:color="auto" w:fill="auto"/>
                  <w:vAlign w:val="center"/>
                </w:tcPr>
                <w:p w14:paraId="35D7536A">
                  <w:pPr>
                    <w:pStyle w:val="45"/>
                    <w:spacing w:before="0" w:line="240" w:lineRule="auto"/>
                    <w:ind w:right="0"/>
                    <w:rPr>
                      <w:b w:val="0"/>
                      <w:bCs/>
                      <w:color w:val="auto"/>
                      <w:sz w:val="21"/>
                      <w:szCs w:val="21"/>
                      <w:highlight w:val="none"/>
                    </w:rPr>
                  </w:pPr>
                  <w:r>
                    <w:rPr>
                      <w:rFonts w:hint="eastAsia"/>
                      <w:b w:val="0"/>
                      <w:bCs/>
                      <w:color w:val="auto"/>
                      <w:sz w:val="21"/>
                      <w:szCs w:val="21"/>
                      <w:highlight w:val="none"/>
                    </w:rPr>
                    <w:t>化粪池</w:t>
                  </w:r>
                </w:p>
              </w:tc>
              <w:tc>
                <w:tcPr>
                  <w:tcW w:w="4894" w:type="dxa"/>
                  <w:shd w:val="clear" w:color="auto" w:fill="auto"/>
                  <w:vAlign w:val="center"/>
                </w:tcPr>
                <w:p w14:paraId="20A7D3C4">
                  <w:pPr>
                    <w:pStyle w:val="75"/>
                    <w:spacing w:line="240" w:lineRule="auto"/>
                    <w:ind w:firstLine="0" w:firstLineChars="0"/>
                    <w:rPr>
                      <w:rFonts w:ascii="Times New Roman" w:hAnsi="Times New Roman"/>
                      <w:bCs/>
                      <w:color w:val="auto"/>
                      <w:sz w:val="21"/>
                      <w:szCs w:val="21"/>
                      <w:highlight w:val="none"/>
                    </w:rPr>
                  </w:pPr>
                  <w:r>
                    <w:rPr>
                      <w:rFonts w:hint="eastAsia" w:ascii="Times New Roman" w:hAnsi="Times New Roman"/>
                      <w:bCs/>
                      <w:color w:val="auto"/>
                      <w:sz w:val="21"/>
                      <w:szCs w:val="21"/>
                      <w:highlight w:val="none"/>
                    </w:rPr>
                    <w:t>项目新建化粪池一座，化粪池容积为20m</w:t>
                  </w:r>
                  <w:r>
                    <w:rPr>
                      <w:rFonts w:hint="eastAsia" w:ascii="Times New Roman" w:hAnsi="Times New Roman"/>
                      <w:bCs/>
                      <w:color w:val="auto"/>
                      <w:sz w:val="21"/>
                      <w:szCs w:val="21"/>
                      <w:highlight w:val="none"/>
                      <w:vertAlign w:val="superscript"/>
                      <w:lang w:val="en-US" w:eastAsia="zh-CN"/>
                    </w:rPr>
                    <w:t>3</w:t>
                  </w:r>
                  <w:r>
                    <w:rPr>
                      <w:rFonts w:hint="eastAsia" w:ascii="Times New Roman" w:hAnsi="Times New Roman"/>
                      <w:bCs/>
                      <w:color w:val="auto"/>
                      <w:sz w:val="21"/>
                      <w:szCs w:val="21"/>
                      <w:highlight w:val="none"/>
                    </w:rPr>
                    <w:t>，化粪池处理后生活污水排放至园区污水处理厂进行处理。</w:t>
                  </w:r>
                </w:p>
              </w:tc>
              <w:tc>
                <w:tcPr>
                  <w:tcW w:w="739" w:type="dxa"/>
                  <w:shd w:val="clear" w:color="auto" w:fill="auto"/>
                  <w:vAlign w:val="center"/>
                </w:tcPr>
                <w:p w14:paraId="6173B9E7">
                  <w:pPr>
                    <w:pStyle w:val="45"/>
                    <w:spacing w:before="0" w:line="240" w:lineRule="auto"/>
                    <w:ind w:right="0"/>
                    <w:rPr>
                      <w:b w:val="0"/>
                      <w:bCs/>
                      <w:color w:val="auto"/>
                      <w:sz w:val="21"/>
                      <w:szCs w:val="21"/>
                      <w:highlight w:val="none"/>
                    </w:rPr>
                  </w:pPr>
                  <w:r>
                    <w:rPr>
                      <w:rFonts w:hint="eastAsia"/>
                      <w:b w:val="0"/>
                      <w:bCs/>
                      <w:color w:val="auto"/>
                      <w:sz w:val="21"/>
                      <w:szCs w:val="21"/>
                      <w:highlight w:val="none"/>
                    </w:rPr>
                    <w:t>新建</w:t>
                  </w:r>
                </w:p>
              </w:tc>
            </w:tr>
            <w:tr w14:paraId="47A1C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036C0A2B">
                  <w:pPr>
                    <w:jc w:val="center"/>
                    <w:rPr>
                      <w:bCs/>
                      <w:color w:val="auto"/>
                      <w:szCs w:val="21"/>
                      <w:highlight w:val="none"/>
                    </w:rPr>
                  </w:pPr>
                </w:p>
              </w:tc>
              <w:tc>
                <w:tcPr>
                  <w:tcW w:w="1721" w:type="dxa"/>
                  <w:gridSpan w:val="2"/>
                  <w:shd w:val="clear" w:color="auto" w:fill="auto"/>
                  <w:vAlign w:val="center"/>
                </w:tcPr>
                <w:p w14:paraId="62CEBC9B">
                  <w:pPr>
                    <w:pStyle w:val="45"/>
                    <w:spacing w:before="0" w:line="240" w:lineRule="auto"/>
                    <w:ind w:right="0"/>
                    <w:rPr>
                      <w:b w:val="0"/>
                      <w:bCs/>
                      <w:color w:val="auto"/>
                      <w:sz w:val="21"/>
                      <w:szCs w:val="21"/>
                      <w:highlight w:val="none"/>
                    </w:rPr>
                  </w:pPr>
                  <w:r>
                    <w:rPr>
                      <w:rFonts w:hint="eastAsia"/>
                      <w:b w:val="0"/>
                      <w:bCs/>
                      <w:color w:val="auto"/>
                      <w:sz w:val="21"/>
                      <w:szCs w:val="21"/>
                      <w:highlight w:val="none"/>
                    </w:rPr>
                    <w:t>一般固废暂存间</w:t>
                  </w:r>
                </w:p>
              </w:tc>
              <w:tc>
                <w:tcPr>
                  <w:tcW w:w="4894" w:type="dxa"/>
                  <w:shd w:val="clear" w:color="auto" w:fill="auto"/>
                  <w:vAlign w:val="center"/>
                </w:tcPr>
                <w:p w14:paraId="30266DDC">
                  <w:pPr>
                    <w:pStyle w:val="75"/>
                    <w:spacing w:line="240" w:lineRule="auto"/>
                    <w:ind w:firstLine="0" w:firstLineChars="0"/>
                    <w:rPr>
                      <w:rFonts w:ascii="Times New Roman" w:hAnsi="Times New Roman"/>
                      <w:bCs/>
                      <w:color w:val="auto"/>
                      <w:sz w:val="21"/>
                      <w:szCs w:val="21"/>
                      <w:highlight w:val="none"/>
                    </w:rPr>
                  </w:pPr>
                  <w:r>
                    <w:rPr>
                      <w:rFonts w:hint="eastAsia" w:ascii="Times New Roman" w:hAnsi="Times New Roman"/>
                      <w:bCs/>
                      <w:color w:val="auto"/>
                      <w:sz w:val="21"/>
                      <w:szCs w:val="21"/>
                      <w:highlight w:val="none"/>
                    </w:rPr>
                    <w:t>在生产车间内隔出20m</w:t>
                  </w:r>
                  <w:r>
                    <w:rPr>
                      <w:rFonts w:hint="eastAsia" w:ascii="Times New Roman" w:hAnsi="Times New Roman"/>
                      <w:bCs/>
                      <w:color w:val="auto"/>
                      <w:sz w:val="21"/>
                      <w:szCs w:val="21"/>
                      <w:highlight w:val="none"/>
                      <w:vertAlign w:val="superscript"/>
                    </w:rPr>
                    <w:t>2</w:t>
                  </w:r>
                  <w:r>
                    <w:rPr>
                      <w:rFonts w:hint="eastAsia" w:ascii="Times New Roman" w:hAnsi="Times New Roman"/>
                      <w:bCs/>
                      <w:color w:val="auto"/>
                      <w:sz w:val="21"/>
                      <w:szCs w:val="21"/>
                      <w:highlight w:val="none"/>
                    </w:rPr>
                    <w:t>区域作为一般固废暂存间，主要储存废水泥块，最大储存容积约20m</w:t>
                  </w:r>
                  <w:r>
                    <w:rPr>
                      <w:rFonts w:hint="eastAsia" w:ascii="Times New Roman" w:hAnsi="Times New Roman"/>
                      <w:bCs/>
                      <w:color w:val="auto"/>
                      <w:sz w:val="21"/>
                      <w:szCs w:val="21"/>
                      <w:highlight w:val="none"/>
                      <w:vertAlign w:val="superscript"/>
                      <w:lang w:val="en-US" w:eastAsia="zh-CN"/>
                    </w:rPr>
                    <w:t>3</w:t>
                  </w:r>
                  <w:r>
                    <w:rPr>
                      <w:rFonts w:hint="eastAsia" w:ascii="Times New Roman" w:hAnsi="Times New Roman"/>
                      <w:bCs/>
                      <w:color w:val="auto"/>
                      <w:sz w:val="21"/>
                      <w:szCs w:val="21"/>
                      <w:highlight w:val="none"/>
                    </w:rPr>
                    <w:t>。</w:t>
                  </w:r>
                </w:p>
              </w:tc>
              <w:tc>
                <w:tcPr>
                  <w:tcW w:w="739" w:type="dxa"/>
                  <w:shd w:val="clear" w:color="auto" w:fill="auto"/>
                  <w:vAlign w:val="center"/>
                </w:tcPr>
                <w:p w14:paraId="4D516BCF">
                  <w:pPr>
                    <w:pStyle w:val="45"/>
                    <w:spacing w:before="0" w:line="240" w:lineRule="auto"/>
                    <w:ind w:right="0"/>
                    <w:rPr>
                      <w:b w:val="0"/>
                      <w:bCs/>
                      <w:color w:val="auto"/>
                      <w:sz w:val="21"/>
                      <w:szCs w:val="21"/>
                      <w:highlight w:val="none"/>
                    </w:rPr>
                  </w:pPr>
                  <w:r>
                    <w:rPr>
                      <w:rFonts w:hint="eastAsia"/>
                      <w:b w:val="0"/>
                      <w:bCs/>
                      <w:color w:val="auto"/>
                      <w:sz w:val="21"/>
                      <w:szCs w:val="21"/>
                      <w:highlight w:val="none"/>
                    </w:rPr>
                    <w:t>新建</w:t>
                  </w:r>
                </w:p>
              </w:tc>
            </w:tr>
            <w:tr w14:paraId="28CC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08EB9154">
                  <w:pPr>
                    <w:jc w:val="center"/>
                    <w:rPr>
                      <w:bCs/>
                      <w:color w:val="auto"/>
                      <w:szCs w:val="21"/>
                      <w:highlight w:val="none"/>
                    </w:rPr>
                  </w:pPr>
                </w:p>
              </w:tc>
              <w:tc>
                <w:tcPr>
                  <w:tcW w:w="1721" w:type="dxa"/>
                  <w:gridSpan w:val="2"/>
                  <w:shd w:val="clear" w:color="auto" w:fill="auto"/>
                  <w:vAlign w:val="center"/>
                </w:tcPr>
                <w:p w14:paraId="50330261">
                  <w:pPr>
                    <w:pStyle w:val="45"/>
                    <w:spacing w:before="0" w:line="240" w:lineRule="auto"/>
                    <w:ind w:right="0"/>
                    <w:rPr>
                      <w:b w:val="0"/>
                      <w:bCs/>
                      <w:color w:val="auto"/>
                      <w:sz w:val="21"/>
                      <w:szCs w:val="21"/>
                      <w:highlight w:val="none"/>
                    </w:rPr>
                  </w:pPr>
                  <w:r>
                    <w:rPr>
                      <w:rFonts w:hint="eastAsia"/>
                      <w:b w:val="0"/>
                      <w:bCs/>
                      <w:color w:val="auto"/>
                      <w:sz w:val="21"/>
                      <w:szCs w:val="21"/>
                      <w:highlight w:val="none"/>
                    </w:rPr>
                    <w:t>敞开式产品堆场</w:t>
                  </w:r>
                </w:p>
              </w:tc>
              <w:tc>
                <w:tcPr>
                  <w:tcW w:w="4894" w:type="dxa"/>
                  <w:shd w:val="clear" w:color="auto" w:fill="auto"/>
                  <w:vAlign w:val="center"/>
                </w:tcPr>
                <w:p w14:paraId="4FEF2C49">
                  <w:pPr>
                    <w:pStyle w:val="75"/>
                    <w:spacing w:line="240" w:lineRule="auto"/>
                    <w:ind w:firstLine="0" w:firstLineChars="0"/>
                    <w:rPr>
                      <w:rFonts w:ascii="Times New Roman" w:hAnsi="Times New Roman"/>
                      <w:bCs/>
                      <w:color w:val="auto"/>
                      <w:sz w:val="21"/>
                      <w:szCs w:val="21"/>
                      <w:highlight w:val="none"/>
                    </w:rPr>
                  </w:pPr>
                  <w:r>
                    <w:rPr>
                      <w:rFonts w:hint="eastAsia" w:ascii="Times New Roman" w:hAnsi="Times New Roman"/>
                      <w:bCs/>
                      <w:color w:val="auto"/>
                      <w:sz w:val="21"/>
                      <w:szCs w:val="21"/>
                      <w:highlight w:val="none"/>
                    </w:rPr>
                    <w:t>厂区北侧建设敞开式产品堆场，占地面积8450m</w:t>
                  </w:r>
                  <w:r>
                    <w:rPr>
                      <w:rFonts w:hint="eastAsia" w:ascii="Times New Roman" w:hAnsi="Times New Roman"/>
                      <w:bCs/>
                      <w:color w:val="auto"/>
                      <w:sz w:val="21"/>
                      <w:szCs w:val="21"/>
                      <w:highlight w:val="none"/>
                      <w:vertAlign w:val="superscript"/>
                    </w:rPr>
                    <w:t>2</w:t>
                  </w:r>
                  <w:r>
                    <w:rPr>
                      <w:rFonts w:hint="eastAsia" w:ascii="Times New Roman" w:hAnsi="Times New Roman"/>
                      <w:bCs/>
                      <w:color w:val="auto"/>
                      <w:sz w:val="21"/>
                      <w:szCs w:val="21"/>
                      <w:highlight w:val="none"/>
                    </w:rPr>
                    <w:t>，</w:t>
                  </w:r>
                  <w:r>
                    <w:rPr>
                      <w:rFonts w:hint="eastAsia" w:ascii="Times New Roman" w:hAnsi="Times New Roman"/>
                      <w:bCs/>
                      <w:color w:val="auto"/>
                      <w:sz w:val="21"/>
                      <w:szCs w:val="21"/>
                      <w:highlight w:val="none"/>
                      <w:lang w:val="en-US" w:eastAsia="zh-CN"/>
                    </w:rPr>
                    <w:t>无</w:t>
                  </w:r>
                  <w:r>
                    <w:rPr>
                      <w:rFonts w:hint="eastAsia" w:ascii="Times New Roman" w:hAnsi="Times New Roman"/>
                      <w:bCs/>
                      <w:color w:val="auto"/>
                      <w:sz w:val="21"/>
                      <w:szCs w:val="21"/>
                      <w:highlight w:val="none"/>
                    </w:rPr>
                    <w:t>顶棚，</w:t>
                  </w:r>
                  <w:r>
                    <w:rPr>
                      <w:rFonts w:hint="eastAsia" w:ascii="Times New Roman" w:hAnsi="Times New Roman"/>
                      <w:bCs/>
                      <w:color w:val="auto"/>
                      <w:sz w:val="21"/>
                      <w:szCs w:val="21"/>
                      <w:highlight w:val="none"/>
                      <w:lang w:val="en-US" w:eastAsia="zh-CN"/>
                    </w:rPr>
                    <w:t>地面进行混凝土硬化，</w:t>
                  </w:r>
                  <w:r>
                    <w:rPr>
                      <w:rFonts w:hint="eastAsia" w:ascii="Times New Roman" w:hAnsi="Times New Roman"/>
                      <w:bCs/>
                      <w:color w:val="auto"/>
                      <w:sz w:val="21"/>
                      <w:szCs w:val="21"/>
                      <w:highlight w:val="none"/>
                    </w:rPr>
                    <w:t>长65m×宽130m。</w:t>
                  </w:r>
                </w:p>
              </w:tc>
              <w:tc>
                <w:tcPr>
                  <w:tcW w:w="739" w:type="dxa"/>
                  <w:shd w:val="clear" w:color="auto" w:fill="auto"/>
                  <w:vAlign w:val="center"/>
                </w:tcPr>
                <w:p w14:paraId="2582DFB0">
                  <w:pPr>
                    <w:pStyle w:val="45"/>
                    <w:spacing w:before="0" w:line="240" w:lineRule="auto"/>
                    <w:ind w:right="0"/>
                    <w:rPr>
                      <w:rFonts w:hint="eastAsia" w:eastAsia="宋体"/>
                      <w:b w:val="0"/>
                      <w:bCs/>
                      <w:color w:val="auto"/>
                      <w:sz w:val="21"/>
                      <w:szCs w:val="21"/>
                      <w:highlight w:val="none"/>
                      <w:lang w:eastAsia="zh-CN"/>
                    </w:rPr>
                  </w:pPr>
                  <w:r>
                    <w:rPr>
                      <w:rFonts w:hint="eastAsia"/>
                      <w:b w:val="0"/>
                      <w:bCs/>
                      <w:color w:val="auto"/>
                      <w:sz w:val="21"/>
                      <w:szCs w:val="21"/>
                      <w:highlight w:val="none"/>
                      <w:lang w:val="en-US" w:eastAsia="zh-CN"/>
                    </w:rPr>
                    <w:t>新建</w:t>
                  </w:r>
                </w:p>
              </w:tc>
            </w:tr>
            <w:tr w14:paraId="75F4D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4" w:type="dxa"/>
                  <w:vMerge w:val="restart"/>
                  <w:shd w:val="clear" w:color="auto" w:fill="auto"/>
                  <w:vAlign w:val="center"/>
                </w:tcPr>
                <w:p w14:paraId="39900627">
                  <w:pPr>
                    <w:pStyle w:val="45"/>
                    <w:spacing w:before="0" w:line="240" w:lineRule="auto"/>
                    <w:ind w:right="0"/>
                    <w:rPr>
                      <w:b w:val="0"/>
                      <w:bCs/>
                      <w:color w:val="auto"/>
                      <w:sz w:val="21"/>
                      <w:szCs w:val="21"/>
                      <w:highlight w:val="none"/>
                    </w:rPr>
                  </w:pPr>
                  <w:r>
                    <w:rPr>
                      <w:b w:val="0"/>
                      <w:bCs/>
                      <w:color w:val="auto"/>
                      <w:sz w:val="21"/>
                      <w:szCs w:val="21"/>
                      <w:highlight w:val="none"/>
                    </w:rPr>
                    <w:t>公用工程</w:t>
                  </w:r>
                </w:p>
              </w:tc>
              <w:tc>
                <w:tcPr>
                  <w:tcW w:w="1721" w:type="dxa"/>
                  <w:gridSpan w:val="2"/>
                  <w:shd w:val="clear" w:color="auto" w:fill="auto"/>
                  <w:vAlign w:val="center"/>
                </w:tcPr>
                <w:p w14:paraId="6548DFEE">
                  <w:pPr>
                    <w:pStyle w:val="45"/>
                    <w:spacing w:before="0" w:line="240" w:lineRule="auto"/>
                    <w:ind w:right="0"/>
                    <w:rPr>
                      <w:b w:val="0"/>
                      <w:bCs/>
                      <w:color w:val="auto"/>
                      <w:sz w:val="21"/>
                      <w:szCs w:val="21"/>
                      <w:highlight w:val="none"/>
                    </w:rPr>
                  </w:pPr>
                  <w:r>
                    <w:rPr>
                      <w:b w:val="0"/>
                      <w:bCs/>
                      <w:color w:val="auto"/>
                      <w:sz w:val="21"/>
                      <w:szCs w:val="21"/>
                      <w:highlight w:val="none"/>
                    </w:rPr>
                    <w:t>供水</w:t>
                  </w:r>
                </w:p>
              </w:tc>
              <w:tc>
                <w:tcPr>
                  <w:tcW w:w="4894" w:type="dxa"/>
                  <w:shd w:val="clear" w:color="auto" w:fill="auto"/>
                  <w:vAlign w:val="center"/>
                </w:tcPr>
                <w:p w14:paraId="37C39E87">
                  <w:pPr>
                    <w:snapToGrid w:val="0"/>
                    <w:rPr>
                      <w:bCs/>
                      <w:color w:val="auto"/>
                      <w:szCs w:val="21"/>
                      <w:highlight w:val="none"/>
                    </w:rPr>
                  </w:pPr>
                  <w:r>
                    <w:rPr>
                      <w:rFonts w:hint="eastAsia"/>
                      <w:bCs/>
                      <w:color w:val="auto"/>
                      <w:szCs w:val="21"/>
                      <w:highlight w:val="none"/>
                    </w:rPr>
                    <w:t>本项目</w:t>
                  </w:r>
                  <w:r>
                    <w:rPr>
                      <w:bCs/>
                      <w:color w:val="auto"/>
                      <w:szCs w:val="21"/>
                      <w:highlight w:val="none"/>
                    </w:rPr>
                    <w:t>用水</w:t>
                  </w:r>
                  <w:r>
                    <w:rPr>
                      <w:rFonts w:hint="eastAsia"/>
                      <w:bCs/>
                      <w:color w:val="auto"/>
                      <w:szCs w:val="21"/>
                      <w:highlight w:val="none"/>
                    </w:rPr>
                    <w:t>均由园区现有供水管网提供</w:t>
                  </w:r>
                  <w:r>
                    <w:rPr>
                      <w:bCs/>
                      <w:color w:val="auto"/>
                      <w:szCs w:val="21"/>
                      <w:highlight w:val="none"/>
                    </w:rPr>
                    <w:t>。</w:t>
                  </w:r>
                </w:p>
              </w:tc>
              <w:tc>
                <w:tcPr>
                  <w:tcW w:w="739" w:type="dxa"/>
                  <w:shd w:val="clear" w:color="auto" w:fill="auto"/>
                  <w:vAlign w:val="center"/>
                </w:tcPr>
                <w:p w14:paraId="66A57E8D">
                  <w:pPr>
                    <w:jc w:val="center"/>
                    <w:rPr>
                      <w:color w:val="auto"/>
                      <w:highlight w:val="none"/>
                    </w:rPr>
                  </w:pPr>
                  <w:r>
                    <w:rPr>
                      <w:rFonts w:hint="eastAsia"/>
                      <w:bCs/>
                      <w:color w:val="auto"/>
                      <w:szCs w:val="21"/>
                      <w:highlight w:val="none"/>
                    </w:rPr>
                    <w:t>依托</w:t>
                  </w:r>
                </w:p>
              </w:tc>
            </w:tr>
            <w:tr w14:paraId="2ACF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4D9326F6">
                  <w:pPr>
                    <w:jc w:val="center"/>
                    <w:rPr>
                      <w:bCs/>
                      <w:color w:val="auto"/>
                      <w:szCs w:val="21"/>
                      <w:highlight w:val="none"/>
                    </w:rPr>
                  </w:pPr>
                </w:p>
              </w:tc>
              <w:tc>
                <w:tcPr>
                  <w:tcW w:w="1721" w:type="dxa"/>
                  <w:gridSpan w:val="2"/>
                  <w:shd w:val="clear" w:color="auto" w:fill="auto"/>
                  <w:vAlign w:val="center"/>
                </w:tcPr>
                <w:p w14:paraId="214A8C1A">
                  <w:pPr>
                    <w:pStyle w:val="45"/>
                    <w:spacing w:before="0" w:line="240" w:lineRule="auto"/>
                    <w:ind w:right="0"/>
                    <w:rPr>
                      <w:b w:val="0"/>
                      <w:bCs/>
                      <w:color w:val="auto"/>
                      <w:sz w:val="21"/>
                      <w:szCs w:val="21"/>
                      <w:highlight w:val="none"/>
                    </w:rPr>
                  </w:pPr>
                  <w:r>
                    <w:rPr>
                      <w:b w:val="0"/>
                      <w:bCs/>
                      <w:color w:val="auto"/>
                      <w:sz w:val="21"/>
                      <w:szCs w:val="21"/>
                      <w:highlight w:val="none"/>
                    </w:rPr>
                    <w:t>排水</w:t>
                  </w:r>
                </w:p>
              </w:tc>
              <w:tc>
                <w:tcPr>
                  <w:tcW w:w="4894" w:type="dxa"/>
                  <w:shd w:val="clear" w:color="auto" w:fill="auto"/>
                  <w:vAlign w:val="center"/>
                </w:tcPr>
                <w:p w14:paraId="43ED8807">
                  <w:pPr>
                    <w:pStyle w:val="45"/>
                    <w:spacing w:before="0" w:line="240" w:lineRule="auto"/>
                    <w:ind w:right="0"/>
                    <w:jc w:val="both"/>
                    <w:rPr>
                      <w:b w:val="0"/>
                      <w:bCs/>
                      <w:color w:val="auto"/>
                      <w:sz w:val="21"/>
                      <w:szCs w:val="21"/>
                      <w:highlight w:val="none"/>
                    </w:rPr>
                  </w:pPr>
                  <w:r>
                    <w:rPr>
                      <w:rFonts w:hint="eastAsia"/>
                      <w:b w:val="0"/>
                      <w:bCs/>
                      <w:color w:val="auto"/>
                      <w:sz w:val="21"/>
                      <w:szCs w:val="21"/>
                      <w:highlight w:val="none"/>
                    </w:rPr>
                    <w:t>本项目</w:t>
                  </w:r>
                  <w:r>
                    <w:rPr>
                      <w:b w:val="0"/>
                      <w:bCs/>
                      <w:color w:val="auto"/>
                      <w:sz w:val="21"/>
                      <w:szCs w:val="21"/>
                      <w:highlight w:val="none"/>
                    </w:rPr>
                    <w:t>生产</w:t>
                  </w:r>
                  <w:r>
                    <w:rPr>
                      <w:rFonts w:hint="eastAsia"/>
                      <w:b w:val="0"/>
                      <w:bCs/>
                      <w:color w:val="auto"/>
                      <w:sz w:val="21"/>
                      <w:szCs w:val="21"/>
                      <w:highlight w:val="none"/>
                    </w:rPr>
                    <w:t>过程中</w:t>
                  </w:r>
                  <w:r>
                    <w:rPr>
                      <w:rFonts w:hint="eastAsia"/>
                      <w:b w:val="0"/>
                      <w:bCs/>
                      <w:color w:val="auto"/>
                      <w:sz w:val="21"/>
                      <w:szCs w:val="21"/>
                      <w:highlight w:val="none"/>
                      <w:lang w:eastAsia="zh-CN"/>
                    </w:rPr>
                    <w:t>产生的</w:t>
                  </w:r>
                  <w:r>
                    <w:rPr>
                      <w:rFonts w:hint="eastAsia"/>
                      <w:b w:val="0"/>
                      <w:bCs/>
                      <w:color w:val="auto"/>
                      <w:sz w:val="21"/>
                      <w:szCs w:val="21"/>
                      <w:highlight w:val="none"/>
                    </w:rPr>
                    <w:t>生产</w:t>
                  </w:r>
                  <w:r>
                    <w:rPr>
                      <w:b w:val="0"/>
                      <w:bCs/>
                      <w:color w:val="auto"/>
                      <w:sz w:val="21"/>
                      <w:szCs w:val="21"/>
                      <w:highlight w:val="none"/>
                    </w:rPr>
                    <w:t>废水</w:t>
                  </w:r>
                  <w:r>
                    <w:rPr>
                      <w:rFonts w:hint="eastAsia"/>
                      <w:b w:val="0"/>
                      <w:bCs/>
                      <w:color w:val="auto"/>
                      <w:sz w:val="21"/>
                      <w:szCs w:val="21"/>
                      <w:highlight w:val="none"/>
                      <w:lang w:val="en-US" w:eastAsia="zh-CN"/>
                    </w:rPr>
                    <w:t>全部回用，不外排</w:t>
                  </w:r>
                  <w:r>
                    <w:rPr>
                      <w:rFonts w:hint="eastAsia"/>
                      <w:b w:val="0"/>
                      <w:bCs/>
                      <w:color w:val="auto"/>
                      <w:sz w:val="21"/>
                      <w:szCs w:val="21"/>
                      <w:highlight w:val="none"/>
                      <w:lang w:eastAsia="zh-CN"/>
                    </w:rPr>
                    <w:t>；</w:t>
                  </w:r>
                  <w:r>
                    <w:rPr>
                      <w:b w:val="0"/>
                      <w:bCs/>
                      <w:color w:val="auto"/>
                      <w:sz w:val="21"/>
                      <w:szCs w:val="21"/>
                      <w:highlight w:val="none"/>
                    </w:rPr>
                    <w:t>生活污水</w:t>
                  </w:r>
                  <w:r>
                    <w:rPr>
                      <w:rFonts w:hint="eastAsia"/>
                      <w:b w:val="0"/>
                      <w:bCs/>
                      <w:color w:val="auto"/>
                      <w:sz w:val="21"/>
                      <w:szCs w:val="21"/>
                      <w:highlight w:val="none"/>
                    </w:rPr>
                    <w:t>经化粪池处理后排入园区污水管网</w:t>
                  </w:r>
                  <w:r>
                    <w:rPr>
                      <w:b w:val="0"/>
                      <w:bCs/>
                      <w:color w:val="auto"/>
                      <w:sz w:val="21"/>
                      <w:szCs w:val="21"/>
                      <w:highlight w:val="none"/>
                    </w:rPr>
                    <w:t>。</w:t>
                  </w:r>
                </w:p>
              </w:tc>
              <w:tc>
                <w:tcPr>
                  <w:tcW w:w="739" w:type="dxa"/>
                  <w:shd w:val="clear" w:color="auto" w:fill="auto"/>
                  <w:vAlign w:val="center"/>
                </w:tcPr>
                <w:p w14:paraId="0A88526F">
                  <w:pPr>
                    <w:jc w:val="center"/>
                    <w:rPr>
                      <w:bCs/>
                      <w:color w:val="auto"/>
                      <w:szCs w:val="21"/>
                      <w:highlight w:val="none"/>
                    </w:rPr>
                  </w:pPr>
                  <w:r>
                    <w:rPr>
                      <w:rFonts w:hint="eastAsia"/>
                      <w:bCs/>
                      <w:color w:val="auto"/>
                      <w:szCs w:val="21"/>
                      <w:highlight w:val="none"/>
                    </w:rPr>
                    <w:t>依托</w:t>
                  </w:r>
                </w:p>
              </w:tc>
            </w:tr>
            <w:tr w14:paraId="3A1FB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64B0C7EA">
                  <w:pPr>
                    <w:jc w:val="center"/>
                    <w:rPr>
                      <w:bCs/>
                      <w:color w:val="auto"/>
                      <w:szCs w:val="21"/>
                      <w:highlight w:val="none"/>
                    </w:rPr>
                  </w:pPr>
                </w:p>
              </w:tc>
              <w:tc>
                <w:tcPr>
                  <w:tcW w:w="1721" w:type="dxa"/>
                  <w:gridSpan w:val="2"/>
                  <w:shd w:val="clear" w:color="auto" w:fill="auto"/>
                  <w:vAlign w:val="center"/>
                </w:tcPr>
                <w:p w14:paraId="6CF23E76">
                  <w:pPr>
                    <w:pStyle w:val="45"/>
                    <w:spacing w:before="0" w:line="240" w:lineRule="auto"/>
                    <w:ind w:right="0"/>
                    <w:rPr>
                      <w:rFonts w:hint="eastAsia" w:eastAsia="宋体"/>
                      <w:b w:val="0"/>
                      <w:bCs/>
                      <w:color w:val="auto"/>
                      <w:sz w:val="21"/>
                      <w:szCs w:val="21"/>
                      <w:highlight w:val="none"/>
                      <w:lang w:eastAsia="zh-CN"/>
                    </w:rPr>
                  </w:pPr>
                  <w:r>
                    <w:rPr>
                      <w:b w:val="0"/>
                      <w:bCs/>
                      <w:color w:val="auto"/>
                      <w:sz w:val="21"/>
                      <w:szCs w:val="21"/>
                      <w:highlight w:val="none"/>
                    </w:rPr>
                    <w:t>供</w:t>
                  </w:r>
                  <w:r>
                    <w:rPr>
                      <w:rFonts w:hint="eastAsia"/>
                      <w:b w:val="0"/>
                      <w:bCs/>
                      <w:color w:val="auto"/>
                      <w:sz w:val="21"/>
                      <w:szCs w:val="21"/>
                      <w:highlight w:val="none"/>
                      <w:lang w:val="en-US" w:eastAsia="zh-CN"/>
                    </w:rPr>
                    <w:t>暖</w:t>
                  </w:r>
                </w:p>
              </w:tc>
              <w:tc>
                <w:tcPr>
                  <w:tcW w:w="4894" w:type="dxa"/>
                  <w:shd w:val="clear" w:color="auto" w:fill="auto"/>
                  <w:vAlign w:val="center"/>
                </w:tcPr>
                <w:p w14:paraId="245328A2">
                  <w:pPr>
                    <w:pStyle w:val="45"/>
                    <w:spacing w:before="0" w:line="240" w:lineRule="auto"/>
                    <w:ind w:right="0"/>
                    <w:jc w:val="both"/>
                    <w:rPr>
                      <w:b w:val="0"/>
                      <w:bCs/>
                      <w:color w:val="auto"/>
                      <w:sz w:val="21"/>
                      <w:szCs w:val="21"/>
                      <w:highlight w:val="none"/>
                    </w:rPr>
                  </w:pPr>
                  <w:r>
                    <w:rPr>
                      <w:b w:val="0"/>
                      <w:bCs/>
                      <w:color w:val="auto"/>
                      <w:sz w:val="21"/>
                      <w:szCs w:val="21"/>
                      <w:highlight w:val="none"/>
                      <w:lang w:val="en-GB"/>
                    </w:rPr>
                    <w:t>本项目</w:t>
                  </w:r>
                  <w:r>
                    <w:rPr>
                      <w:rFonts w:hint="eastAsia"/>
                      <w:b w:val="0"/>
                      <w:bCs/>
                      <w:color w:val="auto"/>
                      <w:sz w:val="21"/>
                      <w:szCs w:val="21"/>
                      <w:highlight w:val="none"/>
                      <w:lang w:val="en-GB"/>
                    </w:rPr>
                    <w:t>办公室</w:t>
                  </w:r>
                  <w:r>
                    <w:rPr>
                      <w:b w:val="0"/>
                      <w:bCs/>
                      <w:color w:val="auto"/>
                      <w:sz w:val="21"/>
                      <w:szCs w:val="21"/>
                      <w:highlight w:val="none"/>
                      <w:lang w:val="en-GB"/>
                    </w:rPr>
                    <w:t>和宿舍供暖</w:t>
                  </w:r>
                  <w:r>
                    <w:rPr>
                      <w:rFonts w:hint="eastAsia"/>
                      <w:b w:val="0"/>
                      <w:bCs/>
                      <w:color w:val="auto"/>
                      <w:sz w:val="21"/>
                      <w:szCs w:val="21"/>
                      <w:highlight w:val="none"/>
                      <w:lang w:val="en-GB"/>
                    </w:rPr>
                    <w:t>热源接入杭锦旗聚野煤化有限责任公司蒸</w:t>
                  </w:r>
                  <w:r>
                    <w:rPr>
                      <w:rFonts w:hint="eastAsia"/>
                      <w:b w:val="0"/>
                      <w:bCs/>
                      <w:color w:val="auto"/>
                      <w:sz w:val="21"/>
                      <w:szCs w:val="21"/>
                      <w:highlight w:val="none"/>
                      <w:lang w:val="en-GB" w:eastAsia="zh-CN"/>
                    </w:rPr>
                    <w:t>汽</w:t>
                  </w:r>
                  <w:r>
                    <w:rPr>
                      <w:rFonts w:hint="eastAsia"/>
                      <w:b w:val="0"/>
                      <w:bCs/>
                      <w:color w:val="auto"/>
                      <w:sz w:val="21"/>
                      <w:szCs w:val="21"/>
                      <w:highlight w:val="none"/>
                      <w:lang w:val="en-GB"/>
                    </w:rPr>
                    <w:t>，经换热设施换热后，为建筑提供80/65℃热水。</w:t>
                  </w:r>
                </w:p>
              </w:tc>
              <w:tc>
                <w:tcPr>
                  <w:tcW w:w="739" w:type="dxa"/>
                  <w:shd w:val="clear" w:color="auto" w:fill="auto"/>
                  <w:vAlign w:val="center"/>
                </w:tcPr>
                <w:p w14:paraId="254A9AC2">
                  <w:pPr>
                    <w:jc w:val="center"/>
                    <w:rPr>
                      <w:bCs/>
                      <w:color w:val="auto"/>
                      <w:szCs w:val="21"/>
                      <w:highlight w:val="none"/>
                    </w:rPr>
                  </w:pPr>
                  <w:r>
                    <w:rPr>
                      <w:rFonts w:hint="eastAsia"/>
                      <w:bCs/>
                      <w:color w:val="auto"/>
                      <w:szCs w:val="21"/>
                      <w:highlight w:val="none"/>
                    </w:rPr>
                    <w:t>依托</w:t>
                  </w:r>
                </w:p>
              </w:tc>
            </w:tr>
            <w:tr w14:paraId="2A1F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57644D35">
                  <w:pPr>
                    <w:jc w:val="center"/>
                    <w:rPr>
                      <w:bCs/>
                      <w:color w:val="auto"/>
                      <w:szCs w:val="21"/>
                      <w:highlight w:val="none"/>
                    </w:rPr>
                  </w:pPr>
                </w:p>
              </w:tc>
              <w:tc>
                <w:tcPr>
                  <w:tcW w:w="1721" w:type="dxa"/>
                  <w:gridSpan w:val="2"/>
                  <w:shd w:val="clear" w:color="auto" w:fill="auto"/>
                  <w:vAlign w:val="center"/>
                </w:tcPr>
                <w:p w14:paraId="22E333E5">
                  <w:pPr>
                    <w:pStyle w:val="45"/>
                    <w:spacing w:before="0" w:line="240" w:lineRule="auto"/>
                    <w:ind w:right="0"/>
                    <w:rPr>
                      <w:rFonts w:hint="eastAsia" w:eastAsia="宋体"/>
                      <w:b w:val="0"/>
                      <w:bCs/>
                      <w:color w:val="auto"/>
                      <w:sz w:val="21"/>
                      <w:szCs w:val="21"/>
                      <w:highlight w:val="none"/>
                      <w:lang w:val="en-US" w:eastAsia="zh-CN"/>
                    </w:rPr>
                  </w:pPr>
                  <w:r>
                    <w:rPr>
                      <w:rFonts w:hint="eastAsia"/>
                      <w:b w:val="0"/>
                      <w:bCs/>
                      <w:color w:val="auto"/>
                      <w:sz w:val="21"/>
                      <w:szCs w:val="21"/>
                      <w:highlight w:val="none"/>
                      <w:lang w:val="en-US" w:eastAsia="zh-CN"/>
                    </w:rPr>
                    <w:t>供汽</w:t>
                  </w:r>
                </w:p>
              </w:tc>
              <w:tc>
                <w:tcPr>
                  <w:tcW w:w="4894" w:type="dxa"/>
                  <w:shd w:val="clear" w:color="auto" w:fill="auto"/>
                  <w:vAlign w:val="center"/>
                </w:tcPr>
                <w:p w14:paraId="41F66DA1">
                  <w:pPr>
                    <w:pStyle w:val="45"/>
                    <w:spacing w:before="0" w:line="240" w:lineRule="auto"/>
                    <w:ind w:right="0"/>
                    <w:jc w:val="both"/>
                    <w:rPr>
                      <w:rFonts w:hint="eastAsia" w:eastAsia="宋体"/>
                      <w:b w:val="0"/>
                      <w:bCs/>
                      <w:color w:val="auto"/>
                      <w:sz w:val="21"/>
                      <w:szCs w:val="21"/>
                      <w:highlight w:val="none"/>
                      <w:lang w:val="en-US" w:eastAsia="zh-CN"/>
                    </w:rPr>
                  </w:pPr>
                  <w:r>
                    <w:rPr>
                      <w:rFonts w:hint="eastAsia"/>
                      <w:b w:val="0"/>
                      <w:bCs/>
                      <w:color w:val="auto"/>
                      <w:sz w:val="21"/>
                      <w:szCs w:val="21"/>
                      <w:highlight w:val="none"/>
                      <w:lang w:val="en-US" w:eastAsia="zh-CN"/>
                    </w:rPr>
                    <w:t>本项目养护用蒸汽由</w:t>
                  </w:r>
                  <w:r>
                    <w:rPr>
                      <w:rFonts w:hint="eastAsia"/>
                      <w:b w:val="0"/>
                      <w:bCs/>
                      <w:color w:val="auto"/>
                      <w:sz w:val="21"/>
                      <w:szCs w:val="21"/>
                      <w:highlight w:val="none"/>
                      <w:lang w:val="en-GB"/>
                    </w:rPr>
                    <w:t>杭锦旗聚野煤化有限责任公司</w:t>
                  </w:r>
                  <w:r>
                    <w:rPr>
                      <w:rFonts w:hint="eastAsia"/>
                      <w:b w:val="0"/>
                      <w:bCs/>
                      <w:color w:val="auto"/>
                      <w:sz w:val="21"/>
                      <w:szCs w:val="21"/>
                      <w:highlight w:val="none"/>
                      <w:lang w:val="en-US" w:eastAsia="zh-CN"/>
                    </w:rPr>
                    <w:t>提供。</w:t>
                  </w:r>
                </w:p>
              </w:tc>
              <w:tc>
                <w:tcPr>
                  <w:tcW w:w="739" w:type="dxa"/>
                  <w:shd w:val="clear" w:color="auto" w:fill="auto"/>
                  <w:vAlign w:val="center"/>
                </w:tcPr>
                <w:p w14:paraId="0D5DAC39">
                  <w:pPr>
                    <w:jc w:val="center"/>
                    <w:rPr>
                      <w:rFonts w:hint="eastAsia" w:eastAsia="宋体"/>
                      <w:bCs/>
                      <w:color w:val="auto"/>
                      <w:szCs w:val="21"/>
                      <w:highlight w:val="none"/>
                      <w:lang w:val="en-US" w:eastAsia="zh-CN"/>
                    </w:rPr>
                  </w:pPr>
                  <w:r>
                    <w:rPr>
                      <w:rFonts w:hint="eastAsia"/>
                      <w:bCs/>
                      <w:color w:val="auto"/>
                      <w:szCs w:val="21"/>
                      <w:highlight w:val="none"/>
                      <w:lang w:val="en-US" w:eastAsia="zh-CN"/>
                    </w:rPr>
                    <w:t>依托</w:t>
                  </w:r>
                </w:p>
              </w:tc>
            </w:tr>
            <w:tr w14:paraId="189B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6D259CA7">
                  <w:pPr>
                    <w:jc w:val="center"/>
                    <w:rPr>
                      <w:bCs/>
                      <w:color w:val="auto"/>
                      <w:szCs w:val="21"/>
                      <w:highlight w:val="none"/>
                    </w:rPr>
                  </w:pPr>
                </w:p>
              </w:tc>
              <w:tc>
                <w:tcPr>
                  <w:tcW w:w="1721" w:type="dxa"/>
                  <w:gridSpan w:val="2"/>
                  <w:shd w:val="clear" w:color="auto" w:fill="auto"/>
                  <w:vAlign w:val="center"/>
                </w:tcPr>
                <w:p w14:paraId="54DD8957">
                  <w:pPr>
                    <w:pStyle w:val="45"/>
                    <w:spacing w:before="0" w:line="240" w:lineRule="auto"/>
                    <w:ind w:right="0"/>
                    <w:rPr>
                      <w:b w:val="0"/>
                      <w:bCs/>
                      <w:color w:val="auto"/>
                      <w:sz w:val="21"/>
                      <w:szCs w:val="21"/>
                      <w:highlight w:val="none"/>
                    </w:rPr>
                  </w:pPr>
                  <w:r>
                    <w:rPr>
                      <w:b w:val="0"/>
                      <w:bCs/>
                      <w:color w:val="auto"/>
                      <w:sz w:val="21"/>
                      <w:szCs w:val="21"/>
                      <w:highlight w:val="none"/>
                    </w:rPr>
                    <w:t>供电</w:t>
                  </w:r>
                </w:p>
              </w:tc>
              <w:tc>
                <w:tcPr>
                  <w:tcW w:w="4894" w:type="dxa"/>
                  <w:shd w:val="clear" w:color="auto" w:fill="auto"/>
                  <w:vAlign w:val="center"/>
                </w:tcPr>
                <w:p w14:paraId="51EAC3B8">
                  <w:pPr>
                    <w:pStyle w:val="45"/>
                    <w:spacing w:before="0" w:line="240" w:lineRule="auto"/>
                    <w:ind w:right="0"/>
                    <w:jc w:val="both"/>
                    <w:rPr>
                      <w:b w:val="0"/>
                      <w:bCs/>
                      <w:color w:val="auto"/>
                      <w:sz w:val="21"/>
                      <w:szCs w:val="21"/>
                      <w:highlight w:val="none"/>
                    </w:rPr>
                  </w:pPr>
                  <w:r>
                    <w:rPr>
                      <w:rFonts w:hint="eastAsia"/>
                      <w:b w:val="0"/>
                      <w:bCs/>
                      <w:color w:val="auto"/>
                      <w:sz w:val="21"/>
                      <w:szCs w:val="21"/>
                      <w:highlight w:val="none"/>
                    </w:rPr>
                    <w:t>电源引自园区110KV变电站</w:t>
                  </w:r>
                </w:p>
              </w:tc>
              <w:tc>
                <w:tcPr>
                  <w:tcW w:w="739" w:type="dxa"/>
                  <w:shd w:val="clear" w:color="auto" w:fill="auto"/>
                  <w:vAlign w:val="center"/>
                </w:tcPr>
                <w:p w14:paraId="36634003">
                  <w:pPr>
                    <w:jc w:val="center"/>
                    <w:rPr>
                      <w:bCs/>
                      <w:color w:val="auto"/>
                      <w:szCs w:val="21"/>
                      <w:highlight w:val="none"/>
                    </w:rPr>
                  </w:pPr>
                  <w:r>
                    <w:rPr>
                      <w:rFonts w:hint="eastAsia"/>
                      <w:bCs/>
                      <w:color w:val="auto"/>
                      <w:szCs w:val="21"/>
                      <w:highlight w:val="none"/>
                    </w:rPr>
                    <w:t>依托</w:t>
                  </w:r>
                </w:p>
              </w:tc>
            </w:tr>
            <w:tr w14:paraId="06DB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restart"/>
                  <w:shd w:val="clear" w:color="auto" w:fill="auto"/>
                  <w:vAlign w:val="center"/>
                </w:tcPr>
                <w:p w14:paraId="0BACF589">
                  <w:pPr>
                    <w:jc w:val="center"/>
                    <w:rPr>
                      <w:bCs/>
                      <w:color w:val="auto"/>
                      <w:szCs w:val="21"/>
                      <w:highlight w:val="none"/>
                    </w:rPr>
                  </w:pPr>
                  <w:r>
                    <w:rPr>
                      <w:rFonts w:hint="eastAsia"/>
                      <w:bCs/>
                      <w:color w:val="auto"/>
                      <w:szCs w:val="21"/>
                      <w:highlight w:val="none"/>
                    </w:rPr>
                    <w:t>辅助工程</w:t>
                  </w:r>
                </w:p>
              </w:tc>
              <w:tc>
                <w:tcPr>
                  <w:tcW w:w="1721" w:type="dxa"/>
                  <w:gridSpan w:val="2"/>
                  <w:shd w:val="clear" w:color="auto" w:fill="auto"/>
                  <w:vAlign w:val="center"/>
                </w:tcPr>
                <w:p w14:paraId="05542EB0">
                  <w:pPr>
                    <w:pStyle w:val="45"/>
                    <w:spacing w:before="0" w:line="240" w:lineRule="auto"/>
                    <w:ind w:right="0"/>
                    <w:rPr>
                      <w:b w:val="0"/>
                      <w:bCs/>
                      <w:color w:val="auto"/>
                      <w:sz w:val="21"/>
                      <w:szCs w:val="21"/>
                      <w:highlight w:val="none"/>
                    </w:rPr>
                  </w:pPr>
                  <w:r>
                    <w:rPr>
                      <w:rFonts w:hint="eastAsia"/>
                      <w:b w:val="0"/>
                      <w:bCs/>
                      <w:color w:val="auto"/>
                      <w:sz w:val="21"/>
                      <w:szCs w:val="21"/>
                      <w:highlight w:val="none"/>
                    </w:rPr>
                    <w:t>办公楼</w:t>
                  </w:r>
                </w:p>
              </w:tc>
              <w:tc>
                <w:tcPr>
                  <w:tcW w:w="4894" w:type="dxa"/>
                  <w:shd w:val="clear" w:color="auto" w:fill="auto"/>
                  <w:vAlign w:val="center"/>
                </w:tcPr>
                <w:p w14:paraId="098FC5F8">
                  <w:pPr>
                    <w:pStyle w:val="45"/>
                    <w:spacing w:before="0" w:line="240" w:lineRule="auto"/>
                    <w:ind w:right="0"/>
                    <w:jc w:val="both"/>
                    <w:rPr>
                      <w:b w:val="0"/>
                      <w:bCs/>
                      <w:color w:val="auto"/>
                      <w:sz w:val="21"/>
                      <w:szCs w:val="21"/>
                      <w:highlight w:val="none"/>
                    </w:rPr>
                  </w:pPr>
                  <w:r>
                    <w:rPr>
                      <w:rFonts w:hint="eastAsia"/>
                      <w:b w:val="0"/>
                      <w:bCs/>
                      <w:color w:val="auto"/>
                      <w:sz w:val="21"/>
                      <w:szCs w:val="21"/>
                      <w:highlight w:val="none"/>
                    </w:rPr>
                    <w:t>建设2层办公楼一座，占地面积300m</w:t>
                  </w:r>
                  <w:r>
                    <w:rPr>
                      <w:rFonts w:hint="eastAsia"/>
                      <w:b w:val="0"/>
                      <w:bCs/>
                      <w:color w:val="auto"/>
                      <w:sz w:val="21"/>
                      <w:szCs w:val="21"/>
                      <w:highlight w:val="none"/>
                      <w:vertAlign w:val="superscript"/>
                    </w:rPr>
                    <w:t>2</w:t>
                  </w:r>
                  <w:r>
                    <w:rPr>
                      <w:rFonts w:hint="eastAsia"/>
                      <w:b w:val="0"/>
                      <w:bCs/>
                      <w:color w:val="auto"/>
                      <w:sz w:val="21"/>
                      <w:szCs w:val="21"/>
                      <w:highlight w:val="none"/>
                    </w:rPr>
                    <w:t>，单层层高2m，长10m×宽30m。</w:t>
                  </w:r>
                </w:p>
              </w:tc>
              <w:tc>
                <w:tcPr>
                  <w:tcW w:w="739" w:type="dxa"/>
                  <w:shd w:val="clear" w:color="auto" w:fill="auto"/>
                  <w:vAlign w:val="center"/>
                </w:tcPr>
                <w:p w14:paraId="6BAA7F20">
                  <w:pPr>
                    <w:jc w:val="center"/>
                    <w:rPr>
                      <w:bCs/>
                      <w:color w:val="auto"/>
                      <w:szCs w:val="21"/>
                      <w:highlight w:val="none"/>
                    </w:rPr>
                  </w:pPr>
                  <w:r>
                    <w:rPr>
                      <w:bCs/>
                      <w:color w:val="auto"/>
                      <w:szCs w:val="21"/>
                      <w:highlight w:val="none"/>
                    </w:rPr>
                    <w:t>新建</w:t>
                  </w:r>
                </w:p>
              </w:tc>
            </w:tr>
            <w:tr w14:paraId="442C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3AB32E02">
                  <w:pPr>
                    <w:jc w:val="center"/>
                    <w:rPr>
                      <w:bCs/>
                      <w:color w:val="auto"/>
                      <w:szCs w:val="21"/>
                      <w:highlight w:val="none"/>
                    </w:rPr>
                  </w:pPr>
                </w:p>
              </w:tc>
              <w:tc>
                <w:tcPr>
                  <w:tcW w:w="1721" w:type="dxa"/>
                  <w:gridSpan w:val="2"/>
                  <w:shd w:val="clear" w:color="auto" w:fill="auto"/>
                  <w:vAlign w:val="center"/>
                </w:tcPr>
                <w:p w14:paraId="06F8D860">
                  <w:pPr>
                    <w:pStyle w:val="45"/>
                    <w:spacing w:before="0" w:line="240" w:lineRule="auto"/>
                    <w:ind w:right="0"/>
                    <w:rPr>
                      <w:b w:val="0"/>
                      <w:bCs/>
                      <w:color w:val="auto"/>
                      <w:sz w:val="21"/>
                      <w:szCs w:val="21"/>
                      <w:highlight w:val="none"/>
                    </w:rPr>
                  </w:pPr>
                  <w:r>
                    <w:rPr>
                      <w:rFonts w:hint="eastAsia"/>
                      <w:b w:val="0"/>
                      <w:bCs/>
                      <w:color w:val="auto"/>
                      <w:sz w:val="21"/>
                      <w:szCs w:val="21"/>
                      <w:highlight w:val="none"/>
                    </w:rPr>
                    <w:t>宿舍</w:t>
                  </w:r>
                </w:p>
              </w:tc>
              <w:tc>
                <w:tcPr>
                  <w:tcW w:w="4894" w:type="dxa"/>
                  <w:shd w:val="clear" w:color="auto" w:fill="auto"/>
                  <w:vAlign w:val="center"/>
                </w:tcPr>
                <w:p w14:paraId="13917F98">
                  <w:pPr>
                    <w:pStyle w:val="45"/>
                    <w:spacing w:before="0" w:line="240" w:lineRule="auto"/>
                    <w:ind w:right="0"/>
                    <w:jc w:val="both"/>
                    <w:rPr>
                      <w:b w:val="0"/>
                      <w:bCs/>
                      <w:color w:val="auto"/>
                      <w:sz w:val="21"/>
                      <w:szCs w:val="21"/>
                      <w:highlight w:val="none"/>
                    </w:rPr>
                  </w:pPr>
                  <w:r>
                    <w:rPr>
                      <w:rFonts w:hint="eastAsia"/>
                      <w:b w:val="0"/>
                      <w:bCs/>
                      <w:color w:val="auto"/>
                      <w:sz w:val="21"/>
                      <w:szCs w:val="21"/>
                      <w:highlight w:val="none"/>
                    </w:rPr>
                    <w:t>建设2层宿舍一座，占地面积300m</w:t>
                  </w:r>
                  <w:r>
                    <w:rPr>
                      <w:rFonts w:hint="eastAsia"/>
                      <w:b w:val="0"/>
                      <w:bCs/>
                      <w:color w:val="auto"/>
                      <w:sz w:val="21"/>
                      <w:szCs w:val="21"/>
                      <w:highlight w:val="none"/>
                      <w:vertAlign w:val="superscript"/>
                    </w:rPr>
                    <w:t>2</w:t>
                  </w:r>
                  <w:r>
                    <w:rPr>
                      <w:rFonts w:hint="eastAsia"/>
                      <w:b w:val="0"/>
                      <w:bCs/>
                      <w:color w:val="auto"/>
                      <w:sz w:val="21"/>
                      <w:szCs w:val="21"/>
                      <w:highlight w:val="none"/>
                    </w:rPr>
                    <w:t>，单层层高3m，长10m×宽30m。</w:t>
                  </w:r>
                </w:p>
              </w:tc>
              <w:tc>
                <w:tcPr>
                  <w:tcW w:w="739" w:type="dxa"/>
                  <w:shd w:val="clear" w:color="auto" w:fill="auto"/>
                  <w:vAlign w:val="center"/>
                </w:tcPr>
                <w:p w14:paraId="4FD89DD8">
                  <w:pPr>
                    <w:jc w:val="center"/>
                    <w:rPr>
                      <w:bCs/>
                      <w:color w:val="auto"/>
                      <w:szCs w:val="21"/>
                      <w:highlight w:val="none"/>
                    </w:rPr>
                  </w:pPr>
                  <w:r>
                    <w:rPr>
                      <w:bCs/>
                      <w:color w:val="auto"/>
                      <w:szCs w:val="21"/>
                      <w:highlight w:val="none"/>
                    </w:rPr>
                    <w:t>新建</w:t>
                  </w:r>
                </w:p>
              </w:tc>
            </w:tr>
            <w:tr w14:paraId="7277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restart"/>
                  <w:shd w:val="clear" w:color="auto" w:fill="auto"/>
                  <w:vAlign w:val="center"/>
                </w:tcPr>
                <w:p w14:paraId="21D39FA3">
                  <w:pPr>
                    <w:pStyle w:val="45"/>
                    <w:spacing w:before="0" w:line="240" w:lineRule="auto"/>
                    <w:ind w:right="0"/>
                    <w:rPr>
                      <w:b w:val="0"/>
                      <w:bCs/>
                      <w:color w:val="auto"/>
                      <w:sz w:val="21"/>
                      <w:szCs w:val="21"/>
                      <w:highlight w:val="none"/>
                    </w:rPr>
                  </w:pPr>
                  <w:r>
                    <w:rPr>
                      <w:rFonts w:hint="eastAsia"/>
                      <w:b w:val="0"/>
                      <w:bCs/>
                      <w:color w:val="auto"/>
                      <w:sz w:val="21"/>
                      <w:szCs w:val="21"/>
                      <w:highlight w:val="none"/>
                    </w:rPr>
                    <w:t>环保工程</w:t>
                  </w:r>
                </w:p>
              </w:tc>
              <w:tc>
                <w:tcPr>
                  <w:tcW w:w="426" w:type="dxa"/>
                  <w:vMerge w:val="restart"/>
                  <w:shd w:val="clear" w:color="auto" w:fill="auto"/>
                  <w:vAlign w:val="center"/>
                </w:tcPr>
                <w:p w14:paraId="4E9FEC15">
                  <w:pPr>
                    <w:pStyle w:val="45"/>
                    <w:spacing w:before="0" w:line="240" w:lineRule="auto"/>
                    <w:ind w:right="0"/>
                    <w:rPr>
                      <w:b w:val="0"/>
                      <w:bCs/>
                      <w:color w:val="auto"/>
                      <w:sz w:val="21"/>
                      <w:szCs w:val="21"/>
                      <w:highlight w:val="none"/>
                    </w:rPr>
                  </w:pPr>
                  <w:r>
                    <w:rPr>
                      <w:b w:val="0"/>
                      <w:bCs/>
                      <w:color w:val="auto"/>
                      <w:sz w:val="21"/>
                      <w:szCs w:val="21"/>
                      <w:highlight w:val="none"/>
                    </w:rPr>
                    <w:t>废气</w:t>
                  </w:r>
                </w:p>
              </w:tc>
              <w:tc>
                <w:tcPr>
                  <w:tcW w:w="1295" w:type="dxa"/>
                  <w:shd w:val="clear" w:color="auto" w:fill="auto"/>
                  <w:vAlign w:val="center"/>
                </w:tcPr>
                <w:p w14:paraId="6830C07C">
                  <w:pPr>
                    <w:jc w:val="center"/>
                    <w:rPr>
                      <w:color w:val="auto"/>
                      <w:szCs w:val="21"/>
                      <w:highlight w:val="none"/>
                    </w:rPr>
                  </w:pPr>
                  <w:r>
                    <w:rPr>
                      <w:rFonts w:hint="eastAsia"/>
                      <w:color w:val="auto"/>
                      <w:szCs w:val="21"/>
                      <w:highlight w:val="none"/>
                      <w:lang w:val="en-US" w:eastAsia="zh-CN"/>
                    </w:rPr>
                    <w:t>原料库</w:t>
                  </w:r>
                  <w:r>
                    <w:rPr>
                      <w:rFonts w:hint="eastAsia"/>
                      <w:color w:val="auto"/>
                      <w:szCs w:val="21"/>
                      <w:highlight w:val="none"/>
                    </w:rPr>
                    <w:t>扬尘</w:t>
                  </w:r>
                </w:p>
              </w:tc>
              <w:tc>
                <w:tcPr>
                  <w:tcW w:w="4894" w:type="dxa"/>
                  <w:shd w:val="clear" w:color="auto" w:fill="auto"/>
                  <w:vAlign w:val="center"/>
                </w:tcPr>
                <w:p w14:paraId="3155539A">
                  <w:pPr>
                    <w:jc w:val="center"/>
                    <w:rPr>
                      <w:color w:val="auto"/>
                      <w:szCs w:val="21"/>
                      <w:highlight w:val="none"/>
                    </w:rPr>
                  </w:pPr>
                  <w:r>
                    <w:rPr>
                      <w:rFonts w:hint="eastAsia"/>
                      <w:color w:val="auto"/>
                      <w:szCs w:val="21"/>
                      <w:highlight w:val="none"/>
                    </w:rPr>
                    <w:t>石子和砂子的卸料产生</w:t>
                  </w:r>
                  <w:r>
                    <w:rPr>
                      <w:color w:val="auto"/>
                      <w:szCs w:val="21"/>
                      <w:highlight w:val="none"/>
                    </w:rPr>
                    <w:t>的粉尘，采用封闭式厂房</w:t>
                  </w:r>
                  <w:r>
                    <w:rPr>
                      <w:rFonts w:hint="eastAsia"/>
                      <w:color w:val="auto"/>
                      <w:szCs w:val="21"/>
                      <w:highlight w:val="none"/>
                    </w:rPr>
                    <w:t>+</w:t>
                  </w:r>
                  <w:r>
                    <w:rPr>
                      <w:rFonts w:hint="eastAsia"/>
                      <w:color w:val="auto"/>
                      <w:szCs w:val="21"/>
                      <w:highlight w:val="none"/>
                      <w:lang w:val="en-US" w:eastAsia="zh-CN"/>
                    </w:rPr>
                    <w:t>雾炮</w:t>
                  </w:r>
                  <w:r>
                    <w:rPr>
                      <w:rFonts w:hint="eastAsia"/>
                      <w:color w:val="auto"/>
                      <w:szCs w:val="21"/>
                      <w:highlight w:val="none"/>
                    </w:rPr>
                    <w:t>抑尘</w:t>
                  </w:r>
                </w:p>
              </w:tc>
              <w:tc>
                <w:tcPr>
                  <w:tcW w:w="739" w:type="dxa"/>
                  <w:shd w:val="clear" w:color="auto" w:fill="auto"/>
                  <w:vAlign w:val="center"/>
                </w:tcPr>
                <w:p w14:paraId="31750CC5">
                  <w:pPr>
                    <w:pStyle w:val="45"/>
                    <w:spacing w:before="0" w:line="240" w:lineRule="auto"/>
                    <w:ind w:right="0"/>
                    <w:rPr>
                      <w:b w:val="0"/>
                      <w:bCs/>
                      <w:color w:val="auto"/>
                      <w:sz w:val="21"/>
                      <w:szCs w:val="21"/>
                      <w:highlight w:val="none"/>
                    </w:rPr>
                  </w:pPr>
                  <w:r>
                    <w:rPr>
                      <w:b w:val="0"/>
                      <w:bCs/>
                      <w:color w:val="auto"/>
                      <w:sz w:val="21"/>
                      <w:szCs w:val="21"/>
                      <w:highlight w:val="none"/>
                    </w:rPr>
                    <w:t>新建</w:t>
                  </w:r>
                </w:p>
              </w:tc>
            </w:tr>
            <w:tr w14:paraId="3EBC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72A30163">
                  <w:pPr>
                    <w:pStyle w:val="45"/>
                    <w:spacing w:before="0" w:line="240" w:lineRule="auto"/>
                    <w:ind w:right="0"/>
                    <w:rPr>
                      <w:b w:val="0"/>
                      <w:bCs/>
                      <w:color w:val="auto"/>
                      <w:sz w:val="21"/>
                      <w:szCs w:val="21"/>
                      <w:highlight w:val="none"/>
                    </w:rPr>
                  </w:pPr>
                </w:p>
              </w:tc>
              <w:tc>
                <w:tcPr>
                  <w:tcW w:w="426" w:type="dxa"/>
                  <w:vMerge w:val="continue"/>
                  <w:shd w:val="clear" w:color="auto" w:fill="auto"/>
                  <w:vAlign w:val="center"/>
                </w:tcPr>
                <w:p w14:paraId="727925FA">
                  <w:pPr>
                    <w:pStyle w:val="45"/>
                    <w:spacing w:before="0" w:line="240" w:lineRule="auto"/>
                    <w:ind w:right="0"/>
                    <w:rPr>
                      <w:b w:val="0"/>
                      <w:bCs/>
                      <w:color w:val="auto"/>
                      <w:sz w:val="21"/>
                      <w:szCs w:val="21"/>
                      <w:highlight w:val="none"/>
                    </w:rPr>
                  </w:pPr>
                </w:p>
              </w:tc>
              <w:tc>
                <w:tcPr>
                  <w:tcW w:w="1295" w:type="dxa"/>
                  <w:shd w:val="clear" w:color="auto" w:fill="auto"/>
                  <w:vAlign w:val="center"/>
                </w:tcPr>
                <w:p w14:paraId="2CB2E121">
                  <w:pPr>
                    <w:jc w:val="center"/>
                    <w:rPr>
                      <w:color w:val="auto"/>
                      <w:szCs w:val="21"/>
                      <w:highlight w:val="none"/>
                    </w:rPr>
                  </w:pPr>
                  <w:r>
                    <w:rPr>
                      <w:rFonts w:hint="eastAsia"/>
                      <w:color w:val="auto"/>
                      <w:szCs w:val="21"/>
                      <w:highlight w:val="none"/>
                    </w:rPr>
                    <w:t>搅拌机粉尘</w:t>
                  </w:r>
                </w:p>
              </w:tc>
              <w:tc>
                <w:tcPr>
                  <w:tcW w:w="4894" w:type="dxa"/>
                  <w:shd w:val="clear" w:color="auto" w:fill="auto"/>
                  <w:vAlign w:val="center"/>
                </w:tcPr>
                <w:p w14:paraId="65738BD3">
                  <w:pPr>
                    <w:jc w:val="center"/>
                    <w:rPr>
                      <w:color w:val="auto"/>
                      <w:szCs w:val="21"/>
                      <w:highlight w:val="none"/>
                    </w:rPr>
                  </w:pPr>
                  <w:r>
                    <w:rPr>
                      <w:rFonts w:hint="eastAsia"/>
                      <w:color w:val="auto"/>
                      <w:szCs w:val="21"/>
                      <w:highlight w:val="none"/>
                    </w:rPr>
                    <w:t>全封闭厂房+集尘罩+布袋除尘器+15m排气筒</w:t>
                  </w:r>
                </w:p>
              </w:tc>
              <w:tc>
                <w:tcPr>
                  <w:tcW w:w="739" w:type="dxa"/>
                  <w:shd w:val="clear" w:color="auto" w:fill="auto"/>
                  <w:vAlign w:val="center"/>
                </w:tcPr>
                <w:p w14:paraId="1CC7F984">
                  <w:pPr>
                    <w:pStyle w:val="45"/>
                    <w:spacing w:before="0" w:line="240" w:lineRule="auto"/>
                    <w:ind w:right="0"/>
                    <w:rPr>
                      <w:b w:val="0"/>
                      <w:bCs/>
                      <w:color w:val="auto"/>
                      <w:sz w:val="21"/>
                      <w:szCs w:val="21"/>
                      <w:highlight w:val="none"/>
                    </w:rPr>
                  </w:pPr>
                  <w:r>
                    <w:rPr>
                      <w:b w:val="0"/>
                      <w:bCs/>
                      <w:color w:val="auto"/>
                      <w:sz w:val="21"/>
                      <w:szCs w:val="21"/>
                      <w:highlight w:val="none"/>
                    </w:rPr>
                    <w:t>新建</w:t>
                  </w:r>
                </w:p>
              </w:tc>
            </w:tr>
            <w:tr w14:paraId="71A5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679EE820">
                  <w:pPr>
                    <w:pStyle w:val="45"/>
                    <w:spacing w:before="0" w:line="240" w:lineRule="auto"/>
                    <w:ind w:right="0"/>
                    <w:rPr>
                      <w:b w:val="0"/>
                      <w:bCs/>
                      <w:color w:val="auto"/>
                      <w:sz w:val="21"/>
                      <w:szCs w:val="21"/>
                      <w:highlight w:val="none"/>
                    </w:rPr>
                  </w:pPr>
                </w:p>
              </w:tc>
              <w:tc>
                <w:tcPr>
                  <w:tcW w:w="426" w:type="dxa"/>
                  <w:vMerge w:val="continue"/>
                  <w:shd w:val="clear" w:color="auto" w:fill="auto"/>
                  <w:vAlign w:val="center"/>
                </w:tcPr>
                <w:p w14:paraId="47D61CB0">
                  <w:pPr>
                    <w:pStyle w:val="45"/>
                    <w:spacing w:before="0" w:line="240" w:lineRule="auto"/>
                    <w:ind w:right="0"/>
                    <w:rPr>
                      <w:b w:val="0"/>
                      <w:bCs/>
                      <w:color w:val="auto"/>
                      <w:sz w:val="21"/>
                      <w:szCs w:val="21"/>
                      <w:highlight w:val="none"/>
                    </w:rPr>
                  </w:pPr>
                </w:p>
              </w:tc>
              <w:tc>
                <w:tcPr>
                  <w:tcW w:w="1295" w:type="dxa"/>
                  <w:shd w:val="clear" w:color="auto" w:fill="auto"/>
                  <w:vAlign w:val="center"/>
                </w:tcPr>
                <w:p w14:paraId="0D61558E">
                  <w:pPr>
                    <w:jc w:val="center"/>
                    <w:rPr>
                      <w:rFonts w:hint="default" w:eastAsia="宋体"/>
                      <w:color w:val="auto"/>
                      <w:szCs w:val="21"/>
                      <w:highlight w:val="none"/>
                      <w:lang w:val="en-US" w:eastAsia="zh-CN"/>
                    </w:rPr>
                  </w:pPr>
                  <w:r>
                    <w:rPr>
                      <w:rFonts w:hint="eastAsia"/>
                      <w:color w:val="auto"/>
                      <w:szCs w:val="21"/>
                      <w:highlight w:val="none"/>
                      <w:lang w:val="en-US" w:eastAsia="zh-CN"/>
                    </w:rPr>
                    <w:t>筒仓粉尘</w:t>
                  </w:r>
                </w:p>
              </w:tc>
              <w:tc>
                <w:tcPr>
                  <w:tcW w:w="4894" w:type="dxa"/>
                  <w:shd w:val="clear" w:color="auto" w:fill="auto"/>
                  <w:vAlign w:val="center"/>
                </w:tcPr>
                <w:p w14:paraId="724565C9">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筒仓自带滤芯除尘器处理后无组织排放</w:t>
                  </w:r>
                </w:p>
              </w:tc>
              <w:tc>
                <w:tcPr>
                  <w:tcW w:w="739" w:type="dxa"/>
                  <w:shd w:val="clear" w:color="auto" w:fill="auto"/>
                  <w:vAlign w:val="center"/>
                </w:tcPr>
                <w:p w14:paraId="3539E3C7">
                  <w:pPr>
                    <w:pStyle w:val="45"/>
                    <w:spacing w:before="0" w:line="240" w:lineRule="auto"/>
                    <w:ind w:right="0"/>
                    <w:rPr>
                      <w:b w:val="0"/>
                      <w:bCs/>
                      <w:color w:val="auto"/>
                      <w:sz w:val="21"/>
                      <w:szCs w:val="21"/>
                      <w:highlight w:val="none"/>
                    </w:rPr>
                  </w:pPr>
                  <w:r>
                    <w:rPr>
                      <w:b w:val="0"/>
                      <w:bCs/>
                      <w:color w:val="auto"/>
                      <w:sz w:val="21"/>
                      <w:szCs w:val="21"/>
                      <w:highlight w:val="none"/>
                    </w:rPr>
                    <w:t>新建</w:t>
                  </w:r>
                </w:p>
              </w:tc>
            </w:tr>
            <w:tr w14:paraId="16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70AB9971">
                  <w:pPr>
                    <w:pStyle w:val="45"/>
                    <w:spacing w:before="0" w:line="240" w:lineRule="auto"/>
                    <w:ind w:right="0"/>
                    <w:rPr>
                      <w:b w:val="0"/>
                      <w:bCs/>
                      <w:color w:val="auto"/>
                      <w:sz w:val="21"/>
                      <w:szCs w:val="21"/>
                      <w:highlight w:val="none"/>
                    </w:rPr>
                  </w:pPr>
                </w:p>
              </w:tc>
              <w:tc>
                <w:tcPr>
                  <w:tcW w:w="426" w:type="dxa"/>
                  <w:vMerge w:val="continue"/>
                  <w:shd w:val="clear" w:color="auto" w:fill="auto"/>
                  <w:vAlign w:val="center"/>
                </w:tcPr>
                <w:p w14:paraId="1D6EDFB5">
                  <w:pPr>
                    <w:pStyle w:val="45"/>
                    <w:spacing w:before="0" w:line="240" w:lineRule="auto"/>
                    <w:ind w:right="0"/>
                    <w:rPr>
                      <w:b w:val="0"/>
                      <w:bCs/>
                      <w:color w:val="auto"/>
                      <w:sz w:val="21"/>
                      <w:szCs w:val="21"/>
                      <w:highlight w:val="none"/>
                    </w:rPr>
                  </w:pPr>
                </w:p>
              </w:tc>
              <w:tc>
                <w:tcPr>
                  <w:tcW w:w="1295" w:type="dxa"/>
                  <w:shd w:val="clear" w:color="auto" w:fill="auto"/>
                  <w:vAlign w:val="center"/>
                </w:tcPr>
                <w:p w14:paraId="0D509377">
                  <w:pPr>
                    <w:jc w:val="center"/>
                    <w:rPr>
                      <w:rFonts w:hint="default" w:eastAsia="宋体"/>
                      <w:color w:val="auto"/>
                      <w:szCs w:val="21"/>
                      <w:highlight w:val="none"/>
                      <w:lang w:val="en-US" w:eastAsia="zh-CN"/>
                    </w:rPr>
                  </w:pPr>
                  <w:r>
                    <w:rPr>
                      <w:rFonts w:hint="eastAsia"/>
                      <w:color w:val="auto"/>
                      <w:szCs w:val="21"/>
                      <w:highlight w:val="none"/>
                      <w:lang w:val="en-US" w:eastAsia="zh-CN"/>
                    </w:rPr>
                    <w:t>金属切割粉尘</w:t>
                  </w:r>
                </w:p>
              </w:tc>
              <w:tc>
                <w:tcPr>
                  <w:tcW w:w="4894" w:type="dxa"/>
                  <w:shd w:val="clear" w:color="auto" w:fill="auto"/>
                  <w:vAlign w:val="center"/>
                </w:tcPr>
                <w:p w14:paraId="61B872B5">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全封闭生产车间</w:t>
                  </w:r>
                </w:p>
              </w:tc>
              <w:tc>
                <w:tcPr>
                  <w:tcW w:w="739" w:type="dxa"/>
                  <w:shd w:val="clear" w:color="auto" w:fill="auto"/>
                  <w:vAlign w:val="center"/>
                </w:tcPr>
                <w:p w14:paraId="3EC74182">
                  <w:pPr>
                    <w:pStyle w:val="45"/>
                    <w:spacing w:before="0" w:line="240" w:lineRule="auto"/>
                    <w:ind w:right="0"/>
                    <w:rPr>
                      <w:b w:val="0"/>
                      <w:bCs/>
                      <w:color w:val="auto"/>
                      <w:sz w:val="21"/>
                      <w:szCs w:val="21"/>
                      <w:highlight w:val="none"/>
                    </w:rPr>
                  </w:pPr>
                  <w:r>
                    <w:rPr>
                      <w:b w:val="0"/>
                      <w:bCs/>
                      <w:color w:val="auto"/>
                      <w:sz w:val="21"/>
                      <w:szCs w:val="21"/>
                      <w:highlight w:val="none"/>
                    </w:rPr>
                    <w:t>新建</w:t>
                  </w:r>
                </w:p>
              </w:tc>
            </w:tr>
            <w:tr w14:paraId="7A9E3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31A63F8F">
                  <w:pPr>
                    <w:jc w:val="center"/>
                    <w:rPr>
                      <w:bCs/>
                      <w:color w:val="auto"/>
                      <w:szCs w:val="21"/>
                      <w:highlight w:val="none"/>
                    </w:rPr>
                  </w:pPr>
                </w:p>
              </w:tc>
              <w:tc>
                <w:tcPr>
                  <w:tcW w:w="426" w:type="dxa"/>
                  <w:vMerge w:val="restart"/>
                  <w:shd w:val="clear" w:color="auto" w:fill="auto"/>
                  <w:vAlign w:val="center"/>
                </w:tcPr>
                <w:p w14:paraId="0DF7DDE3">
                  <w:pPr>
                    <w:pStyle w:val="45"/>
                    <w:spacing w:before="0" w:line="240" w:lineRule="auto"/>
                    <w:ind w:right="0"/>
                    <w:rPr>
                      <w:b w:val="0"/>
                      <w:bCs/>
                      <w:color w:val="auto"/>
                      <w:sz w:val="21"/>
                      <w:szCs w:val="21"/>
                      <w:highlight w:val="none"/>
                    </w:rPr>
                  </w:pPr>
                  <w:r>
                    <w:rPr>
                      <w:b w:val="0"/>
                      <w:bCs/>
                      <w:color w:val="auto"/>
                      <w:sz w:val="21"/>
                      <w:szCs w:val="21"/>
                      <w:highlight w:val="none"/>
                    </w:rPr>
                    <w:t>废水</w:t>
                  </w:r>
                </w:p>
              </w:tc>
              <w:tc>
                <w:tcPr>
                  <w:tcW w:w="1295" w:type="dxa"/>
                  <w:shd w:val="clear" w:color="auto" w:fill="auto"/>
                  <w:vAlign w:val="center"/>
                </w:tcPr>
                <w:p w14:paraId="79081505">
                  <w:pPr>
                    <w:pStyle w:val="45"/>
                    <w:spacing w:before="0" w:line="240" w:lineRule="auto"/>
                    <w:ind w:right="0"/>
                    <w:rPr>
                      <w:b w:val="0"/>
                      <w:bCs/>
                      <w:color w:val="auto"/>
                      <w:sz w:val="21"/>
                      <w:szCs w:val="21"/>
                      <w:highlight w:val="none"/>
                    </w:rPr>
                  </w:pPr>
                  <w:r>
                    <w:rPr>
                      <w:b w:val="0"/>
                      <w:bCs/>
                      <w:color w:val="auto"/>
                      <w:sz w:val="21"/>
                      <w:szCs w:val="21"/>
                      <w:highlight w:val="none"/>
                    </w:rPr>
                    <w:t>生活污水</w:t>
                  </w:r>
                </w:p>
              </w:tc>
              <w:tc>
                <w:tcPr>
                  <w:tcW w:w="4894" w:type="dxa"/>
                  <w:shd w:val="clear" w:color="auto" w:fill="auto"/>
                  <w:vAlign w:val="center"/>
                </w:tcPr>
                <w:p w14:paraId="461B4C90">
                  <w:pPr>
                    <w:widowControl/>
                    <w:rPr>
                      <w:bCs/>
                      <w:color w:val="auto"/>
                      <w:szCs w:val="21"/>
                      <w:highlight w:val="none"/>
                    </w:rPr>
                  </w:pPr>
                  <w:r>
                    <w:rPr>
                      <w:rFonts w:hint="eastAsia"/>
                      <w:bCs/>
                      <w:color w:val="auto"/>
                      <w:szCs w:val="21"/>
                      <w:highlight w:val="none"/>
                    </w:rPr>
                    <w:t>由化粪池处理后排放至园区污水处理厂进行处理。</w:t>
                  </w:r>
                </w:p>
              </w:tc>
              <w:tc>
                <w:tcPr>
                  <w:tcW w:w="739" w:type="dxa"/>
                  <w:shd w:val="clear" w:color="auto" w:fill="auto"/>
                  <w:vAlign w:val="center"/>
                </w:tcPr>
                <w:p w14:paraId="205511F2">
                  <w:pPr>
                    <w:pStyle w:val="45"/>
                    <w:spacing w:before="0" w:line="240" w:lineRule="auto"/>
                    <w:ind w:right="0"/>
                    <w:rPr>
                      <w:b w:val="0"/>
                      <w:bCs/>
                      <w:color w:val="auto"/>
                      <w:sz w:val="21"/>
                      <w:szCs w:val="21"/>
                      <w:highlight w:val="none"/>
                    </w:rPr>
                  </w:pPr>
                  <w:r>
                    <w:rPr>
                      <w:b w:val="0"/>
                      <w:bCs/>
                      <w:color w:val="auto"/>
                      <w:sz w:val="21"/>
                      <w:szCs w:val="21"/>
                      <w:highlight w:val="none"/>
                    </w:rPr>
                    <w:t>新建</w:t>
                  </w:r>
                </w:p>
              </w:tc>
            </w:tr>
            <w:tr w14:paraId="1133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010F7AB7">
                  <w:pPr>
                    <w:jc w:val="center"/>
                    <w:rPr>
                      <w:bCs/>
                      <w:color w:val="auto"/>
                      <w:szCs w:val="21"/>
                      <w:highlight w:val="none"/>
                    </w:rPr>
                  </w:pPr>
                </w:p>
              </w:tc>
              <w:tc>
                <w:tcPr>
                  <w:tcW w:w="426" w:type="dxa"/>
                  <w:vMerge w:val="continue"/>
                  <w:shd w:val="clear" w:color="auto" w:fill="auto"/>
                  <w:vAlign w:val="center"/>
                </w:tcPr>
                <w:p w14:paraId="37E09810">
                  <w:pPr>
                    <w:pStyle w:val="45"/>
                    <w:spacing w:before="0" w:line="240" w:lineRule="auto"/>
                    <w:ind w:right="0"/>
                    <w:rPr>
                      <w:b w:val="0"/>
                      <w:bCs/>
                      <w:color w:val="auto"/>
                      <w:sz w:val="21"/>
                      <w:szCs w:val="21"/>
                      <w:highlight w:val="none"/>
                    </w:rPr>
                  </w:pPr>
                </w:p>
              </w:tc>
              <w:tc>
                <w:tcPr>
                  <w:tcW w:w="1295" w:type="dxa"/>
                  <w:shd w:val="clear" w:color="auto" w:fill="auto"/>
                  <w:vAlign w:val="center"/>
                </w:tcPr>
                <w:p w14:paraId="551A8874">
                  <w:pPr>
                    <w:pStyle w:val="45"/>
                    <w:spacing w:before="0" w:line="240" w:lineRule="auto"/>
                    <w:ind w:right="0"/>
                    <w:rPr>
                      <w:rFonts w:hint="default" w:eastAsia="宋体"/>
                      <w:b w:val="0"/>
                      <w:bCs/>
                      <w:color w:val="auto"/>
                      <w:sz w:val="21"/>
                      <w:szCs w:val="21"/>
                      <w:highlight w:val="none"/>
                      <w:lang w:val="en-US" w:eastAsia="zh-CN"/>
                    </w:rPr>
                  </w:pPr>
                  <w:r>
                    <w:rPr>
                      <w:rFonts w:hint="eastAsia"/>
                      <w:b w:val="0"/>
                      <w:bCs/>
                      <w:color w:val="auto"/>
                      <w:sz w:val="21"/>
                      <w:szCs w:val="21"/>
                      <w:highlight w:val="none"/>
                      <w:lang w:val="en-US" w:eastAsia="zh-CN"/>
                    </w:rPr>
                    <w:t>生产废水</w:t>
                  </w:r>
                </w:p>
              </w:tc>
              <w:tc>
                <w:tcPr>
                  <w:tcW w:w="4894" w:type="dxa"/>
                  <w:shd w:val="clear" w:color="auto" w:fill="auto"/>
                  <w:vAlign w:val="center"/>
                </w:tcPr>
                <w:p w14:paraId="57B5AB75">
                  <w:pPr>
                    <w:widowControl/>
                    <w:rPr>
                      <w:b w:val="0"/>
                      <w:bCs/>
                      <w:color w:val="auto"/>
                      <w:highlight w:val="none"/>
                    </w:rPr>
                  </w:pPr>
                  <w:r>
                    <w:rPr>
                      <w:rFonts w:hint="eastAsia"/>
                      <w:b w:val="0"/>
                      <w:bCs/>
                      <w:color w:val="auto"/>
                      <w:szCs w:val="21"/>
                      <w:highlight w:val="none"/>
                      <w:lang w:val="en-US" w:eastAsia="zh-CN"/>
                    </w:rPr>
                    <w:t>混凝土搅拌罐冲洗废水全部回用于混凝土生产，不外排</w:t>
                  </w:r>
                  <w:r>
                    <w:rPr>
                      <w:b w:val="0"/>
                      <w:bCs/>
                      <w:color w:val="auto"/>
                      <w:sz w:val="21"/>
                      <w:szCs w:val="21"/>
                      <w:highlight w:val="none"/>
                    </w:rPr>
                    <w:t>。</w:t>
                  </w:r>
                </w:p>
                <w:p w14:paraId="3500DF93">
                  <w:pPr>
                    <w:bidi w:val="0"/>
                    <w:rPr>
                      <w:rFonts w:hint="default"/>
                      <w:b w:val="0"/>
                      <w:bCs/>
                      <w:highlight w:val="none"/>
                      <w:lang w:val="en-US"/>
                    </w:rPr>
                  </w:pPr>
                  <w:r>
                    <w:rPr>
                      <w:rFonts w:hint="eastAsia"/>
                      <w:b w:val="0"/>
                      <w:bCs/>
                      <w:color w:val="auto"/>
                      <w:szCs w:val="21"/>
                      <w:highlight w:val="none"/>
                      <w:lang w:val="en-US" w:eastAsia="zh-CN"/>
                    </w:rPr>
                    <w:t>管桩离心成型工序废水全部回用于混凝土生</w:t>
                  </w:r>
                  <w:r>
                    <w:rPr>
                      <w:rFonts w:hint="eastAsia"/>
                      <w:highlight w:val="none"/>
                      <w:lang w:val="en-US" w:eastAsia="zh-CN"/>
                    </w:rPr>
                    <w:t>产，不外排。</w:t>
                  </w:r>
                </w:p>
              </w:tc>
              <w:tc>
                <w:tcPr>
                  <w:tcW w:w="739" w:type="dxa"/>
                  <w:shd w:val="clear" w:color="auto" w:fill="auto"/>
                  <w:vAlign w:val="center"/>
                </w:tcPr>
                <w:p w14:paraId="7AC108F1">
                  <w:pPr>
                    <w:pStyle w:val="45"/>
                    <w:spacing w:before="0" w:line="240" w:lineRule="auto"/>
                    <w:ind w:right="0"/>
                    <w:rPr>
                      <w:b w:val="0"/>
                      <w:bCs/>
                      <w:color w:val="auto"/>
                      <w:sz w:val="21"/>
                      <w:szCs w:val="21"/>
                      <w:highlight w:val="none"/>
                    </w:rPr>
                  </w:pPr>
                  <w:r>
                    <w:rPr>
                      <w:b w:val="0"/>
                      <w:bCs/>
                      <w:color w:val="auto"/>
                      <w:sz w:val="21"/>
                      <w:szCs w:val="21"/>
                      <w:highlight w:val="none"/>
                    </w:rPr>
                    <w:t>新建</w:t>
                  </w:r>
                </w:p>
              </w:tc>
            </w:tr>
            <w:tr w14:paraId="21EC1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05A278CD">
                  <w:pPr>
                    <w:jc w:val="center"/>
                    <w:rPr>
                      <w:bCs/>
                      <w:color w:val="auto"/>
                      <w:szCs w:val="21"/>
                      <w:highlight w:val="none"/>
                    </w:rPr>
                  </w:pPr>
                </w:p>
              </w:tc>
              <w:tc>
                <w:tcPr>
                  <w:tcW w:w="426" w:type="dxa"/>
                  <w:vMerge w:val="restart"/>
                  <w:shd w:val="clear" w:color="auto" w:fill="auto"/>
                  <w:vAlign w:val="center"/>
                </w:tcPr>
                <w:p w14:paraId="41449385">
                  <w:pPr>
                    <w:pStyle w:val="45"/>
                    <w:spacing w:before="0" w:line="240" w:lineRule="auto"/>
                    <w:ind w:right="0"/>
                    <w:rPr>
                      <w:b w:val="0"/>
                      <w:bCs/>
                      <w:color w:val="auto"/>
                      <w:sz w:val="21"/>
                      <w:szCs w:val="21"/>
                      <w:highlight w:val="none"/>
                    </w:rPr>
                  </w:pPr>
                  <w:r>
                    <w:rPr>
                      <w:b w:val="0"/>
                      <w:bCs/>
                      <w:color w:val="auto"/>
                      <w:sz w:val="21"/>
                      <w:szCs w:val="21"/>
                      <w:highlight w:val="none"/>
                    </w:rPr>
                    <w:t>固废</w:t>
                  </w:r>
                </w:p>
              </w:tc>
              <w:tc>
                <w:tcPr>
                  <w:tcW w:w="1295" w:type="dxa"/>
                  <w:shd w:val="clear" w:color="auto" w:fill="auto"/>
                  <w:vAlign w:val="center"/>
                </w:tcPr>
                <w:p w14:paraId="7EDC26C3">
                  <w:pPr>
                    <w:pStyle w:val="45"/>
                    <w:spacing w:before="0" w:line="240" w:lineRule="auto"/>
                    <w:ind w:right="0"/>
                    <w:rPr>
                      <w:b w:val="0"/>
                      <w:bCs/>
                      <w:color w:val="auto"/>
                      <w:sz w:val="21"/>
                      <w:szCs w:val="21"/>
                      <w:highlight w:val="none"/>
                    </w:rPr>
                  </w:pPr>
                  <w:r>
                    <w:rPr>
                      <w:rFonts w:hint="eastAsia"/>
                      <w:b w:val="0"/>
                      <w:bCs/>
                      <w:color w:val="auto"/>
                      <w:sz w:val="21"/>
                      <w:szCs w:val="21"/>
                      <w:highlight w:val="none"/>
                    </w:rPr>
                    <w:t>除尘灰</w:t>
                  </w:r>
                </w:p>
              </w:tc>
              <w:tc>
                <w:tcPr>
                  <w:tcW w:w="4894" w:type="dxa"/>
                  <w:shd w:val="clear" w:color="auto" w:fill="auto"/>
                  <w:vAlign w:val="center"/>
                </w:tcPr>
                <w:p w14:paraId="5EC7F1B0">
                  <w:pPr>
                    <w:widowControl/>
                    <w:rPr>
                      <w:bCs/>
                      <w:color w:val="auto"/>
                      <w:szCs w:val="21"/>
                      <w:highlight w:val="none"/>
                    </w:rPr>
                  </w:pPr>
                  <w:r>
                    <w:rPr>
                      <w:rFonts w:hint="eastAsia"/>
                      <w:bCs/>
                      <w:color w:val="auto"/>
                      <w:szCs w:val="21"/>
                      <w:highlight w:val="none"/>
                    </w:rPr>
                    <w:t>收集后回用于生产工序</w:t>
                  </w:r>
                </w:p>
              </w:tc>
              <w:tc>
                <w:tcPr>
                  <w:tcW w:w="739" w:type="dxa"/>
                  <w:shd w:val="clear" w:color="auto" w:fill="auto"/>
                  <w:vAlign w:val="center"/>
                </w:tcPr>
                <w:p w14:paraId="378FC7AD">
                  <w:pPr>
                    <w:jc w:val="center"/>
                    <w:rPr>
                      <w:bCs/>
                      <w:color w:val="auto"/>
                      <w:szCs w:val="21"/>
                      <w:highlight w:val="none"/>
                    </w:rPr>
                  </w:pPr>
                  <w:r>
                    <w:rPr>
                      <w:bCs/>
                      <w:color w:val="auto"/>
                      <w:szCs w:val="21"/>
                      <w:highlight w:val="none"/>
                    </w:rPr>
                    <w:t>新建</w:t>
                  </w:r>
                </w:p>
              </w:tc>
            </w:tr>
            <w:tr w14:paraId="0E4E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783E80CE">
                  <w:pPr>
                    <w:jc w:val="center"/>
                    <w:rPr>
                      <w:bCs/>
                      <w:color w:val="auto"/>
                      <w:szCs w:val="21"/>
                      <w:highlight w:val="none"/>
                    </w:rPr>
                  </w:pPr>
                </w:p>
              </w:tc>
              <w:tc>
                <w:tcPr>
                  <w:tcW w:w="426" w:type="dxa"/>
                  <w:vMerge w:val="continue"/>
                  <w:shd w:val="clear" w:color="auto" w:fill="auto"/>
                  <w:vAlign w:val="center"/>
                </w:tcPr>
                <w:p w14:paraId="10E057EC">
                  <w:pPr>
                    <w:pStyle w:val="45"/>
                    <w:spacing w:before="0" w:line="240" w:lineRule="auto"/>
                    <w:ind w:right="0"/>
                    <w:rPr>
                      <w:b w:val="0"/>
                      <w:bCs/>
                      <w:color w:val="auto"/>
                      <w:sz w:val="21"/>
                      <w:szCs w:val="21"/>
                      <w:highlight w:val="none"/>
                    </w:rPr>
                  </w:pPr>
                </w:p>
              </w:tc>
              <w:tc>
                <w:tcPr>
                  <w:tcW w:w="1295" w:type="dxa"/>
                  <w:shd w:val="clear" w:color="auto" w:fill="auto"/>
                  <w:vAlign w:val="center"/>
                </w:tcPr>
                <w:p w14:paraId="0999C098">
                  <w:pPr>
                    <w:pStyle w:val="45"/>
                    <w:spacing w:before="0" w:line="240" w:lineRule="auto"/>
                    <w:ind w:right="0"/>
                    <w:rPr>
                      <w:b w:val="0"/>
                      <w:bCs/>
                      <w:color w:val="auto"/>
                      <w:sz w:val="21"/>
                      <w:szCs w:val="21"/>
                      <w:highlight w:val="none"/>
                    </w:rPr>
                  </w:pPr>
                  <w:r>
                    <w:rPr>
                      <w:rFonts w:hint="eastAsia"/>
                      <w:b w:val="0"/>
                      <w:bCs/>
                      <w:color w:val="auto"/>
                      <w:sz w:val="21"/>
                      <w:szCs w:val="21"/>
                      <w:highlight w:val="none"/>
                    </w:rPr>
                    <w:t>不合格产品</w:t>
                  </w:r>
                </w:p>
              </w:tc>
              <w:tc>
                <w:tcPr>
                  <w:tcW w:w="4894" w:type="dxa"/>
                  <w:shd w:val="clear" w:color="auto" w:fill="auto"/>
                  <w:vAlign w:val="center"/>
                </w:tcPr>
                <w:p w14:paraId="6A7E421C">
                  <w:pPr>
                    <w:widowControl/>
                    <w:rPr>
                      <w:bCs/>
                      <w:color w:val="auto"/>
                      <w:szCs w:val="21"/>
                      <w:highlight w:val="none"/>
                    </w:rPr>
                  </w:pPr>
                  <w:r>
                    <w:rPr>
                      <w:rFonts w:hint="eastAsia"/>
                      <w:bCs/>
                      <w:color w:val="auto"/>
                      <w:szCs w:val="21"/>
                      <w:highlight w:val="none"/>
                    </w:rPr>
                    <w:t>暂存于一般固废暂存间，定期作为建筑垃圾外运处理</w:t>
                  </w:r>
                </w:p>
              </w:tc>
              <w:tc>
                <w:tcPr>
                  <w:tcW w:w="739" w:type="dxa"/>
                  <w:shd w:val="clear" w:color="auto" w:fill="auto"/>
                  <w:vAlign w:val="center"/>
                </w:tcPr>
                <w:p w14:paraId="08BB2389">
                  <w:pPr>
                    <w:jc w:val="center"/>
                    <w:rPr>
                      <w:bCs/>
                      <w:color w:val="auto"/>
                      <w:szCs w:val="21"/>
                      <w:highlight w:val="none"/>
                    </w:rPr>
                  </w:pPr>
                  <w:r>
                    <w:rPr>
                      <w:rFonts w:hint="eastAsia"/>
                      <w:bCs/>
                      <w:color w:val="auto"/>
                      <w:szCs w:val="21"/>
                      <w:highlight w:val="none"/>
                    </w:rPr>
                    <w:t>新建</w:t>
                  </w:r>
                </w:p>
              </w:tc>
            </w:tr>
            <w:tr w14:paraId="4AC2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07B87528">
                  <w:pPr>
                    <w:jc w:val="center"/>
                    <w:rPr>
                      <w:bCs/>
                      <w:color w:val="auto"/>
                      <w:szCs w:val="21"/>
                      <w:highlight w:val="none"/>
                    </w:rPr>
                  </w:pPr>
                </w:p>
              </w:tc>
              <w:tc>
                <w:tcPr>
                  <w:tcW w:w="426" w:type="dxa"/>
                  <w:vMerge w:val="continue"/>
                  <w:shd w:val="clear" w:color="auto" w:fill="auto"/>
                  <w:vAlign w:val="center"/>
                </w:tcPr>
                <w:p w14:paraId="4A73218C">
                  <w:pPr>
                    <w:pStyle w:val="45"/>
                    <w:spacing w:before="0" w:line="240" w:lineRule="auto"/>
                    <w:ind w:right="0"/>
                    <w:rPr>
                      <w:b w:val="0"/>
                      <w:bCs/>
                      <w:color w:val="auto"/>
                      <w:sz w:val="21"/>
                      <w:szCs w:val="21"/>
                      <w:highlight w:val="none"/>
                    </w:rPr>
                  </w:pPr>
                </w:p>
              </w:tc>
              <w:tc>
                <w:tcPr>
                  <w:tcW w:w="1295" w:type="dxa"/>
                  <w:shd w:val="clear" w:color="auto" w:fill="auto"/>
                  <w:vAlign w:val="center"/>
                </w:tcPr>
                <w:p w14:paraId="3DDAE388">
                  <w:pPr>
                    <w:pStyle w:val="45"/>
                    <w:spacing w:before="0" w:line="240" w:lineRule="auto"/>
                    <w:ind w:right="0"/>
                    <w:rPr>
                      <w:b w:val="0"/>
                      <w:bCs/>
                      <w:color w:val="auto"/>
                      <w:sz w:val="21"/>
                      <w:szCs w:val="21"/>
                      <w:highlight w:val="none"/>
                    </w:rPr>
                  </w:pPr>
                  <w:r>
                    <w:rPr>
                      <w:rFonts w:hint="eastAsia"/>
                      <w:b w:val="0"/>
                      <w:bCs/>
                      <w:color w:val="auto"/>
                      <w:sz w:val="21"/>
                      <w:szCs w:val="21"/>
                      <w:highlight w:val="none"/>
                    </w:rPr>
                    <w:t>钢棒切割渣</w:t>
                  </w:r>
                </w:p>
              </w:tc>
              <w:tc>
                <w:tcPr>
                  <w:tcW w:w="4894" w:type="dxa"/>
                  <w:shd w:val="clear" w:color="auto" w:fill="auto"/>
                  <w:vAlign w:val="center"/>
                </w:tcPr>
                <w:p w14:paraId="1157B2EC">
                  <w:pPr>
                    <w:widowControl/>
                    <w:rPr>
                      <w:bCs/>
                      <w:color w:val="auto"/>
                      <w:szCs w:val="21"/>
                      <w:highlight w:val="none"/>
                    </w:rPr>
                  </w:pPr>
                  <w:r>
                    <w:rPr>
                      <w:rFonts w:hint="eastAsia"/>
                      <w:bCs/>
                      <w:color w:val="auto"/>
                      <w:szCs w:val="21"/>
                      <w:highlight w:val="none"/>
                    </w:rPr>
                    <w:t>收集暂存一般固废暂存间，定期外售</w:t>
                  </w:r>
                </w:p>
              </w:tc>
              <w:tc>
                <w:tcPr>
                  <w:tcW w:w="739" w:type="dxa"/>
                  <w:shd w:val="clear" w:color="auto" w:fill="auto"/>
                  <w:vAlign w:val="center"/>
                </w:tcPr>
                <w:p w14:paraId="6C77CB64">
                  <w:pPr>
                    <w:jc w:val="center"/>
                    <w:rPr>
                      <w:bCs/>
                      <w:color w:val="auto"/>
                      <w:szCs w:val="21"/>
                      <w:highlight w:val="none"/>
                    </w:rPr>
                  </w:pPr>
                  <w:r>
                    <w:rPr>
                      <w:rFonts w:hint="eastAsia"/>
                      <w:bCs/>
                      <w:color w:val="auto"/>
                      <w:szCs w:val="21"/>
                      <w:highlight w:val="none"/>
                    </w:rPr>
                    <w:t>/</w:t>
                  </w:r>
                </w:p>
              </w:tc>
            </w:tr>
            <w:tr w14:paraId="598E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2BC0C0CF">
                  <w:pPr>
                    <w:jc w:val="center"/>
                    <w:rPr>
                      <w:bCs/>
                      <w:color w:val="auto"/>
                      <w:szCs w:val="21"/>
                      <w:highlight w:val="none"/>
                    </w:rPr>
                  </w:pPr>
                </w:p>
              </w:tc>
              <w:tc>
                <w:tcPr>
                  <w:tcW w:w="426" w:type="dxa"/>
                  <w:vMerge w:val="continue"/>
                  <w:shd w:val="clear" w:color="auto" w:fill="auto"/>
                  <w:vAlign w:val="center"/>
                </w:tcPr>
                <w:p w14:paraId="1CB17F32">
                  <w:pPr>
                    <w:jc w:val="center"/>
                    <w:rPr>
                      <w:bCs/>
                      <w:color w:val="auto"/>
                      <w:szCs w:val="21"/>
                      <w:highlight w:val="none"/>
                    </w:rPr>
                  </w:pPr>
                </w:p>
              </w:tc>
              <w:tc>
                <w:tcPr>
                  <w:tcW w:w="1295" w:type="dxa"/>
                  <w:shd w:val="clear" w:color="auto" w:fill="auto"/>
                  <w:vAlign w:val="center"/>
                </w:tcPr>
                <w:p w14:paraId="60696B44">
                  <w:pPr>
                    <w:pStyle w:val="45"/>
                    <w:spacing w:before="0" w:line="240" w:lineRule="auto"/>
                    <w:ind w:right="0"/>
                    <w:rPr>
                      <w:b w:val="0"/>
                      <w:bCs/>
                      <w:color w:val="auto"/>
                      <w:sz w:val="21"/>
                      <w:szCs w:val="21"/>
                      <w:highlight w:val="none"/>
                    </w:rPr>
                  </w:pPr>
                  <w:r>
                    <w:rPr>
                      <w:b w:val="0"/>
                      <w:bCs/>
                      <w:color w:val="auto"/>
                      <w:sz w:val="21"/>
                      <w:szCs w:val="21"/>
                      <w:highlight w:val="none"/>
                    </w:rPr>
                    <w:t>生活垃圾</w:t>
                  </w:r>
                </w:p>
              </w:tc>
              <w:tc>
                <w:tcPr>
                  <w:tcW w:w="4894" w:type="dxa"/>
                  <w:shd w:val="clear" w:color="auto" w:fill="auto"/>
                  <w:vAlign w:val="center"/>
                </w:tcPr>
                <w:p w14:paraId="47450232">
                  <w:pPr>
                    <w:pStyle w:val="45"/>
                    <w:spacing w:before="0" w:line="240" w:lineRule="auto"/>
                    <w:ind w:right="0"/>
                    <w:jc w:val="both"/>
                    <w:rPr>
                      <w:b w:val="0"/>
                      <w:bCs/>
                      <w:color w:val="auto"/>
                      <w:sz w:val="21"/>
                      <w:szCs w:val="21"/>
                      <w:highlight w:val="none"/>
                    </w:rPr>
                  </w:pPr>
                  <w:r>
                    <w:rPr>
                      <w:rFonts w:hint="eastAsia"/>
                      <w:b w:val="0"/>
                      <w:bCs/>
                      <w:color w:val="auto"/>
                      <w:sz w:val="21"/>
                      <w:szCs w:val="21"/>
                      <w:highlight w:val="none"/>
                    </w:rPr>
                    <w:t>厂</w:t>
                  </w:r>
                  <w:r>
                    <w:rPr>
                      <w:b w:val="0"/>
                      <w:bCs/>
                      <w:color w:val="auto"/>
                      <w:sz w:val="21"/>
                      <w:szCs w:val="21"/>
                      <w:highlight w:val="none"/>
                    </w:rPr>
                    <w:t>区设置若干分类垃圾箱进行收集，</w:t>
                  </w:r>
                  <w:r>
                    <w:rPr>
                      <w:rFonts w:hint="eastAsia"/>
                      <w:b w:val="0"/>
                      <w:bCs/>
                      <w:color w:val="auto"/>
                      <w:sz w:val="21"/>
                      <w:szCs w:val="21"/>
                      <w:highlight w:val="none"/>
                    </w:rPr>
                    <w:t>交由环卫部门处置</w:t>
                  </w:r>
                </w:p>
              </w:tc>
              <w:tc>
                <w:tcPr>
                  <w:tcW w:w="739" w:type="dxa"/>
                  <w:shd w:val="clear" w:color="auto" w:fill="auto"/>
                  <w:vAlign w:val="center"/>
                </w:tcPr>
                <w:p w14:paraId="3D72009F">
                  <w:pPr>
                    <w:jc w:val="center"/>
                    <w:rPr>
                      <w:bCs/>
                      <w:color w:val="auto"/>
                      <w:szCs w:val="21"/>
                      <w:highlight w:val="none"/>
                    </w:rPr>
                  </w:pPr>
                  <w:r>
                    <w:rPr>
                      <w:bCs/>
                      <w:color w:val="auto"/>
                      <w:szCs w:val="21"/>
                      <w:highlight w:val="none"/>
                    </w:rPr>
                    <w:t>新建</w:t>
                  </w:r>
                </w:p>
              </w:tc>
            </w:tr>
            <w:tr w14:paraId="1E36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4C7C8B74">
                  <w:pPr>
                    <w:jc w:val="center"/>
                    <w:rPr>
                      <w:bCs/>
                      <w:color w:val="auto"/>
                      <w:szCs w:val="21"/>
                      <w:highlight w:val="none"/>
                    </w:rPr>
                  </w:pPr>
                </w:p>
              </w:tc>
              <w:tc>
                <w:tcPr>
                  <w:tcW w:w="426" w:type="dxa"/>
                  <w:vMerge w:val="continue"/>
                  <w:shd w:val="clear" w:color="auto" w:fill="auto"/>
                  <w:vAlign w:val="center"/>
                </w:tcPr>
                <w:p w14:paraId="60FECD8F">
                  <w:pPr>
                    <w:jc w:val="center"/>
                    <w:rPr>
                      <w:bCs/>
                      <w:color w:val="auto"/>
                      <w:szCs w:val="21"/>
                      <w:highlight w:val="none"/>
                    </w:rPr>
                  </w:pPr>
                </w:p>
              </w:tc>
              <w:tc>
                <w:tcPr>
                  <w:tcW w:w="1295" w:type="dxa"/>
                  <w:shd w:val="clear" w:color="auto" w:fill="auto"/>
                  <w:vAlign w:val="center"/>
                </w:tcPr>
                <w:p w14:paraId="2A20E0C9">
                  <w:pPr>
                    <w:pStyle w:val="45"/>
                    <w:spacing w:before="0" w:line="240" w:lineRule="auto"/>
                    <w:ind w:right="0"/>
                    <w:rPr>
                      <w:b w:val="0"/>
                      <w:bCs/>
                      <w:color w:val="auto"/>
                      <w:sz w:val="21"/>
                      <w:szCs w:val="21"/>
                      <w:highlight w:val="none"/>
                    </w:rPr>
                  </w:pPr>
                  <w:r>
                    <w:rPr>
                      <w:rFonts w:hint="eastAsia"/>
                      <w:b w:val="0"/>
                      <w:bCs/>
                      <w:color w:val="auto"/>
                      <w:sz w:val="21"/>
                      <w:szCs w:val="21"/>
                      <w:highlight w:val="none"/>
                    </w:rPr>
                    <w:t>废离子交换树脂</w:t>
                  </w:r>
                </w:p>
              </w:tc>
              <w:tc>
                <w:tcPr>
                  <w:tcW w:w="4894" w:type="dxa"/>
                  <w:shd w:val="clear" w:color="auto" w:fill="auto"/>
                  <w:vAlign w:val="center"/>
                </w:tcPr>
                <w:p w14:paraId="4A5C3FD5">
                  <w:pPr>
                    <w:pStyle w:val="45"/>
                    <w:spacing w:before="0" w:line="240" w:lineRule="auto"/>
                    <w:ind w:right="0"/>
                    <w:jc w:val="both"/>
                    <w:rPr>
                      <w:b w:val="0"/>
                      <w:bCs/>
                      <w:color w:val="auto"/>
                      <w:sz w:val="21"/>
                      <w:szCs w:val="21"/>
                      <w:highlight w:val="none"/>
                    </w:rPr>
                  </w:pPr>
                  <w:r>
                    <w:rPr>
                      <w:rFonts w:hint="eastAsia"/>
                      <w:b w:val="0"/>
                      <w:bCs/>
                      <w:color w:val="auto"/>
                      <w:sz w:val="21"/>
                      <w:szCs w:val="21"/>
                      <w:highlight w:val="none"/>
                    </w:rPr>
                    <w:t>厂家更换后回收</w:t>
                  </w:r>
                </w:p>
              </w:tc>
              <w:tc>
                <w:tcPr>
                  <w:tcW w:w="739" w:type="dxa"/>
                  <w:shd w:val="clear" w:color="auto" w:fill="auto"/>
                  <w:vAlign w:val="center"/>
                </w:tcPr>
                <w:p w14:paraId="5009ACCA">
                  <w:pPr>
                    <w:jc w:val="center"/>
                    <w:rPr>
                      <w:bCs/>
                      <w:color w:val="auto"/>
                      <w:szCs w:val="21"/>
                      <w:highlight w:val="none"/>
                    </w:rPr>
                  </w:pPr>
                  <w:r>
                    <w:rPr>
                      <w:bCs/>
                      <w:color w:val="auto"/>
                      <w:szCs w:val="21"/>
                      <w:highlight w:val="none"/>
                    </w:rPr>
                    <w:t>新建</w:t>
                  </w:r>
                </w:p>
              </w:tc>
            </w:tr>
            <w:tr w14:paraId="3B25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4F9E7606">
                  <w:pPr>
                    <w:jc w:val="center"/>
                    <w:rPr>
                      <w:bCs/>
                      <w:color w:val="auto"/>
                      <w:szCs w:val="21"/>
                      <w:highlight w:val="none"/>
                    </w:rPr>
                  </w:pPr>
                </w:p>
              </w:tc>
              <w:tc>
                <w:tcPr>
                  <w:tcW w:w="426" w:type="dxa"/>
                  <w:shd w:val="clear" w:color="auto" w:fill="auto"/>
                  <w:vAlign w:val="center"/>
                </w:tcPr>
                <w:p w14:paraId="0D22AE95">
                  <w:pPr>
                    <w:pStyle w:val="45"/>
                    <w:spacing w:before="0" w:line="240" w:lineRule="auto"/>
                    <w:ind w:right="0"/>
                    <w:rPr>
                      <w:b w:val="0"/>
                      <w:bCs/>
                      <w:color w:val="auto"/>
                      <w:sz w:val="21"/>
                      <w:szCs w:val="21"/>
                      <w:highlight w:val="none"/>
                    </w:rPr>
                  </w:pPr>
                  <w:r>
                    <w:rPr>
                      <w:b w:val="0"/>
                      <w:bCs/>
                      <w:color w:val="auto"/>
                      <w:sz w:val="21"/>
                      <w:szCs w:val="21"/>
                      <w:highlight w:val="none"/>
                    </w:rPr>
                    <w:t>噪声</w:t>
                  </w:r>
                </w:p>
              </w:tc>
              <w:tc>
                <w:tcPr>
                  <w:tcW w:w="1295" w:type="dxa"/>
                  <w:shd w:val="clear" w:color="auto" w:fill="auto"/>
                  <w:vAlign w:val="center"/>
                </w:tcPr>
                <w:p w14:paraId="06903AE9">
                  <w:pPr>
                    <w:pStyle w:val="45"/>
                    <w:spacing w:before="0" w:line="240" w:lineRule="auto"/>
                    <w:ind w:right="0"/>
                    <w:rPr>
                      <w:b w:val="0"/>
                      <w:bCs/>
                      <w:color w:val="auto"/>
                      <w:sz w:val="21"/>
                      <w:szCs w:val="21"/>
                      <w:highlight w:val="none"/>
                    </w:rPr>
                  </w:pPr>
                  <w:r>
                    <w:rPr>
                      <w:b w:val="0"/>
                      <w:bCs/>
                      <w:color w:val="auto"/>
                      <w:sz w:val="21"/>
                      <w:szCs w:val="21"/>
                      <w:highlight w:val="none"/>
                    </w:rPr>
                    <w:t>设备噪声</w:t>
                  </w:r>
                </w:p>
              </w:tc>
              <w:tc>
                <w:tcPr>
                  <w:tcW w:w="4894" w:type="dxa"/>
                  <w:shd w:val="clear" w:color="auto" w:fill="auto"/>
                  <w:vAlign w:val="center"/>
                </w:tcPr>
                <w:p w14:paraId="6630B9A2">
                  <w:pPr>
                    <w:pStyle w:val="45"/>
                    <w:spacing w:before="0" w:line="240" w:lineRule="auto"/>
                    <w:ind w:right="0" w:firstLine="420" w:firstLineChars="200"/>
                    <w:jc w:val="both"/>
                    <w:rPr>
                      <w:b w:val="0"/>
                      <w:bCs/>
                      <w:color w:val="auto"/>
                      <w:sz w:val="21"/>
                      <w:szCs w:val="21"/>
                      <w:highlight w:val="none"/>
                    </w:rPr>
                  </w:pPr>
                  <w:r>
                    <w:rPr>
                      <w:b w:val="0"/>
                      <w:bCs/>
                      <w:color w:val="auto"/>
                      <w:sz w:val="21"/>
                      <w:szCs w:val="21"/>
                      <w:highlight w:val="none"/>
                    </w:rPr>
                    <w:t>选用低噪声设备，基础减振，厂房隔声。</w:t>
                  </w:r>
                </w:p>
              </w:tc>
              <w:tc>
                <w:tcPr>
                  <w:tcW w:w="739" w:type="dxa"/>
                  <w:shd w:val="clear" w:color="auto" w:fill="auto"/>
                  <w:vAlign w:val="center"/>
                </w:tcPr>
                <w:p w14:paraId="764E7682">
                  <w:pPr>
                    <w:pStyle w:val="45"/>
                    <w:spacing w:before="0" w:line="240" w:lineRule="auto"/>
                    <w:ind w:right="0"/>
                    <w:rPr>
                      <w:b w:val="0"/>
                      <w:bCs/>
                      <w:color w:val="auto"/>
                      <w:sz w:val="21"/>
                      <w:szCs w:val="21"/>
                      <w:highlight w:val="none"/>
                    </w:rPr>
                  </w:pPr>
                  <w:r>
                    <w:rPr>
                      <w:b w:val="0"/>
                      <w:bCs/>
                      <w:color w:val="auto"/>
                      <w:sz w:val="21"/>
                      <w:szCs w:val="21"/>
                      <w:highlight w:val="none"/>
                    </w:rPr>
                    <w:t>新建</w:t>
                  </w:r>
                </w:p>
              </w:tc>
            </w:tr>
            <w:tr w14:paraId="058E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4" w:type="dxa"/>
                  <w:vMerge w:val="continue"/>
                  <w:shd w:val="clear" w:color="auto" w:fill="auto"/>
                  <w:vAlign w:val="center"/>
                </w:tcPr>
                <w:p w14:paraId="1F21ADF6">
                  <w:pPr>
                    <w:jc w:val="center"/>
                    <w:rPr>
                      <w:bCs/>
                      <w:color w:val="auto"/>
                      <w:szCs w:val="21"/>
                      <w:highlight w:val="none"/>
                    </w:rPr>
                  </w:pPr>
                </w:p>
              </w:tc>
              <w:tc>
                <w:tcPr>
                  <w:tcW w:w="1721" w:type="dxa"/>
                  <w:gridSpan w:val="2"/>
                  <w:shd w:val="clear" w:color="auto" w:fill="auto"/>
                  <w:vAlign w:val="center"/>
                </w:tcPr>
                <w:p w14:paraId="6A1B68DE">
                  <w:pPr>
                    <w:pStyle w:val="45"/>
                    <w:spacing w:before="0" w:line="240" w:lineRule="auto"/>
                    <w:ind w:right="0"/>
                    <w:rPr>
                      <w:b w:val="0"/>
                      <w:bCs/>
                      <w:color w:val="auto"/>
                      <w:sz w:val="21"/>
                      <w:szCs w:val="21"/>
                      <w:highlight w:val="none"/>
                    </w:rPr>
                  </w:pPr>
                  <w:r>
                    <w:rPr>
                      <w:b w:val="0"/>
                      <w:bCs/>
                      <w:color w:val="auto"/>
                      <w:sz w:val="21"/>
                      <w:szCs w:val="21"/>
                      <w:highlight w:val="none"/>
                    </w:rPr>
                    <w:t>防渗</w:t>
                  </w:r>
                </w:p>
              </w:tc>
              <w:tc>
                <w:tcPr>
                  <w:tcW w:w="4894" w:type="dxa"/>
                  <w:shd w:val="clear" w:color="auto" w:fill="auto"/>
                  <w:vAlign w:val="center"/>
                </w:tcPr>
                <w:p w14:paraId="3892F6D3">
                  <w:pPr>
                    <w:widowControl/>
                    <w:rPr>
                      <w:bCs/>
                      <w:color w:val="auto"/>
                      <w:szCs w:val="21"/>
                      <w:highlight w:val="none"/>
                    </w:rPr>
                  </w:pPr>
                  <w:r>
                    <w:rPr>
                      <w:rFonts w:hint="eastAsia"/>
                      <w:color w:val="auto"/>
                      <w:highlight w:val="none"/>
                    </w:rPr>
                    <w:t>生产车间</w:t>
                  </w:r>
                  <w:r>
                    <w:rPr>
                      <w:rFonts w:hint="eastAsia"/>
                      <w:color w:val="auto"/>
                      <w:highlight w:val="none"/>
                      <w:lang w:eastAsia="zh-CN"/>
                    </w:rPr>
                    <w:t>、</w:t>
                  </w:r>
                  <w:r>
                    <w:rPr>
                      <w:rFonts w:hint="eastAsia"/>
                      <w:color w:val="auto"/>
                      <w:highlight w:val="none"/>
                      <w:lang w:val="en-US" w:eastAsia="zh-CN"/>
                    </w:rPr>
                    <w:t>产品堆场</w:t>
                  </w:r>
                  <w:r>
                    <w:rPr>
                      <w:rFonts w:hint="eastAsia"/>
                      <w:color w:val="auto"/>
                      <w:highlight w:val="none"/>
                    </w:rPr>
                    <w:t>及道路地面硬化采用10cm-15cm的普通水泥硬化处理，化粪池采用一般防渗（防渗层至少1m厚黏土层+10cm水泥防渗层，最终效果满足K≤1.0×10</w:t>
                  </w:r>
                  <w:r>
                    <w:rPr>
                      <w:rFonts w:hint="eastAsia"/>
                      <w:color w:val="auto"/>
                      <w:highlight w:val="none"/>
                      <w:vertAlign w:val="superscript"/>
                    </w:rPr>
                    <w:t>-7</w:t>
                  </w:r>
                  <w:r>
                    <w:rPr>
                      <w:rFonts w:hint="eastAsia"/>
                      <w:color w:val="auto"/>
                      <w:highlight w:val="none"/>
                    </w:rPr>
                    <w:t>cm/s）。</w:t>
                  </w:r>
                </w:p>
              </w:tc>
              <w:tc>
                <w:tcPr>
                  <w:tcW w:w="739" w:type="dxa"/>
                  <w:shd w:val="clear" w:color="auto" w:fill="auto"/>
                  <w:vAlign w:val="center"/>
                </w:tcPr>
                <w:p w14:paraId="7913BEE3">
                  <w:pPr>
                    <w:pStyle w:val="45"/>
                    <w:spacing w:before="0" w:line="240" w:lineRule="auto"/>
                    <w:ind w:right="0"/>
                    <w:rPr>
                      <w:b w:val="0"/>
                      <w:bCs/>
                      <w:color w:val="auto"/>
                      <w:sz w:val="21"/>
                      <w:szCs w:val="21"/>
                      <w:highlight w:val="none"/>
                    </w:rPr>
                  </w:pPr>
                  <w:r>
                    <w:rPr>
                      <w:b w:val="0"/>
                      <w:bCs/>
                      <w:color w:val="auto"/>
                      <w:sz w:val="21"/>
                      <w:szCs w:val="21"/>
                      <w:highlight w:val="none"/>
                    </w:rPr>
                    <w:t>新建</w:t>
                  </w:r>
                </w:p>
              </w:tc>
            </w:tr>
          </w:tbl>
          <w:p w14:paraId="19F0863A">
            <w:pPr>
              <w:pStyle w:val="29"/>
              <w:spacing w:after="0" w:line="360" w:lineRule="auto"/>
              <w:ind w:left="0" w:leftChars="0" w:firstLine="0" w:firstLineChars="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3</w:t>
            </w:r>
            <w:r>
              <w:rPr>
                <w:rFonts w:hint="eastAsia"/>
                <w:b/>
                <w:bCs/>
                <w:color w:val="000000" w:themeColor="text1"/>
                <w:highlight w:val="none"/>
                <w:lang w:val="en-US" w:eastAsia="zh-CN"/>
                <w14:textFill>
                  <w14:solidFill>
                    <w14:schemeClr w14:val="tx1"/>
                  </w14:solidFill>
                </w14:textFill>
              </w:rPr>
              <w:t>.</w:t>
            </w:r>
            <w:r>
              <w:rPr>
                <w:b/>
                <w:bCs/>
                <w:color w:val="000000" w:themeColor="text1"/>
                <w:highlight w:val="none"/>
                <w14:textFill>
                  <w14:solidFill>
                    <w14:schemeClr w14:val="tx1"/>
                  </w14:solidFill>
                </w14:textFill>
              </w:rPr>
              <w:t>主要设备</w:t>
            </w:r>
          </w:p>
          <w:p w14:paraId="3B5A0C54">
            <w:pPr>
              <w:pStyle w:val="75"/>
              <w:spacing w:line="360" w:lineRule="auto"/>
              <w:ind w:firstLine="480"/>
              <w:rPr>
                <w:rFonts w:ascii="Times New Roman" w:hAnsi="Times New Roman"/>
                <w:color w:val="000000" w:themeColor="text1"/>
                <w:sz w:val="24"/>
                <w:szCs w:val="24"/>
                <w:highlight w:val="none"/>
                <w14:textFill>
                  <w14:solidFill>
                    <w14:schemeClr w14:val="tx1"/>
                  </w14:solidFill>
                </w14:textFill>
              </w:rPr>
            </w:pPr>
            <w:r>
              <w:rPr>
                <w:rFonts w:ascii="Times New Roman" w:hAnsi="Times New Roman"/>
                <w:color w:val="000000" w:themeColor="text1"/>
                <w:sz w:val="24"/>
                <w:szCs w:val="24"/>
                <w:highlight w:val="none"/>
                <w14:textFill>
                  <w14:solidFill>
                    <w14:schemeClr w14:val="tx1"/>
                  </w14:solidFill>
                </w14:textFill>
              </w:rPr>
              <w:t>主要工艺设备见表2-2。</w:t>
            </w:r>
          </w:p>
          <w:p w14:paraId="0897C145">
            <w:pPr>
              <w:pStyle w:val="75"/>
              <w:spacing w:line="240" w:lineRule="auto"/>
              <w:ind w:firstLine="0" w:firstLineChars="0"/>
              <w:jc w:val="center"/>
              <w:rPr>
                <w:rFonts w:ascii="Times New Roman" w:hAnsi="Times New Roman"/>
                <w:b/>
                <w:color w:val="000000" w:themeColor="text1"/>
                <w:sz w:val="24"/>
                <w:szCs w:val="21"/>
                <w:highlight w:val="none"/>
                <w14:textFill>
                  <w14:solidFill>
                    <w14:schemeClr w14:val="tx1"/>
                  </w14:solidFill>
                </w14:textFill>
              </w:rPr>
            </w:pPr>
            <w:r>
              <w:rPr>
                <w:rFonts w:ascii="Times New Roman" w:hAnsi="Times New Roman"/>
                <w:b/>
                <w:color w:val="000000" w:themeColor="text1"/>
                <w:sz w:val="24"/>
                <w:szCs w:val="21"/>
                <w:highlight w:val="none"/>
                <w14:textFill>
                  <w14:solidFill>
                    <w14:schemeClr w14:val="tx1"/>
                  </w14:solidFill>
                </w14:textFill>
              </w:rPr>
              <w:t>表2-2 主要工艺设备选型表</w:t>
            </w:r>
          </w:p>
          <w:tbl>
            <w:tblPr>
              <w:tblStyle w:val="9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1"/>
              <w:gridCol w:w="814"/>
              <w:gridCol w:w="2213"/>
              <w:gridCol w:w="2353"/>
              <w:gridCol w:w="1844"/>
            </w:tblGrid>
            <w:tr w14:paraId="7E0A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Align w:val="center"/>
                </w:tcPr>
                <w:p w14:paraId="1A79605A">
                  <w:pPr>
                    <w:jc w:val="center"/>
                    <w:rPr>
                      <w:rFonts w:cs="宋体"/>
                      <w:highlight w:val="none"/>
                    </w:rPr>
                  </w:pPr>
                  <w:r>
                    <w:rPr>
                      <w:rFonts w:hint="eastAsia" w:cs="宋体"/>
                      <w:szCs w:val="21"/>
                      <w:highlight w:val="none"/>
                    </w:rPr>
                    <w:t>序号</w:t>
                  </w:r>
                </w:p>
              </w:tc>
              <w:tc>
                <w:tcPr>
                  <w:tcW w:w="1874" w:type="pct"/>
                  <w:gridSpan w:val="2"/>
                  <w:vAlign w:val="center"/>
                </w:tcPr>
                <w:p w14:paraId="3D722334">
                  <w:pPr>
                    <w:jc w:val="center"/>
                    <w:rPr>
                      <w:rFonts w:cs="宋体"/>
                      <w:highlight w:val="none"/>
                    </w:rPr>
                  </w:pPr>
                  <w:r>
                    <w:rPr>
                      <w:rFonts w:hint="eastAsia" w:cs="宋体"/>
                      <w:szCs w:val="21"/>
                      <w:highlight w:val="none"/>
                    </w:rPr>
                    <w:t>名称</w:t>
                  </w:r>
                </w:p>
              </w:tc>
              <w:tc>
                <w:tcPr>
                  <w:tcW w:w="1457" w:type="pct"/>
                  <w:vAlign w:val="center"/>
                </w:tcPr>
                <w:p w14:paraId="5EBD58CE">
                  <w:pPr>
                    <w:jc w:val="center"/>
                    <w:rPr>
                      <w:rFonts w:cs="宋体"/>
                      <w:highlight w:val="none"/>
                    </w:rPr>
                  </w:pPr>
                  <w:r>
                    <w:rPr>
                      <w:rFonts w:hint="eastAsia" w:cs="宋体"/>
                      <w:szCs w:val="21"/>
                      <w:highlight w:val="none"/>
                    </w:rPr>
                    <w:t>规格</w:t>
                  </w:r>
                </w:p>
              </w:tc>
              <w:tc>
                <w:tcPr>
                  <w:tcW w:w="1142" w:type="pct"/>
                  <w:vAlign w:val="center"/>
                </w:tcPr>
                <w:p w14:paraId="2104CBA7">
                  <w:pPr>
                    <w:jc w:val="center"/>
                    <w:rPr>
                      <w:rFonts w:cs="宋体"/>
                      <w:highlight w:val="none"/>
                    </w:rPr>
                  </w:pPr>
                  <w:r>
                    <w:rPr>
                      <w:rFonts w:hint="eastAsia" w:cs="宋体"/>
                      <w:szCs w:val="21"/>
                      <w:highlight w:val="none"/>
                    </w:rPr>
                    <w:t>数量</w:t>
                  </w:r>
                </w:p>
              </w:tc>
            </w:tr>
            <w:tr w14:paraId="00023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restart"/>
                  <w:vAlign w:val="center"/>
                </w:tcPr>
                <w:p w14:paraId="758F66C4">
                  <w:pPr>
                    <w:jc w:val="center"/>
                    <w:rPr>
                      <w:rFonts w:cs="宋体"/>
                      <w:highlight w:val="none"/>
                    </w:rPr>
                  </w:pPr>
                  <w:r>
                    <w:rPr>
                      <w:rFonts w:hint="eastAsia" w:cs="宋体"/>
                      <w:szCs w:val="21"/>
                      <w:highlight w:val="none"/>
                    </w:rPr>
                    <w:t>1</w:t>
                  </w:r>
                </w:p>
              </w:tc>
              <w:tc>
                <w:tcPr>
                  <w:tcW w:w="504" w:type="pct"/>
                  <w:vMerge w:val="restart"/>
                  <w:vAlign w:val="center"/>
                </w:tcPr>
                <w:p w14:paraId="19665AC0">
                  <w:pPr>
                    <w:jc w:val="center"/>
                    <w:rPr>
                      <w:rFonts w:cs="宋体"/>
                      <w:highlight w:val="none"/>
                    </w:rPr>
                  </w:pPr>
                  <w:r>
                    <w:rPr>
                      <w:rFonts w:hint="eastAsia" w:cs="宋体"/>
                      <w:szCs w:val="21"/>
                      <w:highlight w:val="none"/>
                    </w:rPr>
                    <w:t>配料站</w:t>
                  </w:r>
                </w:p>
              </w:tc>
              <w:tc>
                <w:tcPr>
                  <w:tcW w:w="1370" w:type="pct"/>
                  <w:vAlign w:val="center"/>
                </w:tcPr>
                <w:p w14:paraId="06B440CF">
                  <w:pPr>
                    <w:jc w:val="center"/>
                    <w:rPr>
                      <w:rFonts w:cs="宋体"/>
                      <w:highlight w:val="none"/>
                    </w:rPr>
                  </w:pPr>
                  <w:r>
                    <w:rPr>
                      <w:rFonts w:hint="eastAsia" w:cs="宋体"/>
                      <w:szCs w:val="21"/>
                      <w:highlight w:val="none"/>
                    </w:rPr>
                    <w:t>储料仓</w:t>
                  </w:r>
                </w:p>
              </w:tc>
              <w:tc>
                <w:tcPr>
                  <w:tcW w:w="1457" w:type="pct"/>
                  <w:vAlign w:val="center"/>
                </w:tcPr>
                <w:p w14:paraId="4C26FC7F">
                  <w:pPr>
                    <w:jc w:val="center"/>
                    <w:rPr>
                      <w:rFonts w:cs="宋体"/>
                      <w:highlight w:val="none"/>
                    </w:rPr>
                  </w:pPr>
                  <w:r>
                    <w:rPr>
                      <w:rFonts w:hint="eastAsia" w:cs="宋体"/>
                      <w:szCs w:val="21"/>
                      <w:highlight w:val="none"/>
                    </w:rPr>
                    <w:t>25m³</w:t>
                  </w:r>
                </w:p>
              </w:tc>
              <w:tc>
                <w:tcPr>
                  <w:tcW w:w="1142" w:type="pct"/>
                  <w:vAlign w:val="center"/>
                </w:tcPr>
                <w:p w14:paraId="0EB16FED">
                  <w:pPr>
                    <w:jc w:val="center"/>
                    <w:rPr>
                      <w:rFonts w:cs="宋体"/>
                      <w:highlight w:val="none"/>
                    </w:rPr>
                  </w:pPr>
                  <w:r>
                    <w:rPr>
                      <w:rFonts w:hint="eastAsia" w:cs="宋体"/>
                      <w:szCs w:val="21"/>
                      <w:highlight w:val="none"/>
                    </w:rPr>
                    <w:t>4</w:t>
                  </w:r>
                </w:p>
              </w:tc>
            </w:tr>
            <w:tr w14:paraId="01D9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exact"/>
                <w:jc w:val="center"/>
              </w:trPr>
              <w:tc>
                <w:tcPr>
                  <w:tcW w:w="527" w:type="pct"/>
                  <w:vMerge w:val="continue"/>
                  <w:vAlign w:val="center"/>
                </w:tcPr>
                <w:p w14:paraId="705DD6C1">
                  <w:pPr>
                    <w:jc w:val="center"/>
                    <w:rPr>
                      <w:rFonts w:cs="宋体"/>
                      <w:highlight w:val="none"/>
                    </w:rPr>
                  </w:pPr>
                </w:p>
              </w:tc>
              <w:tc>
                <w:tcPr>
                  <w:tcW w:w="504" w:type="pct"/>
                  <w:vMerge w:val="continue"/>
                  <w:vAlign w:val="center"/>
                </w:tcPr>
                <w:p w14:paraId="5B048D65">
                  <w:pPr>
                    <w:jc w:val="center"/>
                    <w:rPr>
                      <w:rFonts w:cs="宋体"/>
                      <w:highlight w:val="none"/>
                    </w:rPr>
                  </w:pPr>
                </w:p>
              </w:tc>
              <w:tc>
                <w:tcPr>
                  <w:tcW w:w="1370" w:type="pct"/>
                  <w:vAlign w:val="center"/>
                </w:tcPr>
                <w:p w14:paraId="58B136E1">
                  <w:pPr>
                    <w:jc w:val="center"/>
                    <w:rPr>
                      <w:rFonts w:cs="宋体"/>
                      <w:highlight w:val="none"/>
                    </w:rPr>
                  </w:pPr>
                  <w:r>
                    <w:rPr>
                      <w:rFonts w:hint="eastAsia" w:cs="宋体"/>
                      <w:szCs w:val="21"/>
                      <w:highlight w:val="none"/>
                    </w:rPr>
                    <w:t>计量斗</w:t>
                  </w:r>
                </w:p>
              </w:tc>
              <w:tc>
                <w:tcPr>
                  <w:tcW w:w="1457" w:type="pct"/>
                  <w:vAlign w:val="center"/>
                </w:tcPr>
                <w:p w14:paraId="219331C1">
                  <w:pPr>
                    <w:jc w:val="center"/>
                    <w:rPr>
                      <w:rFonts w:cs="宋体"/>
                      <w:highlight w:val="none"/>
                    </w:rPr>
                  </w:pPr>
                  <w:r>
                    <w:rPr>
                      <w:rFonts w:hint="eastAsia" w:cs="宋体"/>
                      <w:szCs w:val="21"/>
                      <w:highlight w:val="none"/>
                    </w:rPr>
                    <w:t>2.5m³</w:t>
                  </w:r>
                </w:p>
              </w:tc>
              <w:tc>
                <w:tcPr>
                  <w:tcW w:w="1142" w:type="pct"/>
                  <w:vAlign w:val="center"/>
                </w:tcPr>
                <w:p w14:paraId="26E86EB0">
                  <w:pPr>
                    <w:jc w:val="center"/>
                    <w:rPr>
                      <w:rFonts w:cs="宋体"/>
                      <w:highlight w:val="none"/>
                    </w:rPr>
                  </w:pPr>
                  <w:r>
                    <w:rPr>
                      <w:rFonts w:hint="eastAsia" w:cs="宋体"/>
                      <w:szCs w:val="21"/>
                      <w:highlight w:val="none"/>
                    </w:rPr>
                    <w:t>4</w:t>
                  </w:r>
                </w:p>
              </w:tc>
            </w:tr>
            <w:tr w14:paraId="47BEA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1E5B183B">
                  <w:pPr>
                    <w:jc w:val="center"/>
                    <w:rPr>
                      <w:rFonts w:cs="宋体"/>
                      <w:highlight w:val="none"/>
                    </w:rPr>
                  </w:pPr>
                </w:p>
              </w:tc>
              <w:tc>
                <w:tcPr>
                  <w:tcW w:w="504" w:type="pct"/>
                  <w:vMerge w:val="continue"/>
                  <w:vAlign w:val="center"/>
                </w:tcPr>
                <w:p w14:paraId="27BD4550">
                  <w:pPr>
                    <w:jc w:val="center"/>
                    <w:rPr>
                      <w:rFonts w:cs="宋体"/>
                      <w:highlight w:val="none"/>
                    </w:rPr>
                  </w:pPr>
                </w:p>
              </w:tc>
              <w:tc>
                <w:tcPr>
                  <w:tcW w:w="1370" w:type="pct"/>
                  <w:vAlign w:val="center"/>
                </w:tcPr>
                <w:p w14:paraId="2318C92F">
                  <w:pPr>
                    <w:jc w:val="center"/>
                    <w:rPr>
                      <w:rFonts w:cs="宋体"/>
                      <w:highlight w:val="none"/>
                    </w:rPr>
                  </w:pPr>
                  <w:r>
                    <w:rPr>
                      <w:rFonts w:hint="eastAsia" w:cs="宋体"/>
                      <w:szCs w:val="21"/>
                      <w:highlight w:val="none"/>
                    </w:rPr>
                    <w:t>称重传感器</w:t>
                  </w:r>
                </w:p>
              </w:tc>
              <w:tc>
                <w:tcPr>
                  <w:tcW w:w="1457" w:type="pct"/>
                  <w:vAlign w:val="center"/>
                </w:tcPr>
                <w:p w14:paraId="08EACF9E">
                  <w:pPr>
                    <w:jc w:val="center"/>
                    <w:rPr>
                      <w:rFonts w:cs="宋体"/>
                      <w:highlight w:val="none"/>
                    </w:rPr>
                  </w:pPr>
                  <w:r>
                    <w:rPr>
                      <w:rFonts w:hint="eastAsia" w:cs="宋体"/>
                      <w:szCs w:val="21"/>
                      <w:highlight w:val="none"/>
                    </w:rPr>
                    <w:t>2000 kg</w:t>
                  </w:r>
                </w:p>
              </w:tc>
              <w:tc>
                <w:tcPr>
                  <w:tcW w:w="1142" w:type="pct"/>
                  <w:vAlign w:val="center"/>
                </w:tcPr>
                <w:p w14:paraId="332B9513">
                  <w:pPr>
                    <w:jc w:val="center"/>
                    <w:rPr>
                      <w:rFonts w:cs="宋体"/>
                      <w:highlight w:val="none"/>
                    </w:rPr>
                  </w:pPr>
                  <w:r>
                    <w:rPr>
                      <w:rFonts w:hint="eastAsia" w:cs="宋体"/>
                      <w:szCs w:val="21"/>
                      <w:highlight w:val="none"/>
                    </w:rPr>
                    <w:t>12</w:t>
                  </w:r>
                </w:p>
              </w:tc>
            </w:tr>
            <w:tr w14:paraId="71302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77F32237">
                  <w:pPr>
                    <w:jc w:val="center"/>
                    <w:rPr>
                      <w:rFonts w:cs="宋体"/>
                      <w:highlight w:val="none"/>
                    </w:rPr>
                  </w:pPr>
                </w:p>
              </w:tc>
              <w:tc>
                <w:tcPr>
                  <w:tcW w:w="504" w:type="pct"/>
                  <w:vMerge w:val="continue"/>
                  <w:vAlign w:val="center"/>
                </w:tcPr>
                <w:p w14:paraId="45749E7A">
                  <w:pPr>
                    <w:jc w:val="center"/>
                    <w:rPr>
                      <w:rFonts w:cs="宋体"/>
                      <w:highlight w:val="none"/>
                    </w:rPr>
                  </w:pPr>
                </w:p>
              </w:tc>
              <w:tc>
                <w:tcPr>
                  <w:tcW w:w="1370" w:type="pct"/>
                  <w:vAlign w:val="center"/>
                </w:tcPr>
                <w:p w14:paraId="25F089F6">
                  <w:pPr>
                    <w:jc w:val="center"/>
                    <w:rPr>
                      <w:rFonts w:cs="宋体"/>
                      <w:highlight w:val="none"/>
                    </w:rPr>
                  </w:pPr>
                  <w:r>
                    <w:rPr>
                      <w:rFonts w:hint="eastAsia" w:cs="宋体"/>
                      <w:szCs w:val="21"/>
                      <w:highlight w:val="none"/>
                    </w:rPr>
                    <w:t>气缸</w:t>
                  </w:r>
                </w:p>
              </w:tc>
              <w:tc>
                <w:tcPr>
                  <w:tcW w:w="1457" w:type="pct"/>
                  <w:vAlign w:val="center"/>
                </w:tcPr>
                <w:p w14:paraId="17E95B77">
                  <w:pPr>
                    <w:jc w:val="center"/>
                    <w:rPr>
                      <w:rFonts w:cs="宋体"/>
                      <w:highlight w:val="none"/>
                    </w:rPr>
                  </w:pPr>
                  <w:r>
                    <w:rPr>
                      <w:rFonts w:hint="eastAsia" w:cs="宋体"/>
                      <w:szCs w:val="21"/>
                      <w:highlight w:val="none"/>
                    </w:rPr>
                    <w:t>缸径：φ100 mm</w:t>
                  </w:r>
                </w:p>
              </w:tc>
              <w:tc>
                <w:tcPr>
                  <w:tcW w:w="1142" w:type="pct"/>
                  <w:vAlign w:val="center"/>
                </w:tcPr>
                <w:p w14:paraId="6E66A770">
                  <w:pPr>
                    <w:jc w:val="center"/>
                    <w:rPr>
                      <w:rFonts w:cs="宋体"/>
                      <w:highlight w:val="none"/>
                    </w:rPr>
                  </w:pPr>
                  <w:r>
                    <w:rPr>
                      <w:rFonts w:hint="eastAsia" w:cs="宋体"/>
                      <w:szCs w:val="21"/>
                      <w:highlight w:val="none"/>
                    </w:rPr>
                    <w:t>12</w:t>
                  </w:r>
                </w:p>
              </w:tc>
            </w:tr>
            <w:tr w14:paraId="4799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5F7C64CA">
                  <w:pPr>
                    <w:jc w:val="center"/>
                    <w:rPr>
                      <w:rFonts w:cs="宋体"/>
                      <w:highlight w:val="none"/>
                    </w:rPr>
                  </w:pPr>
                </w:p>
              </w:tc>
              <w:tc>
                <w:tcPr>
                  <w:tcW w:w="504" w:type="pct"/>
                  <w:vMerge w:val="continue"/>
                  <w:vAlign w:val="center"/>
                </w:tcPr>
                <w:p w14:paraId="423387E7">
                  <w:pPr>
                    <w:jc w:val="center"/>
                    <w:rPr>
                      <w:rFonts w:cs="宋体"/>
                      <w:highlight w:val="none"/>
                    </w:rPr>
                  </w:pPr>
                </w:p>
              </w:tc>
              <w:tc>
                <w:tcPr>
                  <w:tcW w:w="1370" w:type="pct"/>
                  <w:vAlign w:val="center"/>
                </w:tcPr>
                <w:p w14:paraId="4DF17FAF">
                  <w:pPr>
                    <w:jc w:val="center"/>
                    <w:rPr>
                      <w:rFonts w:cs="宋体"/>
                      <w:highlight w:val="none"/>
                    </w:rPr>
                  </w:pPr>
                  <w:r>
                    <w:rPr>
                      <w:rFonts w:hint="eastAsia" w:cs="宋体"/>
                      <w:szCs w:val="21"/>
                      <w:highlight w:val="none"/>
                    </w:rPr>
                    <w:t>振动器</w:t>
                  </w:r>
                </w:p>
              </w:tc>
              <w:tc>
                <w:tcPr>
                  <w:tcW w:w="1457" w:type="pct"/>
                  <w:vAlign w:val="center"/>
                </w:tcPr>
                <w:p w14:paraId="44BC4373">
                  <w:pPr>
                    <w:jc w:val="center"/>
                    <w:rPr>
                      <w:rFonts w:cs="宋体"/>
                      <w:highlight w:val="none"/>
                    </w:rPr>
                  </w:pPr>
                  <w:r>
                    <w:rPr>
                      <w:rFonts w:hint="eastAsia" w:cs="宋体"/>
                      <w:szCs w:val="21"/>
                      <w:highlight w:val="none"/>
                    </w:rPr>
                    <w:t>MVE100/3</w:t>
                  </w:r>
                </w:p>
              </w:tc>
              <w:tc>
                <w:tcPr>
                  <w:tcW w:w="1142" w:type="pct"/>
                  <w:vAlign w:val="center"/>
                </w:tcPr>
                <w:p w14:paraId="05747BAE">
                  <w:pPr>
                    <w:jc w:val="center"/>
                    <w:rPr>
                      <w:rFonts w:cs="宋体"/>
                      <w:highlight w:val="none"/>
                    </w:rPr>
                  </w:pPr>
                  <w:r>
                    <w:rPr>
                      <w:rFonts w:hint="eastAsia" w:cs="宋体"/>
                      <w:szCs w:val="21"/>
                      <w:highlight w:val="none"/>
                    </w:rPr>
                    <w:t>10</w:t>
                  </w:r>
                </w:p>
              </w:tc>
            </w:tr>
            <w:tr w14:paraId="6F52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6B73C371">
                  <w:pPr>
                    <w:jc w:val="center"/>
                    <w:rPr>
                      <w:rFonts w:cs="宋体"/>
                      <w:highlight w:val="none"/>
                    </w:rPr>
                  </w:pPr>
                </w:p>
              </w:tc>
              <w:tc>
                <w:tcPr>
                  <w:tcW w:w="504" w:type="pct"/>
                  <w:vMerge w:val="continue"/>
                  <w:vAlign w:val="center"/>
                </w:tcPr>
                <w:p w14:paraId="531DA6DB">
                  <w:pPr>
                    <w:jc w:val="center"/>
                    <w:rPr>
                      <w:rFonts w:cs="宋体"/>
                      <w:highlight w:val="none"/>
                    </w:rPr>
                  </w:pPr>
                </w:p>
              </w:tc>
              <w:tc>
                <w:tcPr>
                  <w:tcW w:w="1370" w:type="pct"/>
                  <w:vAlign w:val="center"/>
                </w:tcPr>
                <w:p w14:paraId="33971379">
                  <w:pPr>
                    <w:jc w:val="center"/>
                    <w:rPr>
                      <w:rFonts w:cs="宋体"/>
                      <w:highlight w:val="none"/>
                    </w:rPr>
                  </w:pPr>
                  <w:r>
                    <w:rPr>
                      <w:rFonts w:hint="eastAsia" w:cs="宋体"/>
                      <w:szCs w:val="21"/>
                      <w:highlight w:val="none"/>
                    </w:rPr>
                    <w:t>平皮带</w:t>
                  </w:r>
                </w:p>
              </w:tc>
              <w:tc>
                <w:tcPr>
                  <w:tcW w:w="1457" w:type="pct"/>
                  <w:vAlign w:val="center"/>
                </w:tcPr>
                <w:p w14:paraId="45D2E2B9">
                  <w:pPr>
                    <w:jc w:val="center"/>
                    <w:rPr>
                      <w:rFonts w:cs="宋体"/>
                      <w:highlight w:val="none"/>
                    </w:rPr>
                  </w:pPr>
                  <w:r>
                    <w:rPr>
                      <w:rFonts w:hint="eastAsia" w:cs="宋体"/>
                      <w:szCs w:val="21"/>
                      <w:highlight w:val="none"/>
                    </w:rPr>
                    <w:t>1000 mm</w:t>
                  </w:r>
                </w:p>
              </w:tc>
              <w:tc>
                <w:tcPr>
                  <w:tcW w:w="1142" w:type="pct"/>
                  <w:vAlign w:val="center"/>
                </w:tcPr>
                <w:p w14:paraId="46509DE9">
                  <w:pPr>
                    <w:jc w:val="center"/>
                    <w:rPr>
                      <w:rFonts w:cs="宋体"/>
                      <w:highlight w:val="none"/>
                    </w:rPr>
                  </w:pPr>
                  <w:r>
                    <w:rPr>
                      <w:rFonts w:hint="eastAsia" w:cs="宋体"/>
                      <w:szCs w:val="21"/>
                      <w:highlight w:val="none"/>
                    </w:rPr>
                    <w:t>1</w:t>
                  </w:r>
                </w:p>
              </w:tc>
            </w:tr>
            <w:tr w14:paraId="1423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539EB3E0">
                  <w:pPr>
                    <w:jc w:val="center"/>
                    <w:rPr>
                      <w:rFonts w:cs="宋体"/>
                      <w:highlight w:val="none"/>
                    </w:rPr>
                  </w:pPr>
                </w:p>
              </w:tc>
              <w:tc>
                <w:tcPr>
                  <w:tcW w:w="504" w:type="pct"/>
                  <w:vMerge w:val="continue"/>
                  <w:vAlign w:val="center"/>
                </w:tcPr>
                <w:p w14:paraId="0A67791C">
                  <w:pPr>
                    <w:jc w:val="center"/>
                    <w:rPr>
                      <w:rFonts w:cs="宋体"/>
                      <w:highlight w:val="none"/>
                    </w:rPr>
                  </w:pPr>
                </w:p>
              </w:tc>
              <w:tc>
                <w:tcPr>
                  <w:tcW w:w="1370" w:type="pct"/>
                  <w:vAlign w:val="center"/>
                </w:tcPr>
                <w:p w14:paraId="3E9DEDC1">
                  <w:pPr>
                    <w:jc w:val="center"/>
                    <w:rPr>
                      <w:rFonts w:cs="宋体"/>
                      <w:highlight w:val="none"/>
                    </w:rPr>
                  </w:pPr>
                  <w:r>
                    <w:rPr>
                      <w:rFonts w:hint="eastAsia" w:cs="宋体"/>
                      <w:szCs w:val="21"/>
                      <w:highlight w:val="none"/>
                    </w:rPr>
                    <w:t>传动装置</w:t>
                  </w:r>
                </w:p>
              </w:tc>
              <w:tc>
                <w:tcPr>
                  <w:tcW w:w="1457" w:type="pct"/>
                  <w:vAlign w:val="center"/>
                </w:tcPr>
                <w:p w14:paraId="4BB6E2FF">
                  <w:pPr>
                    <w:jc w:val="center"/>
                    <w:rPr>
                      <w:rFonts w:cs="宋体"/>
                      <w:highlight w:val="none"/>
                    </w:rPr>
                  </w:pPr>
                  <w:r>
                    <w:rPr>
                      <w:rFonts w:hint="eastAsia" w:cs="宋体"/>
                      <w:szCs w:val="21"/>
                      <w:highlight w:val="none"/>
                    </w:rPr>
                    <w:t>11 kw</w:t>
                  </w:r>
                </w:p>
              </w:tc>
              <w:tc>
                <w:tcPr>
                  <w:tcW w:w="1142" w:type="pct"/>
                  <w:vAlign w:val="center"/>
                </w:tcPr>
                <w:p w14:paraId="422F4154">
                  <w:pPr>
                    <w:jc w:val="center"/>
                    <w:rPr>
                      <w:rFonts w:cs="宋体"/>
                      <w:highlight w:val="none"/>
                    </w:rPr>
                  </w:pPr>
                  <w:r>
                    <w:rPr>
                      <w:rFonts w:hint="eastAsia" w:cs="宋体"/>
                      <w:szCs w:val="21"/>
                      <w:highlight w:val="none"/>
                    </w:rPr>
                    <w:t>1</w:t>
                  </w:r>
                </w:p>
              </w:tc>
            </w:tr>
            <w:tr w14:paraId="6699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restart"/>
                  <w:vAlign w:val="center"/>
                </w:tcPr>
                <w:p w14:paraId="60F9966A">
                  <w:pPr>
                    <w:jc w:val="center"/>
                    <w:rPr>
                      <w:rFonts w:cs="宋体"/>
                      <w:highlight w:val="none"/>
                    </w:rPr>
                  </w:pPr>
                  <w:r>
                    <w:rPr>
                      <w:rFonts w:hint="eastAsia" w:cs="宋体"/>
                      <w:szCs w:val="21"/>
                      <w:highlight w:val="none"/>
                    </w:rPr>
                    <w:t>2</w:t>
                  </w:r>
                </w:p>
              </w:tc>
              <w:tc>
                <w:tcPr>
                  <w:tcW w:w="504" w:type="pct"/>
                  <w:vMerge w:val="restart"/>
                  <w:vAlign w:val="center"/>
                </w:tcPr>
                <w:p w14:paraId="620C3D44">
                  <w:pPr>
                    <w:jc w:val="center"/>
                    <w:rPr>
                      <w:rFonts w:cs="宋体"/>
                      <w:highlight w:val="none"/>
                    </w:rPr>
                  </w:pPr>
                  <w:r>
                    <w:rPr>
                      <w:rFonts w:hint="eastAsia" w:cs="宋体"/>
                      <w:szCs w:val="21"/>
                      <w:highlight w:val="none"/>
                    </w:rPr>
                    <w:t>斜皮带机</w:t>
                  </w:r>
                </w:p>
              </w:tc>
              <w:tc>
                <w:tcPr>
                  <w:tcW w:w="1370" w:type="pct"/>
                  <w:vAlign w:val="center"/>
                </w:tcPr>
                <w:p w14:paraId="0A9754F7">
                  <w:pPr>
                    <w:jc w:val="center"/>
                    <w:rPr>
                      <w:rFonts w:cs="宋体"/>
                      <w:highlight w:val="none"/>
                    </w:rPr>
                  </w:pPr>
                  <w:r>
                    <w:rPr>
                      <w:rFonts w:hint="eastAsia" w:cs="宋体"/>
                      <w:szCs w:val="21"/>
                      <w:highlight w:val="none"/>
                    </w:rPr>
                    <w:t>机架</w:t>
                  </w:r>
                </w:p>
              </w:tc>
              <w:tc>
                <w:tcPr>
                  <w:tcW w:w="1457" w:type="pct"/>
                  <w:vAlign w:val="center"/>
                </w:tcPr>
                <w:p w14:paraId="6AA3337C">
                  <w:pPr>
                    <w:jc w:val="center"/>
                    <w:rPr>
                      <w:rFonts w:hint="eastAsia" w:eastAsia="宋体" w:cs="宋体"/>
                      <w:highlight w:val="none"/>
                      <w:lang w:val="en-US" w:eastAsia="zh-CN"/>
                    </w:rPr>
                  </w:pPr>
                  <w:r>
                    <w:rPr>
                      <w:rFonts w:hint="eastAsia" w:cs="宋体"/>
                      <w:highlight w:val="none"/>
                      <w:lang w:val="en-US" w:eastAsia="zh-CN"/>
                    </w:rPr>
                    <w:t>/</w:t>
                  </w:r>
                </w:p>
              </w:tc>
              <w:tc>
                <w:tcPr>
                  <w:tcW w:w="1142" w:type="pct"/>
                  <w:vAlign w:val="center"/>
                </w:tcPr>
                <w:p w14:paraId="11FB1F40">
                  <w:pPr>
                    <w:jc w:val="center"/>
                    <w:rPr>
                      <w:rFonts w:cs="宋体"/>
                      <w:highlight w:val="none"/>
                    </w:rPr>
                  </w:pPr>
                  <w:r>
                    <w:rPr>
                      <w:rFonts w:hint="eastAsia" w:cs="宋体"/>
                      <w:szCs w:val="21"/>
                      <w:highlight w:val="none"/>
                    </w:rPr>
                    <w:t>1</w:t>
                  </w:r>
                </w:p>
              </w:tc>
            </w:tr>
            <w:tr w14:paraId="4F991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2AD350F6">
                  <w:pPr>
                    <w:jc w:val="center"/>
                    <w:rPr>
                      <w:rFonts w:cs="宋体"/>
                      <w:highlight w:val="none"/>
                    </w:rPr>
                  </w:pPr>
                </w:p>
              </w:tc>
              <w:tc>
                <w:tcPr>
                  <w:tcW w:w="504" w:type="pct"/>
                  <w:vMerge w:val="continue"/>
                  <w:vAlign w:val="center"/>
                </w:tcPr>
                <w:p w14:paraId="07D5C5B6">
                  <w:pPr>
                    <w:jc w:val="center"/>
                    <w:rPr>
                      <w:rFonts w:cs="宋体"/>
                      <w:highlight w:val="none"/>
                    </w:rPr>
                  </w:pPr>
                </w:p>
              </w:tc>
              <w:tc>
                <w:tcPr>
                  <w:tcW w:w="1370" w:type="pct"/>
                  <w:vAlign w:val="center"/>
                </w:tcPr>
                <w:p w14:paraId="2F0E9083">
                  <w:pPr>
                    <w:jc w:val="center"/>
                    <w:rPr>
                      <w:rFonts w:cs="宋体"/>
                      <w:highlight w:val="none"/>
                    </w:rPr>
                  </w:pPr>
                  <w:r>
                    <w:rPr>
                      <w:rFonts w:hint="eastAsia" w:cs="宋体"/>
                      <w:szCs w:val="21"/>
                      <w:highlight w:val="none"/>
                    </w:rPr>
                    <w:t>平皮带</w:t>
                  </w:r>
                </w:p>
              </w:tc>
              <w:tc>
                <w:tcPr>
                  <w:tcW w:w="1457" w:type="pct"/>
                  <w:vAlign w:val="center"/>
                </w:tcPr>
                <w:p w14:paraId="5CCAD0AC">
                  <w:pPr>
                    <w:jc w:val="center"/>
                    <w:rPr>
                      <w:rFonts w:cs="宋体"/>
                      <w:highlight w:val="none"/>
                    </w:rPr>
                  </w:pPr>
                  <w:r>
                    <w:rPr>
                      <w:rFonts w:hint="eastAsia" w:cs="宋体"/>
                      <w:szCs w:val="21"/>
                      <w:highlight w:val="none"/>
                    </w:rPr>
                    <w:t>1000mm</w:t>
                  </w:r>
                </w:p>
              </w:tc>
              <w:tc>
                <w:tcPr>
                  <w:tcW w:w="1142" w:type="pct"/>
                  <w:vAlign w:val="center"/>
                </w:tcPr>
                <w:p w14:paraId="6BB44394">
                  <w:pPr>
                    <w:jc w:val="center"/>
                    <w:rPr>
                      <w:rFonts w:cs="宋体"/>
                      <w:highlight w:val="none"/>
                    </w:rPr>
                  </w:pPr>
                  <w:r>
                    <w:rPr>
                      <w:rFonts w:hint="eastAsia" w:cs="宋体"/>
                      <w:szCs w:val="21"/>
                      <w:highlight w:val="none"/>
                    </w:rPr>
                    <w:t>1</w:t>
                  </w:r>
                </w:p>
              </w:tc>
            </w:tr>
            <w:tr w14:paraId="546B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3E7B6947">
                  <w:pPr>
                    <w:jc w:val="center"/>
                    <w:rPr>
                      <w:rFonts w:cs="宋体"/>
                      <w:highlight w:val="none"/>
                    </w:rPr>
                  </w:pPr>
                </w:p>
              </w:tc>
              <w:tc>
                <w:tcPr>
                  <w:tcW w:w="504" w:type="pct"/>
                  <w:vMerge w:val="continue"/>
                  <w:vAlign w:val="center"/>
                </w:tcPr>
                <w:p w14:paraId="1F82A70E">
                  <w:pPr>
                    <w:jc w:val="center"/>
                    <w:rPr>
                      <w:rFonts w:cs="宋体"/>
                      <w:highlight w:val="none"/>
                    </w:rPr>
                  </w:pPr>
                </w:p>
              </w:tc>
              <w:tc>
                <w:tcPr>
                  <w:tcW w:w="1370" w:type="pct"/>
                  <w:vAlign w:val="center"/>
                </w:tcPr>
                <w:p w14:paraId="724F8AE4">
                  <w:pPr>
                    <w:jc w:val="center"/>
                    <w:rPr>
                      <w:rFonts w:cs="宋体"/>
                      <w:highlight w:val="none"/>
                    </w:rPr>
                  </w:pPr>
                  <w:r>
                    <w:rPr>
                      <w:rFonts w:hint="eastAsia" w:cs="宋体"/>
                      <w:szCs w:val="21"/>
                      <w:highlight w:val="none"/>
                    </w:rPr>
                    <w:t>传动装置</w:t>
                  </w:r>
                </w:p>
              </w:tc>
              <w:tc>
                <w:tcPr>
                  <w:tcW w:w="1457" w:type="pct"/>
                  <w:vAlign w:val="center"/>
                </w:tcPr>
                <w:p w14:paraId="70903F9E">
                  <w:pPr>
                    <w:jc w:val="center"/>
                    <w:rPr>
                      <w:rFonts w:cs="宋体"/>
                      <w:highlight w:val="none"/>
                    </w:rPr>
                  </w:pPr>
                  <w:r>
                    <w:rPr>
                      <w:rFonts w:hint="eastAsia" w:cs="宋体"/>
                      <w:szCs w:val="21"/>
                      <w:highlight w:val="none"/>
                    </w:rPr>
                    <w:t>45kw</w:t>
                  </w:r>
                </w:p>
              </w:tc>
              <w:tc>
                <w:tcPr>
                  <w:tcW w:w="1142" w:type="pct"/>
                  <w:vAlign w:val="center"/>
                </w:tcPr>
                <w:p w14:paraId="68E574BA">
                  <w:pPr>
                    <w:jc w:val="center"/>
                    <w:rPr>
                      <w:rFonts w:cs="宋体"/>
                      <w:highlight w:val="none"/>
                    </w:rPr>
                  </w:pPr>
                  <w:r>
                    <w:rPr>
                      <w:rFonts w:hint="eastAsia" w:cs="宋体"/>
                      <w:szCs w:val="21"/>
                      <w:highlight w:val="none"/>
                    </w:rPr>
                    <w:t>1</w:t>
                  </w:r>
                </w:p>
              </w:tc>
            </w:tr>
            <w:tr w14:paraId="2527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45F13D12">
                  <w:pPr>
                    <w:jc w:val="center"/>
                    <w:rPr>
                      <w:rFonts w:cs="宋体"/>
                      <w:highlight w:val="none"/>
                    </w:rPr>
                  </w:pPr>
                </w:p>
              </w:tc>
              <w:tc>
                <w:tcPr>
                  <w:tcW w:w="504" w:type="pct"/>
                  <w:vMerge w:val="continue"/>
                  <w:vAlign w:val="center"/>
                </w:tcPr>
                <w:p w14:paraId="52C0AD5C">
                  <w:pPr>
                    <w:jc w:val="center"/>
                    <w:rPr>
                      <w:rFonts w:cs="宋体"/>
                      <w:highlight w:val="none"/>
                    </w:rPr>
                  </w:pPr>
                </w:p>
              </w:tc>
              <w:tc>
                <w:tcPr>
                  <w:tcW w:w="1370" w:type="pct"/>
                  <w:vAlign w:val="center"/>
                </w:tcPr>
                <w:p w14:paraId="44C789BF">
                  <w:pPr>
                    <w:jc w:val="center"/>
                    <w:rPr>
                      <w:rFonts w:cs="宋体"/>
                      <w:highlight w:val="none"/>
                    </w:rPr>
                  </w:pPr>
                  <w:r>
                    <w:rPr>
                      <w:rFonts w:hint="eastAsia" w:cs="宋体"/>
                      <w:szCs w:val="21"/>
                      <w:highlight w:val="none"/>
                    </w:rPr>
                    <w:t>托堒</w:t>
                  </w:r>
                </w:p>
              </w:tc>
              <w:tc>
                <w:tcPr>
                  <w:tcW w:w="1457" w:type="pct"/>
                  <w:vAlign w:val="center"/>
                </w:tcPr>
                <w:p w14:paraId="35FC50BC">
                  <w:pPr>
                    <w:jc w:val="center"/>
                    <w:rPr>
                      <w:rFonts w:cs="宋体"/>
                      <w:highlight w:val="none"/>
                    </w:rPr>
                  </w:pPr>
                  <w:r>
                    <w:rPr>
                      <w:rFonts w:hint="eastAsia" w:cs="宋体"/>
                      <w:szCs w:val="21"/>
                      <w:highlight w:val="none"/>
                    </w:rPr>
                    <w:t>φ108×1000mm</w:t>
                  </w:r>
                </w:p>
              </w:tc>
              <w:tc>
                <w:tcPr>
                  <w:tcW w:w="1142" w:type="pct"/>
                  <w:vAlign w:val="center"/>
                </w:tcPr>
                <w:p w14:paraId="2BB208CD">
                  <w:pPr>
                    <w:jc w:val="center"/>
                    <w:rPr>
                      <w:rFonts w:cs="宋体"/>
                      <w:highlight w:val="none"/>
                    </w:rPr>
                  </w:pPr>
                  <w:r>
                    <w:rPr>
                      <w:rFonts w:hint="eastAsia" w:cs="宋体"/>
                      <w:szCs w:val="21"/>
                      <w:highlight w:val="none"/>
                    </w:rPr>
                    <w:t>1套</w:t>
                  </w:r>
                </w:p>
              </w:tc>
            </w:tr>
            <w:tr w14:paraId="2B2A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Align w:val="center"/>
                </w:tcPr>
                <w:p w14:paraId="69BC3E30">
                  <w:pPr>
                    <w:jc w:val="center"/>
                    <w:rPr>
                      <w:rFonts w:cs="宋体"/>
                      <w:highlight w:val="none"/>
                    </w:rPr>
                  </w:pPr>
                  <w:r>
                    <w:rPr>
                      <w:rFonts w:hint="eastAsia" w:cs="宋体"/>
                      <w:szCs w:val="21"/>
                      <w:highlight w:val="none"/>
                    </w:rPr>
                    <w:t>3</w:t>
                  </w:r>
                </w:p>
              </w:tc>
              <w:tc>
                <w:tcPr>
                  <w:tcW w:w="504" w:type="pct"/>
                  <w:vAlign w:val="center"/>
                </w:tcPr>
                <w:p w14:paraId="75AAB696">
                  <w:pPr>
                    <w:jc w:val="center"/>
                    <w:rPr>
                      <w:rFonts w:hint="eastAsia" w:eastAsia="宋体" w:cs="宋体"/>
                      <w:highlight w:val="none"/>
                      <w:lang w:val="en-US" w:eastAsia="zh-CN"/>
                    </w:rPr>
                  </w:pPr>
                  <w:r>
                    <w:rPr>
                      <w:rFonts w:hint="eastAsia" w:cs="宋体"/>
                      <w:highlight w:val="none"/>
                      <w:lang w:val="en-US" w:eastAsia="zh-CN"/>
                    </w:rPr>
                    <w:t>/</w:t>
                  </w:r>
                </w:p>
              </w:tc>
              <w:tc>
                <w:tcPr>
                  <w:tcW w:w="1370" w:type="pct"/>
                  <w:vAlign w:val="center"/>
                </w:tcPr>
                <w:p w14:paraId="312BA210">
                  <w:pPr>
                    <w:jc w:val="center"/>
                    <w:rPr>
                      <w:rFonts w:cs="宋体"/>
                      <w:highlight w:val="none"/>
                    </w:rPr>
                  </w:pPr>
                  <w:r>
                    <w:rPr>
                      <w:rFonts w:hint="eastAsia" w:cs="宋体"/>
                      <w:szCs w:val="21"/>
                      <w:highlight w:val="none"/>
                    </w:rPr>
                    <w:t>搅拌机</w:t>
                  </w:r>
                </w:p>
              </w:tc>
              <w:tc>
                <w:tcPr>
                  <w:tcW w:w="1457" w:type="pct"/>
                  <w:vAlign w:val="center"/>
                </w:tcPr>
                <w:p w14:paraId="71F5062B">
                  <w:pPr>
                    <w:jc w:val="center"/>
                    <w:rPr>
                      <w:rFonts w:cs="宋体"/>
                      <w:highlight w:val="none"/>
                    </w:rPr>
                  </w:pPr>
                  <w:r>
                    <w:rPr>
                      <w:rFonts w:hint="eastAsia" w:cs="宋体"/>
                      <w:szCs w:val="21"/>
                      <w:highlight w:val="none"/>
                    </w:rPr>
                    <w:t>公称容积：3</w:t>
                  </w:r>
                  <w:r>
                    <w:rPr>
                      <w:rFonts w:hint="eastAsia" w:cs="宋体"/>
                      <w:szCs w:val="21"/>
                      <w:highlight w:val="none"/>
                      <w:lang w:val="en-US" w:eastAsia="zh-CN"/>
                    </w:rPr>
                    <w:t>m</w:t>
                  </w:r>
                  <w:r>
                    <w:rPr>
                      <w:rFonts w:hint="eastAsia" w:cs="宋体"/>
                      <w:szCs w:val="21"/>
                      <w:highlight w:val="none"/>
                      <w:vertAlign w:val="superscript"/>
                    </w:rPr>
                    <w:t>3</w:t>
                  </w:r>
                </w:p>
              </w:tc>
              <w:tc>
                <w:tcPr>
                  <w:tcW w:w="1142" w:type="pct"/>
                  <w:vAlign w:val="center"/>
                </w:tcPr>
                <w:p w14:paraId="5FFA8EF7">
                  <w:pPr>
                    <w:jc w:val="center"/>
                    <w:rPr>
                      <w:rFonts w:cs="宋体"/>
                      <w:highlight w:val="none"/>
                    </w:rPr>
                  </w:pPr>
                  <w:r>
                    <w:rPr>
                      <w:rFonts w:hint="eastAsia" w:cs="宋体"/>
                      <w:szCs w:val="21"/>
                      <w:highlight w:val="none"/>
                    </w:rPr>
                    <w:t>1</w:t>
                  </w:r>
                </w:p>
              </w:tc>
            </w:tr>
            <w:tr w14:paraId="30F3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restart"/>
                  <w:vAlign w:val="center"/>
                </w:tcPr>
                <w:p w14:paraId="658BC022">
                  <w:pPr>
                    <w:jc w:val="center"/>
                    <w:rPr>
                      <w:rFonts w:cs="宋体"/>
                      <w:highlight w:val="none"/>
                    </w:rPr>
                  </w:pPr>
                  <w:r>
                    <w:rPr>
                      <w:rFonts w:hint="eastAsia" w:cs="宋体"/>
                      <w:szCs w:val="21"/>
                      <w:highlight w:val="none"/>
                    </w:rPr>
                    <w:t>4</w:t>
                  </w:r>
                </w:p>
              </w:tc>
              <w:tc>
                <w:tcPr>
                  <w:tcW w:w="504" w:type="pct"/>
                  <w:vMerge w:val="restart"/>
                  <w:vAlign w:val="center"/>
                </w:tcPr>
                <w:p w14:paraId="3D56B6E9">
                  <w:pPr>
                    <w:jc w:val="center"/>
                    <w:rPr>
                      <w:rFonts w:cs="宋体"/>
                      <w:highlight w:val="none"/>
                    </w:rPr>
                  </w:pPr>
                  <w:r>
                    <w:rPr>
                      <w:rFonts w:hint="eastAsia" w:cs="宋体"/>
                      <w:szCs w:val="21"/>
                      <w:highlight w:val="none"/>
                    </w:rPr>
                    <w:t>水泥计量</w:t>
                  </w:r>
                </w:p>
              </w:tc>
              <w:tc>
                <w:tcPr>
                  <w:tcW w:w="1370" w:type="pct"/>
                  <w:vAlign w:val="center"/>
                </w:tcPr>
                <w:p w14:paraId="42B3EB53">
                  <w:pPr>
                    <w:jc w:val="center"/>
                    <w:rPr>
                      <w:rFonts w:cs="宋体"/>
                      <w:highlight w:val="none"/>
                    </w:rPr>
                  </w:pPr>
                  <w:r>
                    <w:rPr>
                      <w:rFonts w:hint="eastAsia" w:cs="宋体"/>
                      <w:szCs w:val="21"/>
                      <w:highlight w:val="none"/>
                    </w:rPr>
                    <w:t>计量斗</w:t>
                  </w:r>
                </w:p>
              </w:tc>
              <w:tc>
                <w:tcPr>
                  <w:tcW w:w="1457" w:type="pct"/>
                  <w:vAlign w:val="center"/>
                </w:tcPr>
                <w:p w14:paraId="0B57B176">
                  <w:pPr>
                    <w:jc w:val="center"/>
                    <w:rPr>
                      <w:rFonts w:cs="宋体"/>
                      <w:highlight w:val="none"/>
                    </w:rPr>
                  </w:pPr>
                  <w:r>
                    <w:rPr>
                      <w:rFonts w:hint="eastAsia" w:cs="宋体"/>
                      <w:szCs w:val="21"/>
                      <w:highlight w:val="none"/>
                    </w:rPr>
                    <w:t xml:space="preserve">1.5 </w:t>
                  </w:r>
                  <w:r>
                    <w:rPr>
                      <w:rFonts w:hint="eastAsia" w:cs="宋体"/>
                      <w:szCs w:val="21"/>
                      <w:highlight w:val="none"/>
                      <w:lang w:val="en-US" w:eastAsia="zh-CN"/>
                    </w:rPr>
                    <w:t>m</w:t>
                  </w:r>
                  <w:r>
                    <w:rPr>
                      <w:rFonts w:hint="eastAsia" w:cs="宋体"/>
                      <w:szCs w:val="21"/>
                      <w:highlight w:val="none"/>
                      <w:vertAlign w:val="superscript"/>
                    </w:rPr>
                    <w:t>3</w:t>
                  </w:r>
                </w:p>
              </w:tc>
              <w:tc>
                <w:tcPr>
                  <w:tcW w:w="1142" w:type="pct"/>
                  <w:vAlign w:val="center"/>
                </w:tcPr>
                <w:p w14:paraId="3E3FBB55">
                  <w:pPr>
                    <w:jc w:val="center"/>
                    <w:rPr>
                      <w:rFonts w:cs="宋体"/>
                      <w:highlight w:val="none"/>
                    </w:rPr>
                  </w:pPr>
                  <w:r>
                    <w:rPr>
                      <w:rFonts w:hint="eastAsia" w:cs="宋体"/>
                      <w:szCs w:val="21"/>
                      <w:highlight w:val="none"/>
                    </w:rPr>
                    <w:t>1</w:t>
                  </w:r>
                </w:p>
              </w:tc>
            </w:tr>
            <w:tr w14:paraId="6F7A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03A288C4">
                  <w:pPr>
                    <w:jc w:val="center"/>
                    <w:rPr>
                      <w:rFonts w:cs="宋体"/>
                      <w:highlight w:val="none"/>
                    </w:rPr>
                  </w:pPr>
                </w:p>
              </w:tc>
              <w:tc>
                <w:tcPr>
                  <w:tcW w:w="504" w:type="pct"/>
                  <w:vMerge w:val="continue"/>
                  <w:vAlign w:val="center"/>
                </w:tcPr>
                <w:p w14:paraId="0D657896">
                  <w:pPr>
                    <w:jc w:val="center"/>
                    <w:rPr>
                      <w:rFonts w:cs="宋体"/>
                      <w:highlight w:val="none"/>
                    </w:rPr>
                  </w:pPr>
                </w:p>
              </w:tc>
              <w:tc>
                <w:tcPr>
                  <w:tcW w:w="1370" w:type="pct"/>
                  <w:vAlign w:val="center"/>
                </w:tcPr>
                <w:p w14:paraId="08CFBA82">
                  <w:pPr>
                    <w:jc w:val="center"/>
                    <w:rPr>
                      <w:rFonts w:cs="宋体"/>
                      <w:highlight w:val="none"/>
                    </w:rPr>
                  </w:pPr>
                  <w:r>
                    <w:rPr>
                      <w:rFonts w:hint="eastAsia" w:cs="宋体"/>
                      <w:szCs w:val="21"/>
                      <w:highlight w:val="none"/>
                    </w:rPr>
                    <w:t>称重传感器</w:t>
                  </w:r>
                </w:p>
              </w:tc>
              <w:tc>
                <w:tcPr>
                  <w:tcW w:w="1457" w:type="pct"/>
                  <w:vAlign w:val="center"/>
                </w:tcPr>
                <w:p w14:paraId="2432C08E">
                  <w:pPr>
                    <w:jc w:val="center"/>
                    <w:rPr>
                      <w:rFonts w:cs="宋体"/>
                      <w:highlight w:val="none"/>
                    </w:rPr>
                  </w:pPr>
                  <w:r>
                    <w:rPr>
                      <w:rFonts w:hint="eastAsia" w:cs="宋体"/>
                      <w:szCs w:val="21"/>
                      <w:highlight w:val="none"/>
                    </w:rPr>
                    <w:t>1000 kg</w:t>
                  </w:r>
                </w:p>
              </w:tc>
              <w:tc>
                <w:tcPr>
                  <w:tcW w:w="1142" w:type="pct"/>
                  <w:vAlign w:val="center"/>
                </w:tcPr>
                <w:p w14:paraId="4A11CB52">
                  <w:pPr>
                    <w:jc w:val="center"/>
                    <w:rPr>
                      <w:rFonts w:cs="宋体"/>
                      <w:highlight w:val="none"/>
                    </w:rPr>
                  </w:pPr>
                  <w:r>
                    <w:rPr>
                      <w:rFonts w:hint="eastAsia" w:cs="宋体"/>
                      <w:szCs w:val="21"/>
                      <w:highlight w:val="none"/>
                    </w:rPr>
                    <w:t>3</w:t>
                  </w:r>
                </w:p>
              </w:tc>
            </w:tr>
            <w:tr w14:paraId="733E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5C8A5EE9">
                  <w:pPr>
                    <w:jc w:val="center"/>
                    <w:rPr>
                      <w:rFonts w:cs="宋体"/>
                      <w:highlight w:val="none"/>
                    </w:rPr>
                  </w:pPr>
                </w:p>
              </w:tc>
              <w:tc>
                <w:tcPr>
                  <w:tcW w:w="504" w:type="pct"/>
                  <w:vMerge w:val="continue"/>
                  <w:vAlign w:val="center"/>
                </w:tcPr>
                <w:p w14:paraId="436805E8">
                  <w:pPr>
                    <w:jc w:val="center"/>
                    <w:rPr>
                      <w:rFonts w:cs="宋体"/>
                      <w:highlight w:val="none"/>
                    </w:rPr>
                  </w:pPr>
                </w:p>
              </w:tc>
              <w:tc>
                <w:tcPr>
                  <w:tcW w:w="1370" w:type="pct"/>
                  <w:vAlign w:val="center"/>
                </w:tcPr>
                <w:p w14:paraId="08B77964">
                  <w:pPr>
                    <w:jc w:val="center"/>
                    <w:rPr>
                      <w:rFonts w:cs="宋体"/>
                      <w:highlight w:val="none"/>
                    </w:rPr>
                  </w:pPr>
                  <w:r>
                    <w:rPr>
                      <w:rFonts w:hint="eastAsia" w:cs="宋体"/>
                      <w:szCs w:val="21"/>
                      <w:highlight w:val="none"/>
                    </w:rPr>
                    <w:t>气动球型振动器</w:t>
                  </w:r>
                </w:p>
              </w:tc>
              <w:tc>
                <w:tcPr>
                  <w:tcW w:w="1457" w:type="pct"/>
                  <w:vAlign w:val="center"/>
                </w:tcPr>
                <w:p w14:paraId="01B89838">
                  <w:pPr>
                    <w:jc w:val="center"/>
                    <w:rPr>
                      <w:rFonts w:cs="宋体"/>
                      <w:highlight w:val="none"/>
                    </w:rPr>
                  </w:pPr>
                  <w:r>
                    <w:rPr>
                      <w:rFonts w:hint="eastAsia" w:cs="宋体"/>
                      <w:szCs w:val="21"/>
                      <w:highlight w:val="none"/>
                    </w:rPr>
                    <w:t>S10</w:t>
                  </w:r>
                </w:p>
              </w:tc>
              <w:tc>
                <w:tcPr>
                  <w:tcW w:w="1142" w:type="pct"/>
                  <w:vAlign w:val="center"/>
                </w:tcPr>
                <w:p w14:paraId="21B45A3D">
                  <w:pPr>
                    <w:jc w:val="center"/>
                    <w:rPr>
                      <w:rFonts w:cs="宋体"/>
                      <w:highlight w:val="none"/>
                    </w:rPr>
                  </w:pPr>
                  <w:r>
                    <w:rPr>
                      <w:rFonts w:hint="eastAsia" w:cs="宋体"/>
                      <w:szCs w:val="21"/>
                      <w:highlight w:val="none"/>
                    </w:rPr>
                    <w:t>1套</w:t>
                  </w:r>
                </w:p>
              </w:tc>
            </w:tr>
            <w:tr w14:paraId="4D04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4D06DF2F">
                  <w:pPr>
                    <w:jc w:val="center"/>
                    <w:rPr>
                      <w:rFonts w:cs="宋体"/>
                      <w:highlight w:val="none"/>
                    </w:rPr>
                  </w:pPr>
                </w:p>
              </w:tc>
              <w:tc>
                <w:tcPr>
                  <w:tcW w:w="504" w:type="pct"/>
                  <w:vMerge w:val="continue"/>
                  <w:vAlign w:val="center"/>
                </w:tcPr>
                <w:p w14:paraId="1BACE405">
                  <w:pPr>
                    <w:jc w:val="center"/>
                    <w:rPr>
                      <w:rFonts w:cs="宋体"/>
                      <w:highlight w:val="none"/>
                    </w:rPr>
                  </w:pPr>
                </w:p>
              </w:tc>
              <w:tc>
                <w:tcPr>
                  <w:tcW w:w="1370" w:type="pct"/>
                  <w:vAlign w:val="center"/>
                </w:tcPr>
                <w:p w14:paraId="52B45467">
                  <w:pPr>
                    <w:jc w:val="center"/>
                    <w:rPr>
                      <w:rFonts w:cs="宋体"/>
                      <w:highlight w:val="none"/>
                    </w:rPr>
                  </w:pPr>
                  <w:r>
                    <w:rPr>
                      <w:rFonts w:hint="eastAsia" w:cs="宋体"/>
                      <w:szCs w:val="21"/>
                      <w:highlight w:val="none"/>
                    </w:rPr>
                    <w:t>气动蝶阀</w:t>
                  </w:r>
                </w:p>
              </w:tc>
              <w:tc>
                <w:tcPr>
                  <w:tcW w:w="1457" w:type="pct"/>
                  <w:vAlign w:val="center"/>
                </w:tcPr>
                <w:p w14:paraId="6B16E349">
                  <w:pPr>
                    <w:jc w:val="center"/>
                    <w:rPr>
                      <w:rFonts w:cs="宋体"/>
                      <w:highlight w:val="none"/>
                    </w:rPr>
                  </w:pPr>
                  <w:r>
                    <w:rPr>
                      <w:rFonts w:hint="eastAsia" w:cs="宋体"/>
                      <w:szCs w:val="21"/>
                      <w:highlight w:val="none"/>
                    </w:rPr>
                    <w:t>公称直径：φ300 mm</w:t>
                  </w:r>
                </w:p>
              </w:tc>
              <w:tc>
                <w:tcPr>
                  <w:tcW w:w="1142" w:type="pct"/>
                  <w:vAlign w:val="center"/>
                </w:tcPr>
                <w:p w14:paraId="681A48A0">
                  <w:pPr>
                    <w:jc w:val="center"/>
                    <w:rPr>
                      <w:rFonts w:cs="宋体"/>
                      <w:highlight w:val="none"/>
                    </w:rPr>
                  </w:pPr>
                  <w:r>
                    <w:rPr>
                      <w:rFonts w:hint="eastAsia" w:cs="宋体"/>
                      <w:szCs w:val="21"/>
                      <w:highlight w:val="none"/>
                    </w:rPr>
                    <w:t>1</w:t>
                  </w:r>
                </w:p>
              </w:tc>
            </w:tr>
            <w:tr w14:paraId="23F6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restart"/>
                  <w:vAlign w:val="center"/>
                </w:tcPr>
                <w:p w14:paraId="3CF1611A">
                  <w:pPr>
                    <w:jc w:val="center"/>
                    <w:rPr>
                      <w:rFonts w:cs="宋体"/>
                      <w:highlight w:val="none"/>
                    </w:rPr>
                  </w:pPr>
                  <w:r>
                    <w:rPr>
                      <w:rFonts w:hint="eastAsia" w:cs="宋体"/>
                      <w:szCs w:val="21"/>
                      <w:highlight w:val="none"/>
                    </w:rPr>
                    <w:t>5</w:t>
                  </w:r>
                </w:p>
              </w:tc>
              <w:tc>
                <w:tcPr>
                  <w:tcW w:w="504" w:type="pct"/>
                  <w:vMerge w:val="restart"/>
                  <w:vAlign w:val="center"/>
                </w:tcPr>
                <w:p w14:paraId="1326F937">
                  <w:pPr>
                    <w:jc w:val="center"/>
                    <w:rPr>
                      <w:rFonts w:cs="宋体"/>
                      <w:highlight w:val="none"/>
                    </w:rPr>
                  </w:pPr>
                  <w:r>
                    <w:rPr>
                      <w:rFonts w:hint="eastAsia" w:cs="宋体"/>
                      <w:szCs w:val="21"/>
                      <w:highlight w:val="none"/>
                      <w:lang w:val="en-US" w:eastAsia="zh-CN"/>
                    </w:rPr>
                    <w:t>矿粉、硅粉</w:t>
                  </w:r>
                  <w:r>
                    <w:rPr>
                      <w:rFonts w:hint="eastAsia" w:cs="宋体"/>
                      <w:szCs w:val="21"/>
                      <w:highlight w:val="none"/>
                    </w:rPr>
                    <w:t>计量</w:t>
                  </w:r>
                </w:p>
              </w:tc>
              <w:tc>
                <w:tcPr>
                  <w:tcW w:w="1370" w:type="pct"/>
                  <w:vAlign w:val="center"/>
                </w:tcPr>
                <w:p w14:paraId="5933737E">
                  <w:pPr>
                    <w:jc w:val="center"/>
                    <w:rPr>
                      <w:rFonts w:cs="宋体"/>
                      <w:highlight w:val="none"/>
                    </w:rPr>
                  </w:pPr>
                  <w:r>
                    <w:rPr>
                      <w:rFonts w:hint="eastAsia" w:cs="宋体"/>
                      <w:szCs w:val="21"/>
                      <w:highlight w:val="none"/>
                    </w:rPr>
                    <w:t>计量斗</w:t>
                  </w:r>
                </w:p>
              </w:tc>
              <w:tc>
                <w:tcPr>
                  <w:tcW w:w="1457" w:type="pct"/>
                  <w:vAlign w:val="center"/>
                </w:tcPr>
                <w:p w14:paraId="25E291AD">
                  <w:pPr>
                    <w:jc w:val="center"/>
                    <w:rPr>
                      <w:rFonts w:cs="宋体"/>
                      <w:highlight w:val="none"/>
                    </w:rPr>
                  </w:pPr>
                  <w:r>
                    <w:rPr>
                      <w:rFonts w:hint="eastAsia" w:cs="宋体"/>
                      <w:szCs w:val="21"/>
                      <w:highlight w:val="none"/>
                    </w:rPr>
                    <w:t xml:space="preserve">1.0 </w:t>
                  </w:r>
                  <w:r>
                    <w:rPr>
                      <w:rFonts w:hint="eastAsia" w:cs="宋体"/>
                      <w:szCs w:val="21"/>
                      <w:highlight w:val="none"/>
                      <w:lang w:val="en-US" w:eastAsia="zh-CN"/>
                    </w:rPr>
                    <w:t>m</w:t>
                  </w:r>
                  <w:r>
                    <w:rPr>
                      <w:rFonts w:hint="eastAsia" w:cs="宋体"/>
                      <w:szCs w:val="21"/>
                      <w:highlight w:val="none"/>
                      <w:vertAlign w:val="superscript"/>
                    </w:rPr>
                    <w:t>3</w:t>
                  </w:r>
                </w:p>
              </w:tc>
              <w:tc>
                <w:tcPr>
                  <w:tcW w:w="1142" w:type="pct"/>
                  <w:vAlign w:val="center"/>
                </w:tcPr>
                <w:p w14:paraId="7FFB58B5">
                  <w:pPr>
                    <w:jc w:val="center"/>
                    <w:rPr>
                      <w:rFonts w:hint="eastAsia" w:eastAsia="宋体" w:cs="宋体"/>
                      <w:highlight w:val="none"/>
                      <w:lang w:eastAsia="zh-CN"/>
                    </w:rPr>
                  </w:pPr>
                  <w:r>
                    <w:rPr>
                      <w:rFonts w:hint="eastAsia" w:cs="宋体"/>
                      <w:szCs w:val="21"/>
                      <w:highlight w:val="none"/>
                      <w:lang w:val="en-US" w:eastAsia="zh-CN"/>
                    </w:rPr>
                    <w:t>2</w:t>
                  </w:r>
                </w:p>
              </w:tc>
            </w:tr>
            <w:tr w14:paraId="0E2E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3F3CF4C9">
                  <w:pPr>
                    <w:jc w:val="center"/>
                    <w:rPr>
                      <w:rFonts w:cs="宋体"/>
                      <w:highlight w:val="none"/>
                    </w:rPr>
                  </w:pPr>
                </w:p>
              </w:tc>
              <w:tc>
                <w:tcPr>
                  <w:tcW w:w="504" w:type="pct"/>
                  <w:vMerge w:val="continue"/>
                  <w:vAlign w:val="center"/>
                </w:tcPr>
                <w:p w14:paraId="20878855">
                  <w:pPr>
                    <w:jc w:val="center"/>
                    <w:rPr>
                      <w:rFonts w:cs="宋体"/>
                      <w:highlight w:val="none"/>
                    </w:rPr>
                  </w:pPr>
                </w:p>
              </w:tc>
              <w:tc>
                <w:tcPr>
                  <w:tcW w:w="1370" w:type="pct"/>
                  <w:vAlign w:val="center"/>
                </w:tcPr>
                <w:p w14:paraId="0A85D908">
                  <w:pPr>
                    <w:jc w:val="center"/>
                    <w:rPr>
                      <w:rFonts w:cs="宋体"/>
                      <w:highlight w:val="none"/>
                    </w:rPr>
                  </w:pPr>
                  <w:r>
                    <w:rPr>
                      <w:rFonts w:hint="eastAsia" w:cs="宋体"/>
                      <w:szCs w:val="21"/>
                      <w:highlight w:val="none"/>
                    </w:rPr>
                    <w:t>称重传感器</w:t>
                  </w:r>
                </w:p>
              </w:tc>
              <w:tc>
                <w:tcPr>
                  <w:tcW w:w="1457" w:type="pct"/>
                  <w:vAlign w:val="center"/>
                </w:tcPr>
                <w:p w14:paraId="4BE3CB91">
                  <w:pPr>
                    <w:jc w:val="center"/>
                    <w:rPr>
                      <w:rFonts w:cs="宋体"/>
                      <w:highlight w:val="none"/>
                    </w:rPr>
                  </w:pPr>
                  <w:r>
                    <w:rPr>
                      <w:rFonts w:hint="eastAsia" w:cs="宋体"/>
                      <w:szCs w:val="21"/>
                      <w:highlight w:val="none"/>
                    </w:rPr>
                    <w:t>500kg</w:t>
                  </w:r>
                </w:p>
              </w:tc>
              <w:tc>
                <w:tcPr>
                  <w:tcW w:w="1142" w:type="pct"/>
                  <w:vAlign w:val="center"/>
                </w:tcPr>
                <w:p w14:paraId="7D055456">
                  <w:pPr>
                    <w:jc w:val="center"/>
                    <w:rPr>
                      <w:rFonts w:hint="eastAsia" w:eastAsia="宋体" w:cs="宋体"/>
                      <w:highlight w:val="none"/>
                      <w:lang w:eastAsia="zh-CN"/>
                    </w:rPr>
                  </w:pPr>
                  <w:r>
                    <w:rPr>
                      <w:rFonts w:hint="eastAsia" w:cs="宋体"/>
                      <w:szCs w:val="21"/>
                      <w:highlight w:val="none"/>
                      <w:lang w:val="en-US" w:eastAsia="zh-CN"/>
                    </w:rPr>
                    <w:t>6</w:t>
                  </w:r>
                </w:p>
              </w:tc>
            </w:tr>
            <w:tr w14:paraId="44C2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1A9D4F48">
                  <w:pPr>
                    <w:jc w:val="center"/>
                    <w:rPr>
                      <w:rFonts w:cs="宋体"/>
                      <w:highlight w:val="none"/>
                    </w:rPr>
                  </w:pPr>
                </w:p>
              </w:tc>
              <w:tc>
                <w:tcPr>
                  <w:tcW w:w="504" w:type="pct"/>
                  <w:vMerge w:val="continue"/>
                  <w:vAlign w:val="center"/>
                </w:tcPr>
                <w:p w14:paraId="1FF7446A">
                  <w:pPr>
                    <w:jc w:val="center"/>
                    <w:rPr>
                      <w:rFonts w:cs="宋体"/>
                      <w:highlight w:val="none"/>
                    </w:rPr>
                  </w:pPr>
                </w:p>
              </w:tc>
              <w:tc>
                <w:tcPr>
                  <w:tcW w:w="1370" w:type="pct"/>
                  <w:vAlign w:val="center"/>
                </w:tcPr>
                <w:p w14:paraId="6C086661">
                  <w:pPr>
                    <w:jc w:val="center"/>
                    <w:rPr>
                      <w:rFonts w:cs="宋体"/>
                      <w:highlight w:val="none"/>
                    </w:rPr>
                  </w:pPr>
                  <w:r>
                    <w:rPr>
                      <w:rFonts w:hint="eastAsia" w:cs="宋体"/>
                      <w:szCs w:val="21"/>
                      <w:highlight w:val="none"/>
                    </w:rPr>
                    <w:t>气动蝶阀</w:t>
                  </w:r>
                </w:p>
              </w:tc>
              <w:tc>
                <w:tcPr>
                  <w:tcW w:w="1457" w:type="pct"/>
                  <w:vAlign w:val="center"/>
                </w:tcPr>
                <w:p w14:paraId="194C8935">
                  <w:pPr>
                    <w:jc w:val="center"/>
                    <w:rPr>
                      <w:rFonts w:cs="宋体"/>
                      <w:highlight w:val="none"/>
                    </w:rPr>
                  </w:pPr>
                  <w:r>
                    <w:rPr>
                      <w:rFonts w:hint="eastAsia" w:cs="宋体"/>
                      <w:szCs w:val="21"/>
                      <w:highlight w:val="none"/>
                    </w:rPr>
                    <w:t>公称直径：φ250 mm</w:t>
                  </w:r>
                </w:p>
              </w:tc>
              <w:tc>
                <w:tcPr>
                  <w:tcW w:w="1142" w:type="pct"/>
                  <w:vAlign w:val="center"/>
                </w:tcPr>
                <w:p w14:paraId="2838745F">
                  <w:pPr>
                    <w:jc w:val="center"/>
                    <w:rPr>
                      <w:rFonts w:hint="eastAsia" w:eastAsia="宋体" w:cs="宋体"/>
                      <w:highlight w:val="none"/>
                      <w:lang w:eastAsia="zh-CN"/>
                    </w:rPr>
                  </w:pPr>
                  <w:r>
                    <w:rPr>
                      <w:rFonts w:hint="eastAsia" w:cs="宋体"/>
                      <w:szCs w:val="21"/>
                      <w:highlight w:val="none"/>
                      <w:lang w:val="en-US" w:eastAsia="zh-CN"/>
                    </w:rPr>
                    <w:t>2</w:t>
                  </w:r>
                </w:p>
              </w:tc>
            </w:tr>
            <w:tr w14:paraId="3892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6F56E10B">
                  <w:pPr>
                    <w:jc w:val="center"/>
                    <w:rPr>
                      <w:rFonts w:cs="宋体"/>
                      <w:highlight w:val="none"/>
                    </w:rPr>
                  </w:pPr>
                </w:p>
              </w:tc>
              <w:tc>
                <w:tcPr>
                  <w:tcW w:w="504" w:type="pct"/>
                  <w:vMerge w:val="continue"/>
                  <w:vAlign w:val="center"/>
                </w:tcPr>
                <w:p w14:paraId="730453C3">
                  <w:pPr>
                    <w:jc w:val="center"/>
                    <w:rPr>
                      <w:rFonts w:cs="宋体"/>
                      <w:highlight w:val="none"/>
                    </w:rPr>
                  </w:pPr>
                </w:p>
              </w:tc>
              <w:tc>
                <w:tcPr>
                  <w:tcW w:w="1370" w:type="pct"/>
                  <w:vAlign w:val="center"/>
                </w:tcPr>
                <w:p w14:paraId="080E47EB">
                  <w:pPr>
                    <w:jc w:val="center"/>
                    <w:rPr>
                      <w:rFonts w:cs="宋体"/>
                      <w:highlight w:val="none"/>
                    </w:rPr>
                  </w:pPr>
                  <w:r>
                    <w:rPr>
                      <w:rFonts w:hint="eastAsia" w:cs="宋体"/>
                      <w:szCs w:val="21"/>
                      <w:highlight w:val="none"/>
                    </w:rPr>
                    <w:t>气动球型振动器</w:t>
                  </w:r>
                </w:p>
              </w:tc>
              <w:tc>
                <w:tcPr>
                  <w:tcW w:w="1457" w:type="pct"/>
                  <w:vAlign w:val="center"/>
                </w:tcPr>
                <w:p w14:paraId="26E9C163">
                  <w:pPr>
                    <w:jc w:val="center"/>
                    <w:rPr>
                      <w:rFonts w:cs="宋体"/>
                      <w:highlight w:val="none"/>
                    </w:rPr>
                  </w:pPr>
                  <w:r>
                    <w:rPr>
                      <w:rFonts w:hint="eastAsia" w:cs="宋体"/>
                      <w:szCs w:val="21"/>
                      <w:highlight w:val="none"/>
                    </w:rPr>
                    <w:t>S10</w:t>
                  </w:r>
                </w:p>
              </w:tc>
              <w:tc>
                <w:tcPr>
                  <w:tcW w:w="1142" w:type="pct"/>
                  <w:vAlign w:val="center"/>
                </w:tcPr>
                <w:p w14:paraId="70ACC396">
                  <w:pPr>
                    <w:jc w:val="center"/>
                    <w:rPr>
                      <w:rFonts w:cs="宋体"/>
                      <w:highlight w:val="none"/>
                    </w:rPr>
                  </w:pPr>
                  <w:r>
                    <w:rPr>
                      <w:rFonts w:hint="eastAsia" w:cs="宋体"/>
                      <w:szCs w:val="21"/>
                      <w:highlight w:val="none"/>
                      <w:lang w:val="en-US" w:eastAsia="zh-CN"/>
                    </w:rPr>
                    <w:t>2</w:t>
                  </w:r>
                  <w:r>
                    <w:rPr>
                      <w:rFonts w:hint="eastAsia" w:cs="宋体"/>
                      <w:szCs w:val="21"/>
                      <w:highlight w:val="none"/>
                    </w:rPr>
                    <w:t>套</w:t>
                  </w:r>
                </w:p>
              </w:tc>
            </w:tr>
            <w:tr w14:paraId="28DD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restart"/>
                  <w:vAlign w:val="center"/>
                </w:tcPr>
                <w:p w14:paraId="05C8ECBD">
                  <w:pPr>
                    <w:jc w:val="center"/>
                    <w:rPr>
                      <w:rFonts w:cs="宋体"/>
                      <w:highlight w:val="none"/>
                    </w:rPr>
                  </w:pPr>
                  <w:r>
                    <w:rPr>
                      <w:rFonts w:hint="eastAsia" w:cs="宋体"/>
                      <w:szCs w:val="21"/>
                      <w:highlight w:val="none"/>
                    </w:rPr>
                    <w:t>6</w:t>
                  </w:r>
                </w:p>
              </w:tc>
              <w:tc>
                <w:tcPr>
                  <w:tcW w:w="504" w:type="pct"/>
                  <w:vMerge w:val="restart"/>
                  <w:vAlign w:val="center"/>
                </w:tcPr>
                <w:p w14:paraId="082EB9AC">
                  <w:pPr>
                    <w:jc w:val="center"/>
                    <w:rPr>
                      <w:rFonts w:cs="宋体"/>
                      <w:highlight w:val="none"/>
                    </w:rPr>
                  </w:pPr>
                  <w:r>
                    <w:rPr>
                      <w:rFonts w:hint="eastAsia" w:cs="宋体"/>
                      <w:szCs w:val="21"/>
                      <w:highlight w:val="none"/>
                    </w:rPr>
                    <w:t>水计量及供水系统</w:t>
                  </w:r>
                </w:p>
              </w:tc>
              <w:tc>
                <w:tcPr>
                  <w:tcW w:w="1370" w:type="pct"/>
                  <w:vAlign w:val="center"/>
                </w:tcPr>
                <w:p w14:paraId="0395B901">
                  <w:pPr>
                    <w:jc w:val="center"/>
                    <w:rPr>
                      <w:rFonts w:cs="宋体"/>
                      <w:highlight w:val="none"/>
                    </w:rPr>
                  </w:pPr>
                  <w:r>
                    <w:rPr>
                      <w:rFonts w:hint="eastAsia" w:cs="宋体"/>
                      <w:szCs w:val="21"/>
                      <w:highlight w:val="none"/>
                    </w:rPr>
                    <w:t>计量斗</w:t>
                  </w:r>
                </w:p>
              </w:tc>
              <w:tc>
                <w:tcPr>
                  <w:tcW w:w="1457" w:type="pct"/>
                  <w:vAlign w:val="center"/>
                </w:tcPr>
                <w:p w14:paraId="21E713B6">
                  <w:pPr>
                    <w:jc w:val="center"/>
                    <w:rPr>
                      <w:rFonts w:cs="宋体"/>
                      <w:highlight w:val="none"/>
                    </w:rPr>
                  </w:pPr>
                  <w:r>
                    <w:rPr>
                      <w:rFonts w:hint="eastAsia" w:cs="宋体"/>
                      <w:szCs w:val="21"/>
                      <w:highlight w:val="none"/>
                    </w:rPr>
                    <w:t xml:space="preserve">0.8 </w:t>
                  </w:r>
                  <w:r>
                    <w:rPr>
                      <w:rFonts w:hint="eastAsia" w:cs="宋体"/>
                      <w:szCs w:val="21"/>
                      <w:highlight w:val="none"/>
                      <w:lang w:val="en-US" w:eastAsia="zh-CN"/>
                    </w:rPr>
                    <w:t>m</w:t>
                  </w:r>
                  <w:r>
                    <w:rPr>
                      <w:rFonts w:hint="eastAsia" w:cs="宋体"/>
                      <w:szCs w:val="21"/>
                      <w:highlight w:val="none"/>
                      <w:vertAlign w:val="superscript"/>
                    </w:rPr>
                    <w:t>3</w:t>
                  </w:r>
                </w:p>
              </w:tc>
              <w:tc>
                <w:tcPr>
                  <w:tcW w:w="1142" w:type="pct"/>
                  <w:vAlign w:val="center"/>
                </w:tcPr>
                <w:p w14:paraId="38EBF75F">
                  <w:pPr>
                    <w:jc w:val="center"/>
                    <w:rPr>
                      <w:rFonts w:cs="宋体"/>
                      <w:highlight w:val="none"/>
                    </w:rPr>
                  </w:pPr>
                  <w:r>
                    <w:rPr>
                      <w:rFonts w:hint="eastAsia" w:cs="宋体"/>
                      <w:szCs w:val="21"/>
                      <w:highlight w:val="none"/>
                    </w:rPr>
                    <w:t>1</w:t>
                  </w:r>
                </w:p>
              </w:tc>
            </w:tr>
            <w:tr w14:paraId="1480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62269C35">
                  <w:pPr>
                    <w:jc w:val="center"/>
                    <w:rPr>
                      <w:rFonts w:cs="宋体"/>
                      <w:highlight w:val="none"/>
                    </w:rPr>
                  </w:pPr>
                </w:p>
              </w:tc>
              <w:tc>
                <w:tcPr>
                  <w:tcW w:w="504" w:type="pct"/>
                  <w:vMerge w:val="continue"/>
                  <w:vAlign w:val="center"/>
                </w:tcPr>
                <w:p w14:paraId="7E4392F6">
                  <w:pPr>
                    <w:jc w:val="center"/>
                    <w:rPr>
                      <w:rFonts w:cs="宋体"/>
                      <w:highlight w:val="none"/>
                    </w:rPr>
                  </w:pPr>
                </w:p>
              </w:tc>
              <w:tc>
                <w:tcPr>
                  <w:tcW w:w="1370" w:type="pct"/>
                  <w:vAlign w:val="center"/>
                </w:tcPr>
                <w:p w14:paraId="0169F549">
                  <w:pPr>
                    <w:jc w:val="center"/>
                    <w:rPr>
                      <w:rFonts w:cs="宋体"/>
                      <w:highlight w:val="none"/>
                    </w:rPr>
                  </w:pPr>
                  <w:r>
                    <w:rPr>
                      <w:rFonts w:hint="eastAsia" w:cs="宋体"/>
                      <w:szCs w:val="21"/>
                      <w:highlight w:val="none"/>
                    </w:rPr>
                    <w:t>供水管路</w:t>
                  </w:r>
                </w:p>
              </w:tc>
              <w:tc>
                <w:tcPr>
                  <w:tcW w:w="1457" w:type="pct"/>
                  <w:vAlign w:val="center"/>
                </w:tcPr>
                <w:p w14:paraId="58F3A631">
                  <w:pPr>
                    <w:jc w:val="center"/>
                    <w:rPr>
                      <w:rFonts w:hint="eastAsia" w:eastAsia="宋体" w:cs="宋体"/>
                      <w:highlight w:val="none"/>
                      <w:lang w:val="en-US" w:eastAsia="zh-CN"/>
                    </w:rPr>
                  </w:pPr>
                  <w:r>
                    <w:rPr>
                      <w:rFonts w:hint="eastAsia" w:cs="宋体"/>
                      <w:highlight w:val="none"/>
                      <w:lang w:val="en-US" w:eastAsia="zh-CN"/>
                    </w:rPr>
                    <w:t>/</w:t>
                  </w:r>
                </w:p>
              </w:tc>
              <w:tc>
                <w:tcPr>
                  <w:tcW w:w="1142" w:type="pct"/>
                  <w:vAlign w:val="center"/>
                </w:tcPr>
                <w:p w14:paraId="163B9A3E">
                  <w:pPr>
                    <w:jc w:val="center"/>
                    <w:rPr>
                      <w:rFonts w:cs="宋体"/>
                      <w:highlight w:val="none"/>
                    </w:rPr>
                  </w:pPr>
                  <w:r>
                    <w:rPr>
                      <w:rFonts w:hint="eastAsia" w:cs="宋体"/>
                      <w:szCs w:val="21"/>
                      <w:highlight w:val="none"/>
                    </w:rPr>
                    <w:t>1套</w:t>
                  </w:r>
                </w:p>
              </w:tc>
            </w:tr>
            <w:tr w14:paraId="6152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20235B0F">
                  <w:pPr>
                    <w:jc w:val="center"/>
                    <w:rPr>
                      <w:rFonts w:cs="宋体"/>
                      <w:highlight w:val="none"/>
                    </w:rPr>
                  </w:pPr>
                </w:p>
              </w:tc>
              <w:tc>
                <w:tcPr>
                  <w:tcW w:w="504" w:type="pct"/>
                  <w:vMerge w:val="continue"/>
                  <w:vAlign w:val="center"/>
                </w:tcPr>
                <w:p w14:paraId="0769169C">
                  <w:pPr>
                    <w:jc w:val="center"/>
                    <w:rPr>
                      <w:rFonts w:cs="宋体"/>
                      <w:highlight w:val="none"/>
                    </w:rPr>
                  </w:pPr>
                </w:p>
              </w:tc>
              <w:tc>
                <w:tcPr>
                  <w:tcW w:w="1370" w:type="pct"/>
                  <w:vAlign w:val="center"/>
                </w:tcPr>
                <w:p w14:paraId="65950F13">
                  <w:pPr>
                    <w:jc w:val="center"/>
                    <w:rPr>
                      <w:rFonts w:cs="宋体"/>
                      <w:highlight w:val="none"/>
                    </w:rPr>
                  </w:pPr>
                  <w:r>
                    <w:rPr>
                      <w:rFonts w:hint="eastAsia" w:cs="宋体"/>
                      <w:szCs w:val="21"/>
                      <w:highlight w:val="none"/>
                    </w:rPr>
                    <w:t>称重传感器</w:t>
                  </w:r>
                </w:p>
              </w:tc>
              <w:tc>
                <w:tcPr>
                  <w:tcW w:w="1457" w:type="pct"/>
                  <w:vAlign w:val="center"/>
                </w:tcPr>
                <w:p w14:paraId="227032C8">
                  <w:pPr>
                    <w:jc w:val="center"/>
                    <w:rPr>
                      <w:rFonts w:cs="宋体"/>
                      <w:highlight w:val="none"/>
                    </w:rPr>
                  </w:pPr>
                  <w:r>
                    <w:rPr>
                      <w:rFonts w:hint="eastAsia" w:cs="宋体"/>
                      <w:szCs w:val="21"/>
                      <w:highlight w:val="none"/>
                    </w:rPr>
                    <w:t>1000 kg</w:t>
                  </w:r>
                </w:p>
              </w:tc>
              <w:tc>
                <w:tcPr>
                  <w:tcW w:w="1142" w:type="pct"/>
                  <w:vAlign w:val="center"/>
                </w:tcPr>
                <w:p w14:paraId="4558E531">
                  <w:pPr>
                    <w:jc w:val="center"/>
                    <w:rPr>
                      <w:rFonts w:cs="宋体"/>
                      <w:highlight w:val="none"/>
                    </w:rPr>
                  </w:pPr>
                  <w:r>
                    <w:rPr>
                      <w:rFonts w:hint="eastAsia" w:cs="宋体"/>
                      <w:szCs w:val="21"/>
                      <w:highlight w:val="none"/>
                    </w:rPr>
                    <w:t>1</w:t>
                  </w:r>
                </w:p>
              </w:tc>
            </w:tr>
            <w:tr w14:paraId="4656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4524F32C">
                  <w:pPr>
                    <w:jc w:val="center"/>
                    <w:rPr>
                      <w:rFonts w:cs="宋体"/>
                      <w:highlight w:val="none"/>
                    </w:rPr>
                  </w:pPr>
                </w:p>
              </w:tc>
              <w:tc>
                <w:tcPr>
                  <w:tcW w:w="504" w:type="pct"/>
                  <w:vMerge w:val="continue"/>
                  <w:vAlign w:val="center"/>
                </w:tcPr>
                <w:p w14:paraId="3591A75E">
                  <w:pPr>
                    <w:jc w:val="center"/>
                    <w:rPr>
                      <w:rFonts w:cs="宋体"/>
                      <w:highlight w:val="none"/>
                    </w:rPr>
                  </w:pPr>
                </w:p>
              </w:tc>
              <w:tc>
                <w:tcPr>
                  <w:tcW w:w="1370" w:type="pct"/>
                  <w:vAlign w:val="center"/>
                </w:tcPr>
                <w:p w14:paraId="2FCE8675">
                  <w:pPr>
                    <w:jc w:val="center"/>
                    <w:rPr>
                      <w:rFonts w:cs="宋体"/>
                      <w:highlight w:val="none"/>
                    </w:rPr>
                  </w:pPr>
                  <w:r>
                    <w:rPr>
                      <w:rFonts w:hint="eastAsia" w:cs="宋体"/>
                      <w:szCs w:val="21"/>
                      <w:highlight w:val="none"/>
                    </w:rPr>
                    <w:t>气动蝶阀</w:t>
                  </w:r>
                </w:p>
              </w:tc>
              <w:tc>
                <w:tcPr>
                  <w:tcW w:w="1457" w:type="pct"/>
                  <w:vAlign w:val="center"/>
                </w:tcPr>
                <w:p w14:paraId="21091105">
                  <w:pPr>
                    <w:jc w:val="center"/>
                    <w:rPr>
                      <w:rFonts w:cs="宋体"/>
                      <w:highlight w:val="none"/>
                    </w:rPr>
                  </w:pPr>
                  <w:r>
                    <w:rPr>
                      <w:rFonts w:hint="eastAsia" w:cs="宋体"/>
                      <w:szCs w:val="21"/>
                      <w:highlight w:val="none"/>
                    </w:rPr>
                    <w:t>公称直径：φ150 mm</w:t>
                  </w:r>
                </w:p>
              </w:tc>
              <w:tc>
                <w:tcPr>
                  <w:tcW w:w="1142" w:type="pct"/>
                  <w:vAlign w:val="center"/>
                </w:tcPr>
                <w:p w14:paraId="73DEB079">
                  <w:pPr>
                    <w:jc w:val="center"/>
                    <w:rPr>
                      <w:rFonts w:cs="宋体"/>
                      <w:highlight w:val="none"/>
                    </w:rPr>
                  </w:pPr>
                  <w:r>
                    <w:rPr>
                      <w:rFonts w:hint="eastAsia" w:cs="宋体"/>
                      <w:szCs w:val="21"/>
                      <w:highlight w:val="none"/>
                    </w:rPr>
                    <w:t>1</w:t>
                  </w:r>
                </w:p>
              </w:tc>
            </w:tr>
            <w:tr w14:paraId="20F9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70FB609A">
                  <w:pPr>
                    <w:jc w:val="center"/>
                    <w:rPr>
                      <w:rFonts w:cs="宋体"/>
                      <w:highlight w:val="none"/>
                    </w:rPr>
                  </w:pPr>
                </w:p>
              </w:tc>
              <w:tc>
                <w:tcPr>
                  <w:tcW w:w="504" w:type="pct"/>
                  <w:vMerge w:val="continue"/>
                  <w:vAlign w:val="center"/>
                </w:tcPr>
                <w:p w14:paraId="76B5E469">
                  <w:pPr>
                    <w:jc w:val="center"/>
                    <w:rPr>
                      <w:rFonts w:cs="宋体"/>
                      <w:highlight w:val="none"/>
                    </w:rPr>
                  </w:pPr>
                </w:p>
              </w:tc>
              <w:tc>
                <w:tcPr>
                  <w:tcW w:w="1370" w:type="pct"/>
                  <w:vAlign w:val="center"/>
                </w:tcPr>
                <w:p w14:paraId="3B0882B6">
                  <w:pPr>
                    <w:jc w:val="center"/>
                    <w:rPr>
                      <w:rFonts w:cs="宋体"/>
                      <w:highlight w:val="none"/>
                    </w:rPr>
                  </w:pPr>
                  <w:r>
                    <w:rPr>
                      <w:rFonts w:hint="eastAsia" w:cs="宋体"/>
                      <w:szCs w:val="21"/>
                      <w:highlight w:val="none"/>
                    </w:rPr>
                    <w:t>水泵</w:t>
                  </w:r>
                </w:p>
              </w:tc>
              <w:tc>
                <w:tcPr>
                  <w:tcW w:w="1457" w:type="pct"/>
                  <w:vAlign w:val="center"/>
                </w:tcPr>
                <w:p w14:paraId="508B4F9E">
                  <w:pPr>
                    <w:jc w:val="center"/>
                    <w:rPr>
                      <w:rFonts w:hint="eastAsia" w:eastAsia="宋体" w:cs="宋体"/>
                      <w:highlight w:val="none"/>
                      <w:lang w:val="en-US" w:eastAsia="zh-CN"/>
                    </w:rPr>
                  </w:pPr>
                  <w:r>
                    <w:rPr>
                      <w:rFonts w:hint="eastAsia" w:cs="宋体"/>
                      <w:highlight w:val="none"/>
                      <w:lang w:val="en-US" w:eastAsia="zh-CN"/>
                    </w:rPr>
                    <w:t>/</w:t>
                  </w:r>
                </w:p>
              </w:tc>
              <w:tc>
                <w:tcPr>
                  <w:tcW w:w="1142" w:type="pct"/>
                  <w:vAlign w:val="center"/>
                </w:tcPr>
                <w:p w14:paraId="0B7A2F87">
                  <w:pPr>
                    <w:jc w:val="center"/>
                    <w:rPr>
                      <w:rFonts w:cs="宋体"/>
                      <w:highlight w:val="none"/>
                    </w:rPr>
                  </w:pPr>
                  <w:r>
                    <w:rPr>
                      <w:rFonts w:hint="eastAsia" w:cs="宋体"/>
                      <w:szCs w:val="21"/>
                      <w:highlight w:val="none"/>
                    </w:rPr>
                    <w:t>1套</w:t>
                  </w:r>
                </w:p>
              </w:tc>
            </w:tr>
            <w:tr w14:paraId="16F8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11B639CD">
                  <w:pPr>
                    <w:jc w:val="center"/>
                    <w:rPr>
                      <w:rFonts w:cs="宋体"/>
                      <w:highlight w:val="none"/>
                    </w:rPr>
                  </w:pPr>
                </w:p>
              </w:tc>
              <w:tc>
                <w:tcPr>
                  <w:tcW w:w="504" w:type="pct"/>
                  <w:vMerge w:val="continue"/>
                  <w:vAlign w:val="center"/>
                </w:tcPr>
                <w:p w14:paraId="16D417BC">
                  <w:pPr>
                    <w:jc w:val="center"/>
                    <w:rPr>
                      <w:rFonts w:cs="宋体"/>
                      <w:highlight w:val="none"/>
                    </w:rPr>
                  </w:pPr>
                </w:p>
              </w:tc>
              <w:tc>
                <w:tcPr>
                  <w:tcW w:w="1370" w:type="pct"/>
                  <w:vAlign w:val="center"/>
                </w:tcPr>
                <w:p w14:paraId="619F4BDB">
                  <w:pPr>
                    <w:jc w:val="center"/>
                    <w:rPr>
                      <w:rFonts w:cs="宋体"/>
                      <w:highlight w:val="none"/>
                    </w:rPr>
                  </w:pPr>
                  <w:r>
                    <w:rPr>
                      <w:rFonts w:hint="eastAsia" w:cs="宋体"/>
                      <w:szCs w:val="21"/>
                      <w:highlight w:val="none"/>
                    </w:rPr>
                    <w:t>管路阀门</w:t>
                  </w:r>
                </w:p>
              </w:tc>
              <w:tc>
                <w:tcPr>
                  <w:tcW w:w="1457" w:type="pct"/>
                  <w:vAlign w:val="center"/>
                </w:tcPr>
                <w:p w14:paraId="372DF21E">
                  <w:pPr>
                    <w:jc w:val="center"/>
                    <w:rPr>
                      <w:rFonts w:hint="eastAsia" w:eastAsia="宋体" w:cs="宋体"/>
                      <w:highlight w:val="none"/>
                      <w:lang w:val="en-US" w:eastAsia="zh-CN"/>
                    </w:rPr>
                  </w:pPr>
                  <w:r>
                    <w:rPr>
                      <w:rFonts w:hint="eastAsia" w:cs="宋体"/>
                      <w:highlight w:val="none"/>
                      <w:lang w:val="en-US" w:eastAsia="zh-CN"/>
                    </w:rPr>
                    <w:t>/</w:t>
                  </w:r>
                </w:p>
              </w:tc>
              <w:tc>
                <w:tcPr>
                  <w:tcW w:w="1142" w:type="pct"/>
                  <w:vAlign w:val="center"/>
                </w:tcPr>
                <w:p w14:paraId="78AE2F67">
                  <w:pPr>
                    <w:jc w:val="center"/>
                    <w:rPr>
                      <w:rFonts w:cs="宋体"/>
                      <w:highlight w:val="none"/>
                    </w:rPr>
                  </w:pPr>
                  <w:r>
                    <w:rPr>
                      <w:rFonts w:hint="eastAsia" w:cs="宋体"/>
                      <w:szCs w:val="21"/>
                      <w:highlight w:val="none"/>
                    </w:rPr>
                    <w:t>1套</w:t>
                  </w:r>
                </w:p>
              </w:tc>
            </w:tr>
            <w:tr w14:paraId="15B9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restart"/>
                  <w:vAlign w:val="center"/>
                </w:tcPr>
                <w:p w14:paraId="485874DA">
                  <w:pPr>
                    <w:jc w:val="center"/>
                    <w:rPr>
                      <w:rFonts w:cs="宋体"/>
                      <w:highlight w:val="none"/>
                    </w:rPr>
                  </w:pPr>
                  <w:r>
                    <w:rPr>
                      <w:rFonts w:hint="eastAsia" w:cs="宋体"/>
                      <w:szCs w:val="21"/>
                      <w:highlight w:val="none"/>
                    </w:rPr>
                    <w:t>7</w:t>
                  </w:r>
                </w:p>
              </w:tc>
              <w:tc>
                <w:tcPr>
                  <w:tcW w:w="504" w:type="pct"/>
                  <w:vMerge w:val="restart"/>
                  <w:vAlign w:val="center"/>
                </w:tcPr>
                <w:p w14:paraId="0487B3D4">
                  <w:pPr>
                    <w:jc w:val="center"/>
                    <w:rPr>
                      <w:rFonts w:cs="宋体"/>
                      <w:highlight w:val="none"/>
                    </w:rPr>
                  </w:pPr>
                  <w:r>
                    <w:rPr>
                      <w:rFonts w:hint="eastAsia" w:cs="宋体"/>
                      <w:szCs w:val="21"/>
                      <w:highlight w:val="none"/>
                    </w:rPr>
                    <w:t>外加剂计量系统</w:t>
                  </w:r>
                </w:p>
              </w:tc>
              <w:tc>
                <w:tcPr>
                  <w:tcW w:w="1370" w:type="pct"/>
                  <w:vAlign w:val="center"/>
                </w:tcPr>
                <w:p w14:paraId="650A7D51">
                  <w:pPr>
                    <w:jc w:val="center"/>
                    <w:rPr>
                      <w:rFonts w:cs="宋体"/>
                      <w:highlight w:val="none"/>
                    </w:rPr>
                  </w:pPr>
                  <w:r>
                    <w:rPr>
                      <w:rFonts w:hint="eastAsia" w:cs="宋体"/>
                      <w:szCs w:val="21"/>
                      <w:highlight w:val="none"/>
                    </w:rPr>
                    <w:t>计量斗</w:t>
                  </w:r>
                </w:p>
              </w:tc>
              <w:tc>
                <w:tcPr>
                  <w:tcW w:w="1457" w:type="pct"/>
                  <w:vAlign w:val="center"/>
                </w:tcPr>
                <w:p w14:paraId="5E767A32">
                  <w:pPr>
                    <w:jc w:val="center"/>
                    <w:rPr>
                      <w:rFonts w:cs="宋体"/>
                      <w:highlight w:val="none"/>
                    </w:rPr>
                  </w:pPr>
                  <w:r>
                    <w:rPr>
                      <w:rFonts w:hint="eastAsia" w:cs="宋体"/>
                      <w:szCs w:val="21"/>
                      <w:highlight w:val="none"/>
                    </w:rPr>
                    <w:t xml:space="preserve">0.1 </w:t>
                  </w:r>
                  <w:r>
                    <w:rPr>
                      <w:rFonts w:hint="eastAsia" w:cs="宋体"/>
                      <w:szCs w:val="21"/>
                      <w:highlight w:val="none"/>
                      <w:lang w:val="en-US" w:eastAsia="zh-CN"/>
                    </w:rPr>
                    <w:t>m</w:t>
                  </w:r>
                  <w:r>
                    <w:rPr>
                      <w:rFonts w:hint="eastAsia" w:cs="宋体"/>
                      <w:szCs w:val="21"/>
                      <w:highlight w:val="none"/>
                      <w:vertAlign w:val="superscript"/>
                    </w:rPr>
                    <w:t>3</w:t>
                  </w:r>
                </w:p>
              </w:tc>
              <w:tc>
                <w:tcPr>
                  <w:tcW w:w="1142" w:type="pct"/>
                  <w:vAlign w:val="center"/>
                </w:tcPr>
                <w:p w14:paraId="023AADFA">
                  <w:pPr>
                    <w:jc w:val="center"/>
                    <w:rPr>
                      <w:rFonts w:cs="宋体"/>
                      <w:highlight w:val="none"/>
                    </w:rPr>
                  </w:pPr>
                  <w:r>
                    <w:rPr>
                      <w:rFonts w:hint="eastAsia" w:cs="宋体"/>
                      <w:szCs w:val="21"/>
                      <w:highlight w:val="none"/>
                    </w:rPr>
                    <w:t>1</w:t>
                  </w:r>
                </w:p>
              </w:tc>
            </w:tr>
            <w:tr w14:paraId="27E2B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0FC3075F">
                  <w:pPr>
                    <w:jc w:val="center"/>
                    <w:rPr>
                      <w:rFonts w:cs="宋体"/>
                      <w:highlight w:val="none"/>
                    </w:rPr>
                  </w:pPr>
                </w:p>
              </w:tc>
              <w:tc>
                <w:tcPr>
                  <w:tcW w:w="504" w:type="pct"/>
                  <w:vMerge w:val="continue"/>
                  <w:vAlign w:val="center"/>
                </w:tcPr>
                <w:p w14:paraId="47FE8F5E">
                  <w:pPr>
                    <w:jc w:val="center"/>
                    <w:rPr>
                      <w:rFonts w:cs="宋体"/>
                      <w:highlight w:val="none"/>
                    </w:rPr>
                  </w:pPr>
                </w:p>
              </w:tc>
              <w:tc>
                <w:tcPr>
                  <w:tcW w:w="1370" w:type="pct"/>
                  <w:vAlign w:val="center"/>
                </w:tcPr>
                <w:p w14:paraId="0BCEEA69">
                  <w:pPr>
                    <w:jc w:val="center"/>
                    <w:rPr>
                      <w:rFonts w:cs="宋体"/>
                      <w:highlight w:val="none"/>
                    </w:rPr>
                  </w:pPr>
                  <w:r>
                    <w:rPr>
                      <w:rFonts w:hint="eastAsia" w:cs="宋体"/>
                      <w:szCs w:val="21"/>
                      <w:highlight w:val="none"/>
                    </w:rPr>
                    <w:t>供液管路</w:t>
                  </w:r>
                </w:p>
              </w:tc>
              <w:tc>
                <w:tcPr>
                  <w:tcW w:w="1457" w:type="pct"/>
                  <w:vAlign w:val="center"/>
                </w:tcPr>
                <w:p w14:paraId="1C0368C8">
                  <w:pPr>
                    <w:jc w:val="center"/>
                    <w:rPr>
                      <w:rFonts w:cs="宋体"/>
                      <w:highlight w:val="none"/>
                    </w:rPr>
                  </w:pPr>
                </w:p>
              </w:tc>
              <w:tc>
                <w:tcPr>
                  <w:tcW w:w="1142" w:type="pct"/>
                  <w:vAlign w:val="center"/>
                </w:tcPr>
                <w:p w14:paraId="49D781B2">
                  <w:pPr>
                    <w:jc w:val="center"/>
                    <w:rPr>
                      <w:rFonts w:cs="宋体"/>
                      <w:highlight w:val="none"/>
                    </w:rPr>
                  </w:pPr>
                  <w:r>
                    <w:rPr>
                      <w:rFonts w:hint="eastAsia" w:cs="宋体"/>
                      <w:szCs w:val="21"/>
                      <w:highlight w:val="none"/>
                    </w:rPr>
                    <w:t>2套</w:t>
                  </w:r>
                </w:p>
              </w:tc>
            </w:tr>
            <w:tr w14:paraId="22CD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3F17C51D">
                  <w:pPr>
                    <w:jc w:val="center"/>
                    <w:rPr>
                      <w:rFonts w:cs="宋体"/>
                      <w:highlight w:val="none"/>
                    </w:rPr>
                  </w:pPr>
                </w:p>
              </w:tc>
              <w:tc>
                <w:tcPr>
                  <w:tcW w:w="504" w:type="pct"/>
                  <w:vMerge w:val="continue"/>
                  <w:vAlign w:val="center"/>
                </w:tcPr>
                <w:p w14:paraId="0DF1D1FD">
                  <w:pPr>
                    <w:jc w:val="center"/>
                    <w:rPr>
                      <w:rFonts w:cs="宋体"/>
                      <w:highlight w:val="none"/>
                    </w:rPr>
                  </w:pPr>
                </w:p>
              </w:tc>
              <w:tc>
                <w:tcPr>
                  <w:tcW w:w="1370" w:type="pct"/>
                  <w:vAlign w:val="center"/>
                </w:tcPr>
                <w:p w14:paraId="11119255">
                  <w:pPr>
                    <w:jc w:val="center"/>
                    <w:rPr>
                      <w:rFonts w:cs="宋体"/>
                      <w:highlight w:val="none"/>
                    </w:rPr>
                  </w:pPr>
                  <w:r>
                    <w:rPr>
                      <w:rFonts w:hint="eastAsia" w:cs="宋体"/>
                      <w:szCs w:val="21"/>
                      <w:highlight w:val="none"/>
                    </w:rPr>
                    <w:t>储液箱</w:t>
                  </w:r>
                </w:p>
              </w:tc>
              <w:tc>
                <w:tcPr>
                  <w:tcW w:w="1457" w:type="pct"/>
                  <w:vAlign w:val="center"/>
                </w:tcPr>
                <w:p w14:paraId="6A277BED">
                  <w:pPr>
                    <w:jc w:val="center"/>
                    <w:rPr>
                      <w:rFonts w:cs="宋体"/>
                      <w:highlight w:val="none"/>
                    </w:rPr>
                  </w:pPr>
                  <w:r>
                    <w:rPr>
                      <w:rFonts w:hint="eastAsia" w:cs="宋体"/>
                      <w:szCs w:val="21"/>
                      <w:highlight w:val="none"/>
                    </w:rPr>
                    <w:t xml:space="preserve">10 </w:t>
                  </w:r>
                  <w:r>
                    <w:rPr>
                      <w:rFonts w:hint="eastAsia" w:cs="宋体"/>
                      <w:szCs w:val="21"/>
                      <w:highlight w:val="none"/>
                      <w:lang w:val="en-US" w:eastAsia="zh-CN"/>
                    </w:rPr>
                    <w:t>m</w:t>
                  </w:r>
                  <w:r>
                    <w:rPr>
                      <w:rFonts w:hint="eastAsia" w:cs="宋体"/>
                      <w:szCs w:val="21"/>
                      <w:highlight w:val="none"/>
                      <w:vertAlign w:val="superscript"/>
                    </w:rPr>
                    <w:t>3</w:t>
                  </w:r>
                </w:p>
              </w:tc>
              <w:tc>
                <w:tcPr>
                  <w:tcW w:w="1142" w:type="pct"/>
                  <w:vAlign w:val="center"/>
                </w:tcPr>
                <w:p w14:paraId="07CA2405">
                  <w:pPr>
                    <w:jc w:val="center"/>
                    <w:rPr>
                      <w:rFonts w:cs="宋体"/>
                      <w:highlight w:val="none"/>
                    </w:rPr>
                  </w:pPr>
                  <w:r>
                    <w:rPr>
                      <w:rFonts w:hint="eastAsia" w:cs="宋体"/>
                      <w:szCs w:val="21"/>
                      <w:highlight w:val="none"/>
                    </w:rPr>
                    <w:t>2</w:t>
                  </w:r>
                </w:p>
              </w:tc>
            </w:tr>
            <w:tr w14:paraId="454B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38DB7AD1">
                  <w:pPr>
                    <w:jc w:val="center"/>
                    <w:rPr>
                      <w:rFonts w:cs="宋体"/>
                      <w:highlight w:val="none"/>
                    </w:rPr>
                  </w:pPr>
                </w:p>
              </w:tc>
              <w:tc>
                <w:tcPr>
                  <w:tcW w:w="504" w:type="pct"/>
                  <w:vMerge w:val="continue"/>
                  <w:vAlign w:val="center"/>
                </w:tcPr>
                <w:p w14:paraId="57036C28">
                  <w:pPr>
                    <w:jc w:val="center"/>
                    <w:rPr>
                      <w:rFonts w:cs="宋体"/>
                      <w:highlight w:val="none"/>
                    </w:rPr>
                  </w:pPr>
                </w:p>
              </w:tc>
              <w:tc>
                <w:tcPr>
                  <w:tcW w:w="1370" w:type="pct"/>
                  <w:vAlign w:val="center"/>
                </w:tcPr>
                <w:p w14:paraId="39591844">
                  <w:pPr>
                    <w:jc w:val="center"/>
                    <w:rPr>
                      <w:rFonts w:cs="宋体"/>
                      <w:highlight w:val="none"/>
                    </w:rPr>
                  </w:pPr>
                  <w:r>
                    <w:rPr>
                      <w:rFonts w:hint="eastAsia" w:cs="宋体"/>
                      <w:szCs w:val="21"/>
                      <w:highlight w:val="none"/>
                    </w:rPr>
                    <w:t>称重传感器</w:t>
                  </w:r>
                </w:p>
              </w:tc>
              <w:tc>
                <w:tcPr>
                  <w:tcW w:w="1457" w:type="pct"/>
                  <w:vAlign w:val="center"/>
                </w:tcPr>
                <w:p w14:paraId="2A04CB76">
                  <w:pPr>
                    <w:jc w:val="center"/>
                    <w:rPr>
                      <w:rFonts w:cs="宋体"/>
                      <w:highlight w:val="none"/>
                    </w:rPr>
                  </w:pPr>
                  <w:r>
                    <w:rPr>
                      <w:rFonts w:hint="eastAsia" w:cs="宋体"/>
                      <w:szCs w:val="21"/>
                      <w:highlight w:val="none"/>
                    </w:rPr>
                    <w:t>200 kg</w:t>
                  </w:r>
                </w:p>
              </w:tc>
              <w:tc>
                <w:tcPr>
                  <w:tcW w:w="1142" w:type="pct"/>
                  <w:vAlign w:val="center"/>
                </w:tcPr>
                <w:p w14:paraId="14FE30C8">
                  <w:pPr>
                    <w:jc w:val="center"/>
                    <w:rPr>
                      <w:rFonts w:cs="宋体"/>
                      <w:highlight w:val="none"/>
                    </w:rPr>
                  </w:pPr>
                  <w:r>
                    <w:rPr>
                      <w:rFonts w:hint="eastAsia" w:cs="宋体"/>
                      <w:szCs w:val="21"/>
                      <w:highlight w:val="none"/>
                    </w:rPr>
                    <w:t>1</w:t>
                  </w:r>
                </w:p>
              </w:tc>
            </w:tr>
            <w:tr w14:paraId="34087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0C212C2B">
                  <w:pPr>
                    <w:jc w:val="center"/>
                    <w:rPr>
                      <w:rFonts w:cs="宋体"/>
                      <w:highlight w:val="none"/>
                    </w:rPr>
                  </w:pPr>
                </w:p>
              </w:tc>
              <w:tc>
                <w:tcPr>
                  <w:tcW w:w="504" w:type="pct"/>
                  <w:vMerge w:val="continue"/>
                  <w:vAlign w:val="center"/>
                </w:tcPr>
                <w:p w14:paraId="6FA81D6C">
                  <w:pPr>
                    <w:jc w:val="center"/>
                    <w:rPr>
                      <w:rFonts w:cs="宋体"/>
                      <w:highlight w:val="none"/>
                    </w:rPr>
                  </w:pPr>
                </w:p>
              </w:tc>
              <w:tc>
                <w:tcPr>
                  <w:tcW w:w="1370" w:type="pct"/>
                  <w:vAlign w:val="center"/>
                </w:tcPr>
                <w:p w14:paraId="1F7DB418">
                  <w:pPr>
                    <w:jc w:val="center"/>
                    <w:rPr>
                      <w:rFonts w:cs="宋体"/>
                      <w:highlight w:val="none"/>
                    </w:rPr>
                  </w:pPr>
                  <w:r>
                    <w:rPr>
                      <w:rFonts w:hint="eastAsia" w:cs="宋体"/>
                      <w:szCs w:val="21"/>
                      <w:highlight w:val="none"/>
                    </w:rPr>
                    <w:t>气动蝶阀</w:t>
                  </w:r>
                </w:p>
              </w:tc>
              <w:tc>
                <w:tcPr>
                  <w:tcW w:w="1457" w:type="pct"/>
                  <w:vAlign w:val="center"/>
                </w:tcPr>
                <w:p w14:paraId="3472B9F0">
                  <w:pPr>
                    <w:jc w:val="center"/>
                    <w:rPr>
                      <w:rFonts w:cs="宋体"/>
                      <w:highlight w:val="none"/>
                    </w:rPr>
                  </w:pPr>
                  <w:r>
                    <w:rPr>
                      <w:rFonts w:hint="eastAsia" w:cs="宋体"/>
                      <w:szCs w:val="21"/>
                      <w:highlight w:val="none"/>
                    </w:rPr>
                    <w:t>公称直径：φ50 mm</w:t>
                  </w:r>
                </w:p>
              </w:tc>
              <w:tc>
                <w:tcPr>
                  <w:tcW w:w="1142" w:type="pct"/>
                  <w:vAlign w:val="center"/>
                </w:tcPr>
                <w:p w14:paraId="3053EF06">
                  <w:pPr>
                    <w:jc w:val="center"/>
                    <w:rPr>
                      <w:rFonts w:cs="宋体"/>
                      <w:highlight w:val="none"/>
                    </w:rPr>
                  </w:pPr>
                  <w:r>
                    <w:rPr>
                      <w:rFonts w:hint="eastAsia" w:cs="宋体"/>
                      <w:szCs w:val="21"/>
                      <w:highlight w:val="none"/>
                    </w:rPr>
                    <w:t>1</w:t>
                  </w:r>
                </w:p>
              </w:tc>
            </w:tr>
            <w:tr w14:paraId="00B0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43C7A37D">
                  <w:pPr>
                    <w:jc w:val="center"/>
                    <w:rPr>
                      <w:rFonts w:cs="宋体"/>
                      <w:highlight w:val="none"/>
                    </w:rPr>
                  </w:pPr>
                </w:p>
              </w:tc>
              <w:tc>
                <w:tcPr>
                  <w:tcW w:w="504" w:type="pct"/>
                  <w:vMerge w:val="continue"/>
                  <w:vAlign w:val="center"/>
                </w:tcPr>
                <w:p w14:paraId="5CD7C521">
                  <w:pPr>
                    <w:jc w:val="center"/>
                    <w:rPr>
                      <w:rFonts w:cs="宋体"/>
                      <w:highlight w:val="none"/>
                    </w:rPr>
                  </w:pPr>
                </w:p>
              </w:tc>
              <w:tc>
                <w:tcPr>
                  <w:tcW w:w="1370" w:type="pct"/>
                  <w:vAlign w:val="center"/>
                </w:tcPr>
                <w:p w14:paraId="5CB27135">
                  <w:pPr>
                    <w:jc w:val="center"/>
                    <w:rPr>
                      <w:rFonts w:cs="宋体"/>
                      <w:highlight w:val="none"/>
                    </w:rPr>
                  </w:pPr>
                  <w:r>
                    <w:rPr>
                      <w:rFonts w:hint="eastAsia" w:cs="宋体"/>
                      <w:szCs w:val="21"/>
                      <w:highlight w:val="none"/>
                    </w:rPr>
                    <w:t>外加剂防腐泵</w:t>
                  </w:r>
                </w:p>
              </w:tc>
              <w:tc>
                <w:tcPr>
                  <w:tcW w:w="1457" w:type="pct"/>
                  <w:vAlign w:val="center"/>
                </w:tcPr>
                <w:p w14:paraId="44ADDF83">
                  <w:pPr>
                    <w:jc w:val="center"/>
                    <w:rPr>
                      <w:rFonts w:cs="宋体"/>
                      <w:highlight w:val="none"/>
                    </w:rPr>
                  </w:pPr>
                  <w:r>
                    <w:rPr>
                      <w:rFonts w:hint="eastAsia" w:cs="宋体"/>
                      <w:szCs w:val="21"/>
                      <w:highlight w:val="none"/>
                    </w:rPr>
                    <w:t>IHG32-125</w:t>
                  </w:r>
                </w:p>
              </w:tc>
              <w:tc>
                <w:tcPr>
                  <w:tcW w:w="1142" w:type="pct"/>
                  <w:vAlign w:val="center"/>
                </w:tcPr>
                <w:p w14:paraId="5D647596">
                  <w:pPr>
                    <w:jc w:val="center"/>
                    <w:rPr>
                      <w:rFonts w:cs="宋体"/>
                      <w:highlight w:val="none"/>
                    </w:rPr>
                  </w:pPr>
                  <w:r>
                    <w:rPr>
                      <w:rFonts w:hint="eastAsia" w:cs="宋体"/>
                      <w:szCs w:val="21"/>
                      <w:highlight w:val="none"/>
                    </w:rPr>
                    <w:t>2</w:t>
                  </w:r>
                </w:p>
              </w:tc>
            </w:tr>
            <w:tr w14:paraId="577B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0366ABE7">
                  <w:pPr>
                    <w:jc w:val="center"/>
                    <w:rPr>
                      <w:rFonts w:cs="宋体"/>
                      <w:highlight w:val="none"/>
                    </w:rPr>
                  </w:pPr>
                </w:p>
              </w:tc>
              <w:tc>
                <w:tcPr>
                  <w:tcW w:w="504" w:type="pct"/>
                  <w:vMerge w:val="continue"/>
                  <w:vAlign w:val="center"/>
                </w:tcPr>
                <w:p w14:paraId="14DD62D6">
                  <w:pPr>
                    <w:jc w:val="center"/>
                    <w:rPr>
                      <w:rFonts w:cs="宋体"/>
                      <w:highlight w:val="none"/>
                    </w:rPr>
                  </w:pPr>
                </w:p>
              </w:tc>
              <w:tc>
                <w:tcPr>
                  <w:tcW w:w="1370" w:type="pct"/>
                  <w:vAlign w:val="center"/>
                </w:tcPr>
                <w:p w14:paraId="0C256746">
                  <w:pPr>
                    <w:jc w:val="center"/>
                    <w:rPr>
                      <w:rFonts w:cs="宋体"/>
                      <w:highlight w:val="none"/>
                    </w:rPr>
                  </w:pPr>
                  <w:r>
                    <w:rPr>
                      <w:rFonts w:hint="eastAsia" w:cs="宋体"/>
                      <w:szCs w:val="21"/>
                      <w:highlight w:val="none"/>
                    </w:rPr>
                    <w:t>管路阀门</w:t>
                  </w:r>
                </w:p>
              </w:tc>
              <w:tc>
                <w:tcPr>
                  <w:tcW w:w="1457" w:type="pct"/>
                  <w:vAlign w:val="center"/>
                </w:tcPr>
                <w:p w14:paraId="11F78D21">
                  <w:pPr>
                    <w:jc w:val="center"/>
                    <w:rPr>
                      <w:rFonts w:hint="eastAsia" w:eastAsia="宋体" w:cs="宋体"/>
                      <w:highlight w:val="none"/>
                      <w:lang w:val="en-US" w:eastAsia="zh-CN"/>
                    </w:rPr>
                  </w:pPr>
                  <w:r>
                    <w:rPr>
                      <w:rFonts w:hint="eastAsia" w:cs="宋体"/>
                      <w:highlight w:val="none"/>
                      <w:lang w:val="en-US" w:eastAsia="zh-CN"/>
                    </w:rPr>
                    <w:t>/</w:t>
                  </w:r>
                </w:p>
              </w:tc>
              <w:tc>
                <w:tcPr>
                  <w:tcW w:w="1142" w:type="pct"/>
                  <w:vAlign w:val="center"/>
                </w:tcPr>
                <w:p w14:paraId="60EDE676">
                  <w:pPr>
                    <w:jc w:val="center"/>
                    <w:rPr>
                      <w:rFonts w:cs="宋体"/>
                      <w:highlight w:val="none"/>
                    </w:rPr>
                  </w:pPr>
                  <w:r>
                    <w:rPr>
                      <w:rFonts w:hint="eastAsia" w:cs="宋体"/>
                      <w:szCs w:val="21"/>
                      <w:highlight w:val="none"/>
                    </w:rPr>
                    <w:t>2套</w:t>
                  </w:r>
                </w:p>
              </w:tc>
            </w:tr>
            <w:tr w14:paraId="6EC7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restart"/>
                  <w:vAlign w:val="center"/>
                </w:tcPr>
                <w:p w14:paraId="464BC77C">
                  <w:pPr>
                    <w:jc w:val="center"/>
                    <w:rPr>
                      <w:rFonts w:cs="宋体"/>
                      <w:highlight w:val="none"/>
                    </w:rPr>
                  </w:pPr>
                  <w:r>
                    <w:rPr>
                      <w:rFonts w:hint="eastAsia" w:cs="宋体"/>
                      <w:szCs w:val="21"/>
                      <w:highlight w:val="none"/>
                    </w:rPr>
                    <w:t>8</w:t>
                  </w:r>
                </w:p>
              </w:tc>
              <w:tc>
                <w:tcPr>
                  <w:tcW w:w="504" w:type="pct"/>
                  <w:vMerge w:val="restart"/>
                  <w:vAlign w:val="center"/>
                </w:tcPr>
                <w:p w14:paraId="6430C832">
                  <w:pPr>
                    <w:jc w:val="center"/>
                    <w:rPr>
                      <w:rFonts w:cs="宋体"/>
                      <w:highlight w:val="none"/>
                    </w:rPr>
                  </w:pPr>
                  <w:r>
                    <w:rPr>
                      <w:rFonts w:hint="eastAsia" w:cs="宋体"/>
                      <w:szCs w:val="21"/>
                      <w:highlight w:val="none"/>
                    </w:rPr>
                    <w:t>气路系统</w:t>
                  </w:r>
                </w:p>
              </w:tc>
              <w:tc>
                <w:tcPr>
                  <w:tcW w:w="1370" w:type="pct"/>
                  <w:vAlign w:val="center"/>
                </w:tcPr>
                <w:p w14:paraId="3E7D1270">
                  <w:pPr>
                    <w:jc w:val="center"/>
                    <w:rPr>
                      <w:rFonts w:cs="宋体"/>
                      <w:highlight w:val="none"/>
                    </w:rPr>
                  </w:pPr>
                  <w:r>
                    <w:rPr>
                      <w:rFonts w:hint="eastAsia" w:cs="宋体"/>
                      <w:szCs w:val="21"/>
                      <w:highlight w:val="none"/>
                    </w:rPr>
                    <w:t>空压机</w:t>
                  </w:r>
                </w:p>
              </w:tc>
              <w:tc>
                <w:tcPr>
                  <w:tcW w:w="2599" w:type="pct"/>
                  <w:gridSpan w:val="2"/>
                  <w:vAlign w:val="center"/>
                </w:tcPr>
                <w:p w14:paraId="5F391838">
                  <w:pPr>
                    <w:jc w:val="center"/>
                    <w:rPr>
                      <w:rFonts w:cs="宋体"/>
                      <w:highlight w:val="none"/>
                    </w:rPr>
                  </w:pPr>
                  <w:r>
                    <w:rPr>
                      <w:rFonts w:hint="eastAsia" w:cs="宋体"/>
                      <w:szCs w:val="21"/>
                      <w:highlight w:val="none"/>
                    </w:rPr>
                    <w:t>排气量：1.4M3/min</w:t>
                  </w:r>
                </w:p>
              </w:tc>
            </w:tr>
            <w:tr w14:paraId="1ECA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6690AB49">
                  <w:pPr>
                    <w:jc w:val="center"/>
                    <w:rPr>
                      <w:rFonts w:cs="宋体"/>
                      <w:highlight w:val="none"/>
                    </w:rPr>
                  </w:pPr>
                </w:p>
              </w:tc>
              <w:tc>
                <w:tcPr>
                  <w:tcW w:w="504" w:type="pct"/>
                  <w:vMerge w:val="continue"/>
                  <w:vAlign w:val="center"/>
                </w:tcPr>
                <w:p w14:paraId="5707FCFD">
                  <w:pPr>
                    <w:jc w:val="center"/>
                    <w:rPr>
                      <w:rFonts w:cs="宋体"/>
                      <w:highlight w:val="none"/>
                    </w:rPr>
                  </w:pPr>
                </w:p>
              </w:tc>
              <w:tc>
                <w:tcPr>
                  <w:tcW w:w="1370" w:type="pct"/>
                  <w:vAlign w:val="center"/>
                </w:tcPr>
                <w:p w14:paraId="68815E35">
                  <w:pPr>
                    <w:jc w:val="center"/>
                    <w:rPr>
                      <w:rFonts w:cs="宋体"/>
                      <w:highlight w:val="none"/>
                    </w:rPr>
                  </w:pPr>
                  <w:r>
                    <w:rPr>
                      <w:rFonts w:hint="eastAsia" w:cs="宋体"/>
                      <w:szCs w:val="21"/>
                      <w:highlight w:val="none"/>
                    </w:rPr>
                    <w:t>气动三联件</w:t>
                  </w:r>
                </w:p>
              </w:tc>
              <w:tc>
                <w:tcPr>
                  <w:tcW w:w="2599" w:type="pct"/>
                  <w:gridSpan w:val="2"/>
                  <w:vAlign w:val="center"/>
                </w:tcPr>
                <w:p w14:paraId="46081176">
                  <w:pPr>
                    <w:jc w:val="center"/>
                    <w:rPr>
                      <w:rFonts w:cs="宋体"/>
                      <w:highlight w:val="none"/>
                    </w:rPr>
                  </w:pPr>
                  <w:r>
                    <w:rPr>
                      <w:rFonts w:hint="eastAsia" w:cs="宋体"/>
                      <w:highlight w:val="none"/>
                      <w:lang w:val="en-US" w:eastAsia="zh-CN"/>
                    </w:rPr>
                    <w:t>1套</w:t>
                  </w:r>
                </w:p>
              </w:tc>
            </w:tr>
            <w:tr w14:paraId="0291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503F08AA">
                  <w:pPr>
                    <w:jc w:val="center"/>
                    <w:rPr>
                      <w:rFonts w:cs="宋体"/>
                      <w:highlight w:val="none"/>
                    </w:rPr>
                  </w:pPr>
                </w:p>
              </w:tc>
              <w:tc>
                <w:tcPr>
                  <w:tcW w:w="504" w:type="pct"/>
                  <w:vMerge w:val="continue"/>
                  <w:vAlign w:val="center"/>
                </w:tcPr>
                <w:p w14:paraId="1D3C3AB3">
                  <w:pPr>
                    <w:jc w:val="center"/>
                    <w:rPr>
                      <w:rFonts w:cs="宋体"/>
                      <w:highlight w:val="none"/>
                    </w:rPr>
                  </w:pPr>
                </w:p>
              </w:tc>
              <w:tc>
                <w:tcPr>
                  <w:tcW w:w="1370" w:type="pct"/>
                  <w:vAlign w:val="center"/>
                </w:tcPr>
                <w:p w14:paraId="2AA4AFCF">
                  <w:pPr>
                    <w:jc w:val="center"/>
                    <w:rPr>
                      <w:rFonts w:cs="宋体"/>
                      <w:highlight w:val="none"/>
                    </w:rPr>
                  </w:pPr>
                  <w:r>
                    <w:rPr>
                      <w:rFonts w:hint="eastAsia" w:cs="宋体"/>
                      <w:szCs w:val="21"/>
                      <w:highlight w:val="none"/>
                    </w:rPr>
                    <w:t>储气罐</w:t>
                  </w:r>
                </w:p>
              </w:tc>
              <w:tc>
                <w:tcPr>
                  <w:tcW w:w="2599" w:type="pct"/>
                  <w:gridSpan w:val="2"/>
                  <w:vAlign w:val="center"/>
                </w:tcPr>
                <w:p w14:paraId="0AF95651">
                  <w:pPr>
                    <w:jc w:val="center"/>
                    <w:rPr>
                      <w:rFonts w:cs="宋体"/>
                      <w:highlight w:val="none"/>
                    </w:rPr>
                  </w:pPr>
                  <w:r>
                    <w:rPr>
                      <w:rFonts w:hint="eastAsia" w:cs="宋体"/>
                      <w:szCs w:val="21"/>
                      <w:highlight w:val="none"/>
                    </w:rPr>
                    <w:t>1M3+0.1M3</w:t>
                  </w:r>
                </w:p>
              </w:tc>
            </w:tr>
            <w:tr w14:paraId="66DD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20165AC6">
                  <w:pPr>
                    <w:jc w:val="center"/>
                    <w:rPr>
                      <w:rFonts w:cs="宋体"/>
                      <w:highlight w:val="none"/>
                    </w:rPr>
                  </w:pPr>
                </w:p>
              </w:tc>
              <w:tc>
                <w:tcPr>
                  <w:tcW w:w="504" w:type="pct"/>
                  <w:vMerge w:val="continue"/>
                  <w:vAlign w:val="center"/>
                </w:tcPr>
                <w:p w14:paraId="14A52857">
                  <w:pPr>
                    <w:jc w:val="center"/>
                    <w:rPr>
                      <w:rFonts w:cs="宋体"/>
                      <w:highlight w:val="none"/>
                    </w:rPr>
                  </w:pPr>
                </w:p>
              </w:tc>
              <w:tc>
                <w:tcPr>
                  <w:tcW w:w="1370" w:type="pct"/>
                  <w:vAlign w:val="center"/>
                </w:tcPr>
                <w:p w14:paraId="1F0943E2">
                  <w:pPr>
                    <w:jc w:val="center"/>
                    <w:rPr>
                      <w:rFonts w:cs="宋体"/>
                      <w:highlight w:val="none"/>
                    </w:rPr>
                  </w:pPr>
                  <w:r>
                    <w:rPr>
                      <w:rFonts w:hint="eastAsia" w:cs="宋体"/>
                      <w:szCs w:val="21"/>
                      <w:highlight w:val="none"/>
                    </w:rPr>
                    <w:t>连接管路</w:t>
                  </w:r>
                </w:p>
              </w:tc>
              <w:tc>
                <w:tcPr>
                  <w:tcW w:w="2599" w:type="pct"/>
                  <w:gridSpan w:val="2"/>
                  <w:vAlign w:val="center"/>
                </w:tcPr>
                <w:p w14:paraId="417E0A5F">
                  <w:pPr>
                    <w:jc w:val="center"/>
                    <w:rPr>
                      <w:rFonts w:cs="宋体"/>
                      <w:highlight w:val="none"/>
                    </w:rPr>
                  </w:pPr>
                  <w:r>
                    <w:rPr>
                      <w:rFonts w:hint="eastAsia" w:cs="宋体"/>
                      <w:highlight w:val="none"/>
                      <w:lang w:val="en-US" w:eastAsia="zh-CN"/>
                    </w:rPr>
                    <w:t>1套</w:t>
                  </w:r>
                </w:p>
              </w:tc>
            </w:tr>
            <w:tr w14:paraId="142C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6CC3B1F0">
                  <w:pPr>
                    <w:jc w:val="center"/>
                    <w:rPr>
                      <w:rFonts w:cs="宋体"/>
                      <w:highlight w:val="none"/>
                    </w:rPr>
                  </w:pPr>
                </w:p>
              </w:tc>
              <w:tc>
                <w:tcPr>
                  <w:tcW w:w="504" w:type="pct"/>
                  <w:vMerge w:val="continue"/>
                  <w:vAlign w:val="center"/>
                </w:tcPr>
                <w:p w14:paraId="2A8E26F2">
                  <w:pPr>
                    <w:jc w:val="center"/>
                    <w:rPr>
                      <w:rFonts w:cs="宋体"/>
                      <w:highlight w:val="none"/>
                    </w:rPr>
                  </w:pPr>
                </w:p>
              </w:tc>
              <w:tc>
                <w:tcPr>
                  <w:tcW w:w="1370" w:type="pct"/>
                  <w:vAlign w:val="center"/>
                </w:tcPr>
                <w:p w14:paraId="2A78D4FA">
                  <w:pPr>
                    <w:jc w:val="center"/>
                    <w:rPr>
                      <w:rFonts w:cs="宋体"/>
                      <w:highlight w:val="none"/>
                    </w:rPr>
                  </w:pPr>
                  <w:r>
                    <w:rPr>
                      <w:rFonts w:hint="eastAsia" w:cs="宋体"/>
                      <w:szCs w:val="21"/>
                      <w:highlight w:val="none"/>
                    </w:rPr>
                    <w:t>管路阀门</w:t>
                  </w:r>
                </w:p>
              </w:tc>
              <w:tc>
                <w:tcPr>
                  <w:tcW w:w="2599" w:type="pct"/>
                  <w:gridSpan w:val="2"/>
                  <w:vAlign w:val="center"/>
                </w:tcPr>
                <w:p w14:paraId="788F4419">
                  <w:pPr>
                    <w:jc w:val="center"/>
                    <w:rPr>
                      <w:rFonts w:cs="宋体"/>
                      <w:highlight w:val="none"/>
                    </w:rPr>
                  </w:pPr>
                  <w:r>
                    <w:rPr>
                      <w:rFonts w:hint="eastAsia" w:cs="宋体"/>
                      <w:highlight w:val="none"/>
                      <w:lang w:val="en-US" w:eastAsia="zh-CN"/>
                    </w:rPr>
                    <w:t>1套</w:t>
                  </w:r>
                </w:p>
              </w:tc>
            </w:tr>
            <w:tr w14:paraId="3BD96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restart"/>
                  <w:vAlign w:val="center"/>
                </w:tcPr>
                <w:p w14:paraId="5A30412B">
                  <w:pPr>
                    <w:jc w:val="center"/>
                    <w:rPr>
                      <w:rFonts w:cs="宋体"/>
                      <w:highlight w:val="none"/>
                    </w:rPr>
                  </w:pPr>
                  <w:r>
                    <w:rPr>
                      <w:rFonts w:hint="eastAsia" w:cs="宋体"/>
                      <w:szCs w:val="21"/>
                      <w:highlight w:val="none"/>
                    </w:rPr>
                    <w:t>9</w:t>
                  </w:r>
                </w:p>
              </w:tc>
              <w:tc>
                <w:tcPr>
                  <w:tcW w:w="504" w:type="pct"/>
                  <w:vMerge w:val="restart"/>
                  <w:vAlign w:val="center"/>
                </w:tcPr>
                <w:p w14:paraId="0840F98C">
                  <w:pPr>
                    <w:jc w:val="center"/>
                    <w:rPr>
                      <w:rFonts w:cs="宋体"/>
                      <w:highlight w:val="none"/>
                    </w:rPr>
                  </w:pPr>
                  <w:r>
                    <w:rPr>
                      <w:rFonts w:hint="eastAsia" w:cs="宋体"/>
                      <w:szCs w:val="21"/>
                      <w:highlight w:val="none"/>
                    </w:rPr>
                    <w:t>搅拌主楼</w:t>
                  </w:r>
                </w:p>
              </w:tc>
              <w:tc>
                <w:tcPr>
                  <w:tcW w:w="1370" w:type="pct"/>
                  <w:vAlign w:val="center"/>
                </w:tcPr>
                <w:p w14:paraId="3FB22B0E">
                  <w:pPr>
                    <w:jc w:val="center"/>
                    <w:rPr>
                      <w:rFonts w:cs="宋体"/>
                      <w:highlight w:val="none"/>
                    </w:rPr>
                  </w:pPr>
                  <w:r>
                    <w:rPr>
                      <w:rFonts w:hint="eastAsia" w:cs="宋体"/>
                      <w:szCs w:val="21"/>
                      <w:highlight w:val="none"/>
                    </w:rPr>
                    <w:t>主体结构</w:t>
                  </w:r>
                </w:p>
              </w:tc>
              <w:tc>
                <w:tcPr>
                  <w:tcW w:w="2599" w:type="pct"/>
                  <w:gridSpan w:val="2"/>
                  <w:vAlign w:val="center"/>
                </w:tcPr>
                <w:p w14:paraId="312A7E98">
                  <w:pPr>
                    <w:jc w:val="center"/>
                    <w:rPr>
                      <w:rFonts w:cs="宋体"/>
                      <w:highlight w:val="none"/>
                    </w:rPr>
                  </w:pPr>
                  <w:r>
                    <w:rPr>
                      <w:rFonts w:hint="eastAsia" w:cs="宋体"/>
                      <w:highlight w:val="none"/>
                      <w:lang w:val="en-US" w:eastAsia="zh-CN"/>
                    </w:rPr>
                    <w:t>1套</w:t>
                  </w:r>
                </w:p>
              </w:tc>
            </w:tr>
            <w:tr w14:paraId="25B5E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1D7168EB">
                  <w:pPr>
                    <w:jc w:val="center"/>
                    <w:rPr>
                      <w:rFonts w:cs="宋体"/>
                      <w:highlight w:val="none"/>
                    </w:rPr>
                  </w:pPr>
                </w:p>
              </w:tc>
              <w:tc>
                <w:tcPr>
                  <w:tcW w:w="504" w:type="pct"/>
                  <w:vMerge w:val="continue"/>
                  <w:vAlign w:val="center"/>
                </w:tcPr>
                <w:p w14:paraId="22D2BEFD">
                  <w:pPr>
                    <w:jc w:val="center"/>
                    <w:rPr>
                      <w:rFonts w:cs="宋体"/>
                      <w:highlight w:val="none"/>
                    </w:rPr>
                  </w:pPr>
                </w:p>
              </w:tc>
              <w:tc>
                <w:tcPr>
                  <w:tcW w:w="1370" w:type="pct"/>
                  <w:vAlign w:val="center"/>
                </w:tcPr>
                <w:p w14:paraId="09F5AB8F">
                  <w:pPr>
                    <w:jc w:val="center"/>
                    <w:rPr>
                      <w:rFonts w:cs="宋体"/>
                      <w:highlight w:val="none"/>
                    </w:rPr>
                  </w:pPr>
                  <w:r>
                    <w:rPr>
                      <w:rFonts w:hint="eastAsia" w:cs="宋体"/>
                      <w:szCs w:val="21"/>
                      <w:highlight w:val="none"/>
                    </w:rPr>
                    <w:t>走台围栏</w:t>
                  </w:r>
                </w:p>
              </w:tc>
              <w:tc>
                <w:tcPr>
                  <w:tcW w:w="2599" w:type="pct"/>
                  <w:gridSpan w:val="2"/>
                  <w:vAlign w:val="center"/>
                </w:tcPr>
                <w:p w14:paraId="30C3308B">
                  <w:pPr>
                    <w:jc w:val="center"/>
                    <w:rPr>
                      <w:rFonts w:cs="宋体"/>
                      <w:highlight w:val="none"/>
                    </w:rPr>
                  </w:pPr>
                  <w:r>
                    <w:rPr>
                      <w:rFonts w:hint="eastAsia" w:cs="宋体"/>
                      <w:highlight w:val="none"/>
                      <w:lang w:val="en-US" w:eastAsia="zh-CN"/>
                    </w:rPr>
                    <w:t>1套</w:t>
                  </w:r>
                </w:p>
              </w:tc>
            </w:tr>
            <w:tr w14:paraId="1FB5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4EF73ABE">
                  <w:pPr>
                    <w:jc w:val="center"/>
                    <w:rPr>
                      <w:rFonts w:cs="宋体"/>
                      <w:highlight w:val="none"/>
                    </w:rPr>
                  </w:pPr>
                </w:p>
              </w:tc>
              <w:tc>
                <w:tcPr>
                  <w:tcW w:w="504" w:type="pct"/>
                  <w:vMerge w:val="continue"/>
                  <w:vAlign w:val="center"/>
                </w:tcPr>
                <w:p w14:paraId="7D956875">
                  <w:pPr>
                    <w:jc w:val="center"/>
                    <w:rPr>
                      <w:rFonts w:cs="宋体"/>
                      <w:highlight w:val="none"/>
                    </w:rPr>
                  </w:pPr>
                </w:p>
              </w:tc>
              <w:tc>
                <w:tcPr>
                  <w:tcW w:w="1370" w:type="pct"/>
                  <w:vAlign w:val="center"/>
                </w:tcPr>
                <w:p w14:paraId="67D53DBF">
                  <w:pPr>
                    <w:jc w:val="center"/>
                    <w:rPr>
                      <w:rFonts w:cs="宋体"/>
                      <w:highlight w:val="none"/>
                    </w:rPr>
                  </w:pPr>
                  <w:r>
                    <w:rPr>
                      <w:rFonts w:hint="eastAsia" w:cs="宋体"/>
                      <w:szCs w:val="21"/>
                      <w:highlight w:val="none"/>
                    </w:rPr>
                    <w:t>待料斗</w:t>
                  </w:r>
                </w:p>
              </w:tc>
              <w:tc>
                <w:tcPr>
                  <w:tcW w:w="2599" w:type="pct"/>
                  <w:gridSpan w:val="2"/>
                  <w:vAlign w:val="center"/>
                </w:tcPr>
                <w:p w14:paraId="7AAEC24B">
                  <w:pPr>
                    <w:jc w:val="center"/>
                    <w:rPr>
                      <w:rFonts w:cs="宋体"/>
                      <w:highlight w:val="none"/>
                    </w:rPr>
                  </w:pPr>
                  <w:r>
                    <w:rPr>
                      <w:rFonts w:hint="eastAsia" w:cs="宋体"/>
                      <w:szCs w:val="21"/>
                      <w:highlight w:val="none"/>
                    </w:rPr>
                    <w:t>双气缸</w:t>
                  </w:r>
                </w:p>
              </w:tc>
            </w:tr>
            <w:tr w14:paraId="0C63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1BBD8D43">
                  <w:pPr>
                    <w:jc w:val="center"/>
                    <w:rPr>
                      <w:rFonts w:cs="宋体"/>
                      <w:highlight w:val="none"/>
                    </w:rPr>
                  </w:pPr>
                </w:p>
              </w:tc>
              <w:tc>
                <w:tcPr>
                  <w:tcW w:w="504" w:type="pct"/>
                  <w:vMerge w:val="continue"/>
                  <w:vAlign w:val="center"/>
                </w:tcPr>
                <w:p w14:paraId="51E0FBC3">
                  <w:pPr>
                    <w:jc w:val="center"/>
                    <w:rPr>
                      <w:rFonts w:cs="宋体"/>
                      <w:highlight w:val="none"/>
                    </w:rPr>
                  </w:pPr>
                </w:p>
              </w:tc>
              <w:tc>
                <w:tcPr>
                  <w:tcW w:w="1370" w:type="pct"/>
                  <w:vAlign w:val="center"/>
                </w:tcPr>
                <w:p w14:paraId="3F273910">
                  <w:pPr>
                    <w:jc w:val="center"/>
                    <w:rPr>
                      <w:rFonts w:cs="宋体"/>
                      <w:highlight w:val="none"/>
                    </w:rPr>
                  </w:pPr>
                  <w:r>
                    <w:rPr>
                      <w:rFonts w:hint="eastAsia" w:cs="宋体"/>
                      <w:szCs w:val="21"/>
                      <w:highlight w:val="none"/>
                    </w:rPr>
                    <w:t>除尘装置</w:t>
                  </w:r>
                </w:p>
              </w:tc>
              <w:tc>
                <w:tcPr>
                  <w:tcW w:w="2599" w:type="pct"/>
                  <w:gridSpan w:val="2"/>
                  <w:vAlign w:val="center"/>
                </w:tcPr>
                <w:p w14:paraId="5EC4F0C1">
                  <w:pPr>
                    <w:jc w:val="center"/>
                    <w:rPr>
                      <w:rFonts w:cs="宋体"/>
                      <w:highlight w:val="none"/>
                    </w:rPr>
                  </w:pPr>
                  <w:r>
                    <w:rPr>
                      <w:rFonts w:hint="eastAsia" w:cs="宋体"/>
                      <w:szCs w:val="21"/>
                      <w:highlight w:val="none"/>
                    </w:rPr>
                    <w:t>布袋式除尘</w:t>
                  </w:r>
                </w:p>
              </w:tc>
            </w:tr>
            <w:tr w14:paraId="6712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5D4D3051">
                  <w:pPr>
                    <w:jc w:val="center"/>
                    <w:rPr>
                      <w:rFonts w:cs="宋体"/>
                      <w:highlight w:val="none"/>
                    </w:rPr>
                  </w:pPr>
                </w:p>
              </w:tc>
              <w:tc>
                <w:tcPr>
                  <w:tcW w:w="504" w:type="pct"/>
                  <w:vMerge w:val="continue"/>
                  <w:vAlign w:val="center"/>
                </w:tcPr>
                <w:p w14:paraId="75437CD9">
                  <w:pPr>
                    <w:jc w:val="center"/>
                    <w:rPr>
                      <w:rFonts w:cs="宋体"/>
                      <w:highlight w:val="none"/>
                    </w:rPr>
                  </w:pPr>
                </w:p>
              </w:tc>
              <w:tc>
                <w:tcPr>
                  <w:tcW w:w="1370" w:type="pct"/>
                  <w:vAlign w:val="center"/>
                </w:tcPr>
                <w:p w14:paraId="3919807A">
                  <w:pPr>
                    <w:jc w:val="center"/>
                    <w:rPr>
                      <w:rFonts w:cs="宋体"/>
                      <w:highlight w:val="none"/>
                    </w:rPr>
                  </w:pPr>
                  <w:r>
                    <w:rPr>
                      <w:rFonts w:hint="eastAsia" w:cs="宋体"/>
                      <w:szCs w:val="21"/>
                      <w:highlight w:val="none"/>
                    </w:rPr>
                    <w:t>外包装</w:t>
                  </w:r>
                </w:p>
              </w:tc>
              <w:tc>
                <w:tcPr>
                  <w:tcW w:w="2599" w:type="pct"/>
                  <w:gridSpan w:val="2"/>
                  <w:vAlign w:val="center"/>
                </w:tcPr>
                <w:p w14:paraId="226294AD">
                  <w:pPr>
                    <w:jc w:val="center"/>
                    <w:rPr>
                      <w:rFonts w:cs="宋体"/>
                      <w:highlight w:val="none"/>
                    </w:rPr>
                  </w:pPr>
                  <w:r>
                    <w:rPr>
                      <w:rFonts w:hint="eastAsia" w:cs="宋体"/>
                      <w:szCs w:val="21"/>
                      <w:highlight w:val="none"/>
                    </w:rPr>
                    <w:t>50mm厚彩钢夹芯板</w:t>
                  </w:r>
                </w:p>
              </w:tc>
            </w:tr>
            <w:tr w14:paraId="7CD4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52ED09E7">
                  <w:pPr>
                    <w:jc w:val="center"/>
                    <w:rPr>
                      <w:rFonts w:cs="宋体"/>
                      <w:highlight w:val="none"/>
                    </w:rPr>
                  </w:pPr>
                </w:p>
              </w:tc>
              <w:tc>
                <w:tcPr>
                  <w:tcW w:w="504" w:type="pct"/>
                  <w:vMerge w:val="continue"/>
                  <w:vAlign w:val="center"/>
                </w:tcPr>
                <w:p w14:paraId="6AA1C2C0">
                  <w:pPr>
                    <w:jc w:val="center"/>
                    <w:rPr>
                      <w:rFonts w:cs="宋体"/>
                      <w:highlight w:val="none"/>
                    </w:rPr>
                  </w:pPr>
                </w:p>
              </w:tc>
              <w:tc>
                <w:tcPr>
                  <w:tcW w:w="1370" w:type="pct"/>
                  <w:vAlign w:val="center"/>
                </w:tcPr>
                <w:p w14:paraId="5AB925CD">
                  <w:pPr>
                    <w:jc w:val="center"/>
                    <w:rPr>
                      <w:rFonts w:cs="宋体"/>
                      <w:highlight w:val="none"/>
                    </w:rPr>
                  </w:pPr>
                  <w:r>
                    <w:rPr>
                      <w:rFonts w:hint="eastAsia" w:cs="宋体"/>
                      <w:szCs w:val="21"/>
                      <w:highlight w:val="none"/>
                    </w:rPr>
                    <w:t>卸料斗</w:t>
                  </w:r>
                </w:p>
              </w:tc>
              <w:tc>
                <w:tcPr>
                  <w:tcW w:w="2599" w:type="pct"/>
                  <w:gridSpan w:val="2"/>
                  <w:vAlign w:val="center"/>
                </w:tcPr>
                <w:p w14:paraId="0BEC1273">
                  <w:pPr>
                    <w:jc w:val="center"/>
                    <w:rPr>
                      <w:rFonts w:cs="宋体"/>
                      <w:highlight w:val="none"/>
                    </w:rPr>
                  </w:pPr>
                  <w:r>
                    <w:rPr>
                      <w:rFonts w:hint="eastAsia" w:cs="宋体"/>
                      <w:highlight w:val="none"/>
                      <w:lang w:val="en-US" w:eastAsia="zh-CN"/>
                    </w:rPr>
                    <w:t>1套</w:t>
                  </w:r>
                </w:p>
              </w:tc>
            </w:tr>
            <w:tr w14:paraId="21AD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restart"/>
                  <w:vAlign w:val="center"/>
                </w:tcPr>
                <w:p w14:paraId="1E45037F">
                  <w:pPr>
                    <w:jc w:val="center"/>
                    <w:rPr>
                      <w:rFonts w:cs="宋体"/>
                      <w:highlight w:val="none"/>
                    </w:rPr>
                  </w:pPr>
                  <w:r>
                    <w:rPr>
                      <w:rFonts w:hint="eastAsia" w:cs="宋体"/>
                      <w:szCs w:val="21"/>
                      <w:highlight w:val="none"/>
                    </w:rPr>
                    <w:t>10</w:t>
                  </w:r>
                </w:p>
              </w:tc>
              <w:tc>
                <w:tcPr>
                  <w:tcW w:w="504" w:type="pct"/>
                  <w:vMerge w:val="restart"/>
                  <w:vAlign w:val="center"/>
                </w:tcPr>
                <w:p w14:paraId="58A3DAEE">
                  <w:pPr>
                    <w:jc w:val="center"/>
                    <w:rPr>
                      <w:rFonts w:cs="宋体"/>
                      <w:highlight w:val="none"/>
                    </w:rPr>
                  </w:pPr>
                  <w:r>
                    <w:rPr>
                      <w:rFonts w:hint="eastAsia" w:cs="宋体"/>
                      <w:szCs w:val="21"/>
                      <w:highlight w:val="none"/>
                    </w:rPr>
                    <w:t>操作室</w:t>
                  </w:r>
                </w:p>
              </w:tc>
              <w:tc>
                <w:tcPr>
                  <w:tcW w:w="1370" w:type="pct"/>
                  <w:vAlign w:val="center"/>
                </w:tcPr>
                <w:p w14:paraId="2112B45B">
                  <w:pPr>
                    <w:jc w:val="center"/>
                    <w:rPr>
                      <w:rFonts w:cs="宋体"/>
                      <w:highlight w:val="none"/>
                    </w:rPr>
                  </w:pPr>
                  <w:r>
                    <w:rPr>
                      <w:rFonts w:hint="eastAsia" w:cs="宋体"/>
                      <w:szCs w:val="21"/>
                      <w:highlight w:val="none"/>
                    </w:rPr>
                    <w:t>框架</w:t>
                  </w:r>
                </w:p>
              </w:tc>
              <w:tc>
                <w:tcPr>
                  <w:tcW w:w="2599" w:type="pct"/>
                  <w:gridSpan w:val="2"/>
                  <w:vAlign w:val="center"/>
                </w:tcPr>
                <w:p w14:paraId="659DBD01">
                  <w:pPr>
                    <w:jc w:val="center"/>
                    <w:rPr>
                      <w:rFonts w:cs="宋体"/>
                      <w:highlight w:val="none"/>
                    </w:rPr>
                  </w:pPr>
                  <w:r>
                    <w:rPr>
                      <w:rFonts w:hint="eastAsia" w:cs="宋体"/>
                      <w:highlight w:val="none"/>
                      <w:lang w:val="en-US" w:eastAsia="zh-CN"/>
                    </w:rPr>
                    <w:t>1套</w:t>
                  </w:r>
                </w:p>
              </w:tc>
            </w:tr>
            <w:tr w14:paraId="1107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23BE3F1E">
                  <w:pPr>
                    <w:jc w:val="center"/>
                    <w:rPr>
                      <w:rFonts w:cs="宋体"/>
                      <w:highlight w:val="none"/>
                    </w:rPr>
                  </w:pPr>
                </w:p>
              </w:tc>
              <w:tc>
                <w:tcPr>
                  <w:tcW w:w="504" w:type="pct"/>
                  <w:vMerge w:val="continue"/>
                  <w:vAlign w:val="center"/>
                </w:tcPr>
                <w:p w14:paraId="54883A76">
                  <w:pPr>
                    <w:jc w:val="center"/>
                    <w:rPr>
                      <w:rFonts w:cs="宋体"/>
                      <w:highlight w:val="none"/>
                    </w:rPr>
                  </w:pPr>
                </w:p>
              </w:tc>
              <w:tc>
                <w:tcPr>
                  <w:tcW w:w="1370" w:type="pct"/>
                  <w:vAlign w:val="center"/>
                </w:tcPr>
                <w:p w14:paraId="0937B589">
                  <w:pPr>
                    <w:jc w:val="center"/>
                    <w:rPr>
                      <w:rFonts w:cs="宋体"/>
                      <w:highlight w:val="none"/>
                    </w:rPr>
                  </w:pPr>
                  <w:r>
                    <w:rPr>
                      <w:rFonts w:hint="eastAsia" w:cs="宋体"/>
                      <w:szCs w:val="21"/>
                      <w:highlight w:val="none"/>
                    </w:rPr>
                    <w:t>靠椅</w:t>
                  </w:r>
                </w:p>
              </w:tc>
              <w:tc>
                <w:tcPr>
                  <w:tcW w:w="2599" w:type="pct"/>
                  <w:gridSpan w:val="2"/>
                  <w:vAlign w:val="center"/>
                </w:tcPr>
                <w:p w14:paraId="393BF521">
                  <w:pPr>
                    <w:jc w:val="center"/>
                    <w:rPr>
                      <w:rFonts w:hint="default" w:eastAsia="宋体" w:cs="宋体"/>
                      <w:highlight w:val="none"/>
                      <w:lang w:val="en-US" w:eastAsia="zh-CN"/>
                    </w:rPr>
                  </w:pPr>
                  <w:r>
                    <w:rPr>
                      <w:rFonts w:hint="eastAsia" w:cs="宋体"/>
                      <w:highlight w:val="none"/>
                      <w:lang w:val="en-US" w:eastAsia="zh-CN"/>
                    </w:rPr>
                    <w:t>10套</w:t>
                  </w:r>
                </w:p>
              </w:tc>
            </w:tr>
            <w:tr w14:paraId="520D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74059D91">
                  <w:pPr>
                    <w:jc w:val="center"/>
                    <w:rPr>
                      <w:rFonts w:cs="宋体"/>
                      <w:highlight w:val="none"/>
                    </w:rPr>
                  </w:pPr>
                </w:p>
              </w:tc>
              <w:tc>
                <w:tcPr>
                  <w:tcW w:w="504" w:type="pct"/>
                  <w:vMerge w:val="continue"/>
                  <w:vAlign w:val="center"/>
                </w:tcPr>
                <w:p w14:paraId="167AAB14">
                  <w:pPr>
                    <w:jc w:val="center"/>
                    <w:rPr>
                      <w:rFonts w:cs="宋体"/>
                      <w:highlight w:val="none"/>
                    </w:rPr>
                  </w:pPr>
                </w:p>
              </w:tc>
              <w:tc>
                <w:tcPr>
                  <w:tcW w:w="1370" w:type="pct"/>
                  <w:vAlign w:val="center"/>
                </w:tcPr>
                <w:p w14:paraId="7B01EB37">
                  <w:pPr>
                    <w:jc w:val="center"/>
                    <w:rPr>
                      <w:rFonts w:cs="宋体"/>
                      <w:highlight w:val="none"/>
                    </w:rPr>
                  </w:pPr>
                  <w:r>
                    <w:rPr>
                      <w:rFonts w:hint="eastAsia" w:cs="宋体"/>
                      <w:szCs w:val="21"/>
                      <w:highlight w:val="none"/>
                    </w:rPr>
                    <w:t>装修</w:t>
                  </w:r>
                </w:p>
              </w:tc>
              <w:tc>
                <w:tcPr>
                  <w:tcW w:w="2599" w:type="pct"/>
                  <w:gridSpan w:val="2"/>
                  <w:vAlign w:val="center"/>
                </w:tcPr>
                <w:p w14:paraId="13A98BBA">
                  <w:pPr>
                    <w:jc w:val="center"/>
                    <w:rPr>
                      <w:rFonts w:cs="宋体"/>
                      <w:highlight w:val="none"/>
                    </w:rPr>
                  </w:pPr>
                  <w:r>
                    <w:rPr>
                      <w:rFonts w:hint="eastAsia" w:cs="宋体"/>
                      <w:szCs w:val="21"/>
                      <w:highlight w:val="none"/>
                    </w:rPr>
                    <w:t>岩棉夹芯板</w:t>
                  </w:r>
                </w:p>
              </w:tc>
            </w:tr>
            <w:tr w14:paraId="283F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591EDA0E">
                  <w:pPr>
                    <w:jc w:val="center"/>
                    <w:rPr>
                      <w:rFonts w:cs="宋体"/>
                      <w:highlight w:val="none"/>
                    </w:rPr>
                  </w:pPr>
                </w:p>
              </w:tc>
              <w:tc>
                <w:tcPr>
                  <w:tcW w:w="504" w:type="pct"/>
                  <w:vMerge w:val="continue"/>
                  <w:vAlign w:val="center"/>
                </w:tcPr>
                <w:p w14:paraId="0FA02680">
                  <w:pPr>
                    <w:jc w:val="center"/>
                    <w:rPr>
                      <w:rFonts w:cs="宋体"/>
                      <w:highlight w:val="none"/>
                    </w:rPr>
                  </w:pPr>
                </w:p>
              </w:tc>
              <w:tc>
                <w:tcPr>
                  <w:tcW w:w="1370" w:type="pct"/>
                  <w:vAlign w:val="center"/>
                </w:tcPr>
                <w:p w14:paraId="0DF1C70F">
                  <w:pPr>
                    <w:jc w:val="center"/>
                    <w:rPr>
                      <w:rFonts w:cs="宋体"/>
                      <w:highlight w:val="none"/>
                    </w:rPr>
                  </w:pPr>
                  <w:r>
                    <w:rPr>
                      <w:rFonts w:hint="eastAsia" w:cs="宋体"/>
                      <w:szCs w:val="21"/>
                      <w:highlight w:val="none"/>
                    </w:rPr>
                    <w:t>空调</w:t>
                  </w:r>
                </w:p>
              </w:tc>
              <w:tc>
                <w:tcPr>
                  <w:tcW w:w="2599" w:type="pct"/>
                  <w:gridSpan w:val="2"/>
                  <w:vAlign w:val="center"/>
                </w:tcPr>
                <w:p w14:paraId="0F6E33AA">
                  <w:pPr>
                    <w:jc w:val="center"/>
                    <w:rPr>
                      <w:rFonts w:cs="宋体"/>
                      <w:highlight w:val="none"/>
                    </w:rPr>
                  </w:pPr>
                  <w:r>
                    <w:rPr>
                      <w:rFonts w:hint="eastAsia" w:cs="宋体"/>
                      <w:szCs w:val="21"/>
                      <w:highlight w:val="none"/>
                    </w:rPr>
                    <w:t>1.5匹</w:t>
                  </w:r>
                </w:p>
              </w:tc>
            </w:tr>
            <w:tr w14:paraId="0493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restart"/>
                  <w:vAlign w:val="center"/>
                </w:tcPr>
                <w:p w14:paraId="1180DD93">
                  <w:pPr>
                    <w:jc w:val="center"/>
                    <w:rPr>
                      <w:rFonts w:cs="宋体"/>
                      <w:highlight w:val="none"/>
                    </w:rPr>
                  </w:pPr>
                  <w:r>
                    <w:rPr>
                      <w:rFonts w:hint="eastAsia" w:cs="宋体"/>
                      <w:szCs w:val="21"/>
                      <w:highlight w:val="none"/>
                    </w:rPr>
                    <w:t>11</w:t>
                  </w:r>
                </w:p>
              </w:tc>
              <w:tc>
                <w:tcPr>
                  <w:tcW w:w="504" w:type="pct"/>
                  <w:vMerge w:val="restart"/>
                  <w:vAlign w:val="center"/>
                </w:tcPr>
                <w:p w14:paraId="17C10C0C">
                  <w:pPr>
                    <w:jc w:val="center"/>
                    <w:rPr>
                      <w:rFonts w:cs="宋体"/>
                      <w:highlight w:val="none"/>
                    </w:rPr>
                  </w:pPr>
                  <w:r>
                    <w:rPr>
                      <w:rFonts w:hint="eastAsia" w:cs="宋体"/>
                      <w:szCs w:val="21"/>
                      <w:highlight w:val="none"/>
                    </w:rPr>
                    <w:t>控制系统</w:t>
                  </w:r>
                </w:p>
              </w:tc>
              <w:tc>
                <w:tcPr>
                  <w:tcW w:w="1370" w:type="pct"/>
                  <w:vAlign w:val="center"/>
                </w:tcPr>
                <w:p w14:paraId="63F7F250">
                  <w:pPr>
                    <w:jc w:val="center"/>
                    <w:rPr>
                      <w:rFonts w:cs="宋体"/>
                      <w:highlight w:val="none"/>
                    </w:rPr>
                  </w:pPr>
                  <w:r>
                    <w:rPr>
                      <w:rFonts w:hint="eastAsia" w:cs="宋体"/>
                      <w:szCs w:val="21"/>
                      <w:highlight w:val="none"/>
                    </w:rPr>
                    <w:t>工控机</w:t>
                  </w:r>
                </w:p>
              </w:tc>
              <w:tc>
                <w:tcPr>
                  <w:tcW w:w="2599" w:type="pct"/>
                  <w:gridSpan w:val="2"/>
                  <w:vAlign w:val="center"/>
                </w:tcPr>
                <w:p w14:paraId="3A17CB9E">
                  <w:pPr>
                    <w:jc w:val="center"/>
                    <w:rPr>
                      <w:rFonts w:cs="宋体"/>
                      <w:highlight w:val="none"/>
                    </w:rPr>
                  </w:pPr>
                  <w:r>
                    <w:rPr>
                      <w:rFonts w:hint="eastAsia" w:cs="宋体"/>
                      <w:szCs w:val="21"/>
                      <w:highlight w:val="none"/>
                    </w:rPr>
                    <w:t>IPC-810</w:t>
                  </w:r>
                </w:p>
              </w:tc>
            </w:tr>
            <w:tr w14:paraId="26F15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315E451C">
                  <w:pPr>
                    <w:jc w:val="center"/>
                    <w:rPr>
                      <w:rFonts w:cs="宋体"/>
                      <w:highlight w:val="none"/>
                    </w:rPr>
                  </w:pPr>
                </w:p>
              </w:tc>
              <w:tc>
                <w:tcPr>
                  <w:tcW w:w="504" w:type="pct"/>
                  <w:vMerge w:val="continue"/>
                  <w:vAlign w:val="center"/>
                </w:tcPr>
                <w:p w14:paraId="088E0A0F">
                  <w:pPr>
                    <w:jc w:val="center"/>
                    <w:rPr>
                      <w:rFonts w:cs="宋体"/>
                      <w:highlight w:val="none"/>
                    </w:rPr>
                  </w:pPr>
                </w:p>
              </w:tc>
              <w:tc>
                <w:tcPr>
                  <w:tcW w:w="1370" w:type="pct"/>
                  <w:vAlign w:val="center"/>
                </w:tcPr>
                <w:p w14:paraId="4C248E7B">
                  <w:pPr>
                    <w:jc w:val="center"/>
                    <w:rPr>
                      <w:rFonts w:cs="宋体"/>
                      <w:highlight w:val="none"/>
                    </w:rPr>
                  </w:pPr>
                  <w:r>
                    <w:rPr>
                      <w:rFonts w:hint="eastAsia" w:cs="宋体"/>
                      <w:szCs w:val="21"/>
                      <w:highlight w:val="none"/>
                    </w:rPr>
                    <w:t>显示器</w:t>
                  </w:r>
                </w:p>
              </w:tc>
              <w:tc>
                <w:tcPr>
                  <w:tcW w:w="2599" w:type="pct"/>
                  <w:gridSpan w:val="2"/>
                  <w:vAlign w:val="center"/>
                </w:tcPr>
                <w:p w14:paraId="317AE4E5">
                  <w:pPr>
                    <w:jc w:val="center"/>
                    <w:rPr>
                      <w:rFonts w:cs="宋体"/>
                      <w:highlight w:val="none"/>
                    </w:rPr>
                  </w:pPr>
                  <w:r>
                    <w:rPr>
                      <w:rFonts w:hint="eastAsia" w:cs="宋体"/>
                      <w:szCs w:val="21"/>
                      <w:highlight w:val="none"/>
                    </w:rPr>
                    <w:t>17液晶</w:t>
                  </w:r>
                </w:p>
              </w:tc>
            </w:tr>
            <w:tr w14:paraId="6580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1434E575">
                  <w:pPr>
                    <w:jc w:val="center"/>
                    <w:rPr>
                      <w:rFonts w:cs="宋体"/>
                      <w:highlight w:val="none"/>
                    </w:rPr>
                  </w:pPr>
                </w:p>
              </w:tc>
              <w:tc>
                <w:tcPr>
                  <w:tcW w:w="504" w:type="pct"/>
                  <w:vMerge w:val="continue"/>
                  <w:vAlign w:val="center"/>
                </w:tcPr>
                <w:p w14:paraId="4C536676">
                  <w:pPr>
                    <w:jc w:val="center"/>
                    <w:rPr>
                      <w:rFonts w:cs="宋体"/>
                      <w:highlight w:val="none"/>
                    </w:rPr>
                  </w:pPr>
                </w:p>
              </w:tc>
              <w:tc>
                <w:tcPr>
                  <w:tcW w:w="1370" w:type="pct"/>
                  <w:vAlign w:val="center"/>
                </w:tcPr>
                <w:p w14:paraId="368E961C">
                  <w:pPr>
                    <w:jc w:val="center"/>
                    <w:rPr>
                      <w:rFonts w:cs="宋体"/>
                      <w:highlight w:val="none"/>
                    </w:rPr>
                  </w:pPr>
                  <w:r>
                    <w:rPr>
                      <w:rFonts w:hint="eastAsia" w:cs="宋体"/>
                      <w:szCs w:val="21"/>
                      <w:highlight w:val="none"/>
                    </w:rPr>
                    <w:t>不间断电源</w:t>
                  </w:r>
                </w:p>
              </w:tc>
              <w:tc>
                <w:tcPr>
                  <w:tcW w:w="2599" w:type="pct"/>
                  <w:gridSpan w:val="2"/>
                  <w:vAlign w:val="center"/>
                </w:tcPr>
                <w:p w14:paraId="17217077">
                  <w:pPr>
                    <w:jc w:val="center"/>
                    <w:rPr>
                      <w:rFonts w:cs="宋体"/>
                      <w:highlight w:val="none"/>
                    </w:rPr>
                  </w:pPr>
                  <w:r>
                    <w:rPr>
                      <w:rFonts w:hint="eastAsia" w:cs="宋体"/>
                      <w:highlight w:val="none"/>
                      <w:lang w:val="en-US" w:eastAsia="zh-CN"/>
                    </w:rPr>
                    <w:t>1套</w:t>
                  </w:r>
                </w:p>
              </w:tc>
            </w:tr>
            <w:tr w14:paraId="317A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7D797083">
                  <w:pPr>
                    <w:jc w:val="center"/>
                    <w:rPr>
                      <w:rFonts w:cs="宋体"/>
                      <w:highlight w:val="none"/>
                    </w:rPr>
                  </w:pPr>
                </w:p>
              </w:tc>
              <w:tc>
                <w:tcPr>
                  <w:tcW w:w="504" w:type="pct"/>
                  <w:vMerge w:val="continue"/>
                  <w:vAlign w:val="center"/>
                </w:tcPr>
                <w:p w14:paraId="36DE4F52">
                  <w:pPr>
                    <w:jc w:val="center"/>
                    <w:rPr>
                      <w:rFonts w:cs="宋体"/>
                      <w:highlight w:val="none"/>
                    </w:rPr>
                  </w:pPr>
                </w:p>
              </w:tc>
              <w:tc>
                <w:tcPr>
                  <w:tcW w:w="1370" w:type="pct"/>
                  <w:vAlign w:val="center"/>
                </w:tcPr>
                <w:p w14:paraId="0995CED7">
                  <w:pPr>
                    <w:jc w:val="center"/>
                    <w:rPr>
                      <w:rFonts w:cs="宋体"/>
                      <w:highlight w:val="none"/>
                    </w:rPr>
                  </w:pPr>
                  <w:r>
                    <w:rPr>
                      <w:rFonts w:hint="eastAsia" w:cs="宋体"/>
                      <w:szCs w:val="21"/>
                      <w:highlight w:val="none"/>
                    </w:rPr>
                    <w:t>打印机</w:t>
                  </w:r>
                </w:p>
              </w:tc>
              <w:tc>
                <w:tcPr>
                  <w:tcW w:w="2599" w:type="pct"/>
                  <w:gridSpan w:val="2"/>
                  <w:vAlign w:val="center"/>
                </w:tcPr>
                <w:p w14:paraId="532CBD9C">
                  <w:pPr>
                    <w:jc w:val="center"/>
                    <w:rPr>
                      <w:rFonts w:hint="default" w:cs="宋体"/>
                      <w:highlight w:val="none"/>
                      <w:lang w:val="en-US"/>
                    </w:rPr>
                  </w:pPr>
                  <w:r>
                    <w:rPr>
                      <w:rFonts w:hint="eastAsia" w:cs="宋体"/>
                      <w:highlight w:val="none"/>
                      <w:lang w:val="en-US" w:eastAsia="zh-CN"/>
                    </w:rPr>
                    <w:t>2台</w:t>
                  </w:r>
                </w:p>
              </w:tc>
            </w:tr>
            <w:tr w14:paraId="4D17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484BD0C3">
                  <w:pPr>
                    <w:jc w:val="center"/>
                    <w:rPr>
                      <w:rFonts w:cs="宋体"/>
                      <w:highlight w:val="none"/>
                    </w:rPr>
                  </w:pPr>
                </w:p>
              </w:tc>
              <w:tc>
                <w:tcPr>
                  <w:tcW w:w="504" w:type="pct"/>
                  <w:vMerge w:val="continue"/>
                  <w:vAlign w:val="center"/>
                </w:tcPr>
                <w:p w14:paraId="1F94B5CA">
                  <w:pPr>
                    <w:jc w:val="center"/>
                    <w:rPr>
                      <w:rFonts w:cs="宋体"/>
                      <w:highlight w:val="none"/>
                    </w:rPr>
                  </w:pPr>
                </w:p>
              </w:tc>
              <w:tc>
                <w:tcPr>
                  <w:tcW w:w="1370" w:type="pct"/>
                  <w:vAlign w:val="center"/>
                </w:tcPr>
                <w:p w14:paraId="270EBDE8">
                  <w:pPr>
                    <w:jc w:val="center"/>
                    <w:rPr>
                      <w:rFonts w:cs="宋体"/>
                      <w:highlight w:val="none"/>
                    </w:rPr>
                  </w:pPr>
                  <w:r>
                    <w:rPr>
                      <w:rFonts w:hint="eastAsia" w:cs="宋体"/>
                      <w:szCs w:val="21"/>
                      <w:highlight w:val="none"/>
                    </w:rPr>
                    <w:t>监视器</w:t>
                  </w:r>
                </w:p>
              </w:tc>
              <w:tc>
                <w:tcPr>
                  <w:tcW w:w="2599" w:type="pct"/>
                  <w:gridSpan w:val="2"/>
                  <w:vAlign w:val="center"/>
                </w:tcPr>
                <w:p w14:paraId="7B98379B">
                  <w:pPr>
                    <w:jc w:val="center"/>
                    <w:rPr>
                      <w:rFonts w:cs="宋体"/>
                      <w:highlight w:val="none"/>
                    </w:rPr>
                  </w:pPr>
                  <w:r>
                    <w:rPr>
                      <w:rFonts w:hint="eastAsia" w:cs="宋体"/>
                      <w:szCs w:val="21"/>
                      <w:highlight w:val="none"/>
                    </w:rPr>
                    <w:t>1台监视器+2个摄像头</w:t>
                  </w:r>
                </w:p>
              </w:tc>
            </w:tr>
            <w:tr w14:paraId="678F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1F91DD1B">
                  <w:pPr>
                    <w:jc w:val="center"/>
                    <w:rPr>
                      <w:rFonts w:cs="宋体"/>
                      <w:highlight w:val="none"/>
                    </w:rPr>
                  </w:pPr>
                </w:p>
              </w:tc>
              <w:tc>
                <w:tcPr>
                  <w:tcW w:w="504" w:type="pct"/>
                  <w:vMerge w:val="continue"/>
                  <w:vAlign w:val="center"/>
                </w:tcPr>
                <w:p w14:paraId="39DC1C84">
                  <w:pPr>
                    <w:jc w:val="center"/>
                    <w:rPr>
                      <w:rFonts w:cs="宋体"/>
                      <w:highlight w:val="none"/>
                    </w:rPr>
                  </w:pPr>
                </w:p>
              </w:tc>
              <w:tc>
                <w:tcPr>
                  <w:tcW w:w="1370" w:type="pct"/>
                  <w:vAlign w:val="center"/>
                </w:tcPr>
                <w:p w14:paraId="4C3EC746">
                  <w:pPr>
                    <w:jc w:val="center"/>
                    <w:rPr>
                      <w:rFonts w:cs="宋体"/>
                      <w:highlight w:val="none"/>
                    </w:rPr>
                  </w:pPr>
                  <w:r>
                    <w:rPr>
                      <w:rFonts w:hint="eastAsia" w:cs="宋体"/>
                      <w:szCs w:val="21"/>
                      <w:highlight w:val="none"/>
                    </w:rPr>
                    <w:t>低压电器</w:t>
                  </w:r>
                </w:p>
              </w:tc>
              <w:tc>
                <w:tcPr>
                  <w:tcW w:w="2599" w:type="pct"/>
                  <w:gridSpan w:val="2"/>
                  <w:vAlign w:val="center"/>
                </w:tcPr>
                <w:p w14:paraId="1F6FA1AC">
                  <w:pPr>
                    <w:jc w:val="center"/>
                    <w:rPr>
                      <w:rFonts w:hint="default" w:eastAsia="宋体" w:cs="宋体"/>
                      <w:highlight w:val="none"/>
                      <w:lang w:val="en-US" w:eastAsia="zh-CN"/>
                    </w:rPr>
                  </w:pPr>
                  <w:r>
                    <w:rPr>
                      <w:rFonts w:hint="eastAsia" w:cs="宋体"/>
                      <w:highlight w:val="none"/>
                      <w:lang w:val="en-US" w:eastAsia="zh-CN"/>
                    </w:rPr>
                    <w:t>1套</w:t>
                  </w:r>
                </w:p>
              </w:tc>
            </w:tr>
            <w:tr w14:paraId="6642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0A9DCD54">
                  <w:pPr>
                    <w:jc w:val="center"/>
                    <w:rPr>
                      <w:rFonts w:cs="宋体"/>
                      <w:highlight w:val="none"/>
                    </w:rPr>
                  </w:pPr>
                </w:p>
              </w:tc>
              <w:tc>
                <w:tcPr>
                  <w:tcW w:w="504" w:type="pct"/>
                  <w:vMerge w:val="continue"/>
                  <w:vAlign w:val="center"/>
                </w:tcPr>
                <w:p w14:paraId="62DAD113">
                  <w:pPr>
                    <w:jc w:val="center"/>
                    <w:rPr>
                      <w:rFonts w:cs="宋体"/>
                      <w:highlight w:val="none"/>
                    </w:rPr>
                  </w:pPr>
                </w:p>
              </w:tc>
              <w:tc>
                <w:tcPr>
                  <w:tcW w:w="1370" w:type="pct"/>
                  <w:vAlign w:val="center"/>
                </w:tcPr>
                <w:p w14:paraId="7F93C3A1">
                  <w:pPr>
                    <w:jc w:val="center"/>
                    <w:rPr>
                      <w:rFonts w:cs="宋体"/>
                      <w:highlight w:val="none"/>
                    </w:rPr>
                  </w:pPr>
                  <w:r>
                    <w:rPr>
                      <w:rFonts w:hint="eastAsia" w:cs="宋体"/>
                      <w:szCs w:val="21"/>
                      <w:highlight w:val="none"/>
                    </w:rPr>
                    <w:t>操作按钮</w:t>
                  </w:r>
                </w:p>
              </w:tc>
              <w:tc>
                <w:tcPr>
                  <w:tcW w:w="2599" w:type="pct"/>
                  <w:gridSpan w:val="2"/>
                  <w:vAlign w:val="center"/>
                </w:tcPr>
                <w:p w14:paraId="62C4EFBF">
                  <w:pPr>
                    <w:jc w:val="center"/>
                    <w:rPr>
                      <w:rFonts w:cs="宋体"/>
                      <w:highlight w:val="none"/>
                    </w:rPr>
                  </w:pPr>
                  <w:r>
                    <w:rPr>
                      <w:rFonts w:hint="eastAsia" w:cs="宋体"/>
                      <w:highlight w:val="none"/>
                      <w:lang w:val="en-US" w:eastAsia="zh-CN"/>
                    </w:rPr>
                    <w:t>1套</w:t>
                  </w:r>
                </w:p>
              </w:tc>
            </w:tr>
            <w:tr w14:paraId="7D09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29188E75">
                  <w:pPr>
                    <w:jc w:val="center"/>
                    <w:rPr>
                      <w:rFonts w:cs="宋体"/>
                      <w:highlight w:val="none"/>
                    </w:rPr>
                  </w:pPr>
                </w:p>
              </w:tc>
              <w:tc>
                <w:tcPr>
                  <w:tcW w:w="504" w:type="pct"/>
                  <w:vMerge w:val="continue"/>
                  <w:vAlign w:val="center"/>
                </w:tcPr>
                <w:p w14:paraId="2E1DE04B">
                  <w:pPr>
                    <w:jc w:val="center"/>
                    <w:rPr>
                      <w:rFonts w:cs="宋体"/>
                      <w:highlight w:val="none"/>
                    </w:rPr>
                  </w:pPr>
                </w:p>
              </w:tc>
              <w:tc>
                <w:tcPr>
                  <w:tcW w:w="1370" w:type="pct"/>
                  <w:vAlign w:val="center"/>
                </w:tcPr>
                <w:p w14:paraId="4B326327">
                  <w:pPr>
                    <w:jc w:val="center"/>
                    <w:rPr>
                      <w:rFonts w:cs="宋体"/>
                      <w:highlight w:val="none"/>
                    </w:rPr>
                  </w:pPr>
                  <w:r>
                    <w:rPr>
                      <w:rFonts w:hint="eastAsia" w:cs="宋体"/>
                      <w:szCs w:val="21"/>
                      <w:highlight w:val="none"/>
                    </w:rPr>
                    <w:t>电控柜</w:t>
                  </w:r>
                </w:p>
              </w:tc>
              <w:tc>
                <w:tcPr>
                  <w:tcW w:w="2599" w:type="pct"/>
                  <w:gridSpan w:val="2"/>
                  <w:vAlign w:val="center"/>
                </w:tcPr>
                <w:p w14:paraId="6712BB10">
                  <w:pPr>
                    <w:jc w:val="center"/>
                    <w:rPr>
                      <w:rFonts w:cs="宋体"/>
                      <w:highlight w:val="none"/>
                    </w:rPr>
                  </w:pPr>
                  <w:r>
                    <w:rPr>
                      <w:rFonts w:hint="eastAsia" w:cs="宋体"/>
                      <w:highlight w:val="none"/>
                      <w:lang w:val="en-US" w:eastAsia="zh-CN"/>
                    </w:rPr>
                    <w:t>1套</w:t>
                  </w:r>
                </w:p>
              </w:tc>
            </w:tr>
            <w:tr w14:paraId="7874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6D119981">
                  <w:pPr>
                    <w:jc w:val="center"/>
                    <w:rPr>
                      <w:rFonts w:cs="宋体"/>
                      <w:highlight w:val="none"/>
                    </w:rPr>
                  </w:pPr>
                </w:p>
              </w:tc>
              <w:tc>
                <w:tcPr>
                  <w:tcW w:w="504" w:type="pct"/>
                  <w:vMerge w:val="continue"/>
                  <w:vAlign w:val="center"/>
                </w:tcPr>
                <w:p w14:paraId="573AD755">
                  <w:pPr>
                    <w:jc w:val="center"/>
                    <w:rPr>
                      <w:rFonts w:cs="宋体"/>
                      <w:highlight w:val="none"/>
                    </w:rPr>
                  </w:pPr>
                </w:p>
              </w:tc>
              <w:tc>
                <w:tcPr>
                  <w:tcW w:w="1370" w:type="pct"/>
                  <w:vAlign w:val="center"/>
                </w:tcPr>
                <w:p w14:paraId="0763C042">
                  <w:pPr>
                    <w:jc w:val="center"/>
                    <w:rPr>
                      <w:rFonts w:cs="宋体"/>
                      <w:highlight w:val="none"/>
                    </w:rPr>
                  </w:pPr>
                  <w:r>
                    <w:rPr>
                      <w:rFonts w:hint="eastAsia" w:cs="宋体"/>
                      <w:szCs w:val="21"/>
                      <w:highlight w:val="none"/>
                    </w:rPr>
                    <w:t>监控软件</w:t>
                  </w:r>
                </w:p>
              </w:tc>
              <w:tc>
                <w:tcPr>
                  <w:tcW w:w="2599" w:type="pct"/>
                  <w:gridSpan w:val="2"/>
                  <w:vAlign w:val="center"/>
                </w:tcPr>
                <w:p w14:paraId="18D3586E">
                  <w:pPr>
                    <w:jc w:val="center"/>
                    <w:rPr>
                      <w:rFonts w:cs="宋体"/>
                      <w:highlight w:val="none"/>
                    </w:rPr>
                  </w:pPr>
                  <w:r>
                    <w:rPr>
                      <w:rFonts w:hint="eastAsia" w:cs="宋体"/>
                      <w:highlight w:val="none"/>
                      <w:lang w:val="en-US" w:eastAsia="zh-CN"/>
                    </w:rPr>
                    <w:t>1套</w:t>
                  </w:r>
                </w:p>
              </w:tc>
            </w:tr>
            <w:tr w14:paraId="243A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1E1CA3A7">
                  <w:pPr>
                    <w:jc w:val="center"/>
                    <w:rPr>
                      <w:rFonts w:cs="宋体"/>
                      <w:highlight w:val="none"/>
                    </w:rPr>
                  </w:pPr>
                </w:p>
              </w:tc>
              <w:tc>
                <w:tcPr>
                  <w:tcW w:w="504" w:type="pct"/>
                  <w:vMerge w:val="continue"/>
                  <w:vAlign w:val="center"/>
                </w:tcPr>
                <w:p w14:paraId="4BBF1004">
                  <w:pPr>
                    <w:jc w:val="center"/>
                    <w:rPr>
                      <w:rFonts w:cs="宋体"/>
                      <w:highlight w:val="none"/>
                    </w:rPr>
                  </w:pPr>
                </w:p>
              </w:tc>
              <w:tc>
                <w:tcPr>
                  <w:tcW w:w="1370" w:type="pct"/>
                  <w:vAlign w:val="center"/>
                </w:tcPr>
                <w:p w14:paraId="7BD634D4">
                  <w:pPr>
                    <w:jc w:val="center"/>
                    <w:rPr>
                      <w:rFonts w:cs="宋体"/>
                      <w:highlight w:val="none"/>
                    </w:rPr>
                  </w:pPr>
                  <w:r>
                    <w:rPr>
                      <w:rFonts w:hint="eastAsia" w:cs="宋体"/>
                      <w:szCs w:val="21"/>
                      <w:highlight w:val="none"/>
                    </w:rPr>
                    <w:t>管理软件</w:t>
                  </w:r>
                </w:p>
              </w:tc>
              <w:tc>
                <w:tcPr>
                  <w:tcW w:w="2599" w:type="pct"/>
                  <w:gridSpan w:val="2"/>
                  <w:vAlign w:val="center"/>
                </w:tcPr>
                <w:p w14:paraId="63B59EE0">
                  <w:pPr>
                    <w:jc w:val="center"/>
                    <w:rPr>
                      <w:rFonts w:cs="宋体"/>
                      <w:highlight w:val="none"/>
                    </w:rPr>
                  </w:pPr>
                  <w:r>
                    <w:rPr>
                      <w:rFonts w:hint="eastAsia" w:cs="宋体"/>
                      <w:highlight w:val="none"/>
                      <w:lang w:val="en-US" w:eastAsia="zh-CN"/>
                    </w:rPr>
                    <w:t>1套</w:t>
                  </w:r>
                </w:p>
              </w:tc>
            </w:tr>
            <w:tr w14:paraId="361D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7538779A">
                  <w:pPr>
                    <w:jc w:val="center"/>
                    <w:rPr>
                      <w:rFonts w:cs="宋体"/>
                      <w:highlight w:val="none"/>
                    </w:rPr>
                  </w:pPr>
                </w:p>
              </w:tc>
              <w:tc>
                <w:tcPr>
                  <w:tcW w:w="504" w:type="pct"/>
                  <w:vMerge w:val="continue"/>
                  <w:vAlign w:val="center"/>
                </w:tcPr>
                <w:p w14:paraId="125134B3">
                  <w:pPr>
                    <w:jc w:val="center"/>
                    <w:rPr>
                      <w:rFonts w:cs="宋体"/>
                      <w:highlight w:val="none"/>
                    </w:rPr>
                  </w:pPr>
                </w:p>
              </w:tc>
              <w:tc>
                <w:tcPr>
                  <w:tcW w:w="1370" w:type="pct"/>
                  <w:vAlign w:val="center"/>
                </w:tcPr>
                <w:p w14:paraId="505F8447">
                  <w:pPr>
                    <w:jc w:val="center"/>
                    <w:rPr>
                      <w:rFonts w:cs="宋体"/>
                      <w:highlight w:val="none"/>
                    </w:rPr>
                  </w:pPr>
                  <w:r>
                    <w:rPr>
                      <w:rFonts w:hint="eastAsia" w:cs="宋体"/>
                      <w:szCs w:val="21"/>
                      <w:highlight w:val="none"/>
                    </w:rPr>
                    <w:t>操作台</w:t>
                  </w:r>
                </w:p>
              </w:tc>
              <w:tc>
                <w:tcPr>
                  <w:tcW w:w="2599" w:type="pct"/>
                  <w:gridSpan w:val="2"/>
                  <w:vAlign w:val="center"/>
                </w:tcPr>
                <w:p w14:paraId="7B627C0B">
                  <w:pPr>
                    <w:jc w:val="center"/>
                    <w:rPr>
                      <w:rFonts w:cs="宋体"/>
                      <w:highlight w:val="none"/>
                    </w:rPr>
                  </w:pPr>
                  <w:r>
                    <w:rPr>
                      <w:rFonts w:hint="eastAsia" w:cs="宋体"/>
                      <w:highlight w:val="none"/>
                      <w:lang w:val="en-US" w:eastAsia="zh-CN"/>
                    </w:rPr>
                    <w:t>1套</w:t>
                  </w:r>
                </w:p>
              </w:tc>
            </w:tr>
            <w:tr w14:paraId="6BAC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exact"/>
                <w:jc w:val="center"/>
              </w:trPr>
              <w:tc>
                <w:tcPr>
                  <w:tcW w:w="527" w:type="pct"/>
                  <w:vMerge w:val="continue"/>
                  <w:vAlign w:val="center"/>
                </w:tcPr>
                <w:p w14:paraId="32D86FD2">
                  <w:pPr>
                    <w:jc w:val="center"/>
                    <w:rPr>
                      <w:rFonts w:cs="宋体"/>
                      <w:highlight w:val="none"/>
                    </w:rPr>
                  </w:pPr>
                </w:p>
              </w:tc>
              <w:tc>
                <w:tcPr>
                  <w:tcW w:w="504" w:type="pct"/>
                  <w:vMerge w:val="continue"/>
                  <w:vAlign w:val="center"/>
                </w:tcPr>
                <w:p w14:paraId="34469C23">
                  <w:pPr>
                    <w:jc w:val="center"/>
                    <w:rPr>
                      <w:rFonts w:cs="宋体"/>
                      <w:highlight w:val="none"/>
                    </w:rPr>
                  </w:pPr>
                </w:p>
              </w:tc>
              <w:tc>
                <w:tcPr>
                  <w:tcW w:w="1370" w:type="pct"/>
                  <w:vAlign w:val="center"/>
                </w:tcPr>
                <w:p w14:paraId="13E0C42F">
                  <w:pPr>
                    <w:jc w:val="center"/>
                    <w:rPr>
                      <w:rFonts w:cs="宋体"/>
                      <w:highlight w:val="none"/>
                    </w:rPr>
                  </w:pPr>
                  <w:r>
                    <w:rPr>
                      <w:rFonts w:hint="eastAsia" w:cs="宋体"/>
                      <w:szCs w:val="21"/>
                      <w:highlight w:val="none"/>
                    </w:rPr>
                    <w:t>料位检测与报警控制</w:t>
                  </w:r>
                </w:p>
              </w:tc>
              <w:tc>
                <w:tcPr>
                  <w:tcW w:w="2599" w:type="pct"/>
                  <w:gridSpan w:val="2"/>
                  <w:vAlign w:val="center"/>
                </w:tcPr>
                <w:p w14:paraId="30D2EDE8">
                  <w:pPr>
                    <w:jc w:val="center"/>
                    <w:rPr>
                      <w:rFonts w:cs="宋体"/>
                      <w:highlight w:val="none"/>
                    </w:rPr>
                  </w:pPr>
                  <w:r>
                    <w:rPr>
                      <w:rFonts w:hint="eastAsia" w:cs="宋体"/>
                      <w:highlight w:val="none"/>
                      <w:lang w:val="en-US" w:eastAsia="zh-CN"/>
                    </w:rPr>
                    <w:t>1套</w:t>
                  </w:r>
                </w:p>
              </w:tc>
            </w:tr>
          </w:tbl>
          <w:p w14:paraId="13FFE2D8">
            <w:pPr>
              <w:pStyle w:val="20"/>
              <w:spacing w:line="360" w:lineRule="auto"/>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4</w:t>
            </w:r>
            <w:r>
              <w:rPr>
                <w:rFonts w:hint="eastAsia"/>
                <w:b/>
                <w:bCs/>
                <w:color w:val="000000" w:themeColor="text1"/>
                <w:sz w:val="24"/>
                <w:highlight w:val="none"/>
                <w:lang w:val="en-US" w:eastAsia="zh-CN"/>
                <w14:textFill>
                  <w14:solidFill>
                    <w14:schemeClr w14:val="tx1"/>
                  </w14:solidFill>
                </w14:textFill>
              </w:rPr>
              <w:t>.</w:t>
            </w:r>
            <w:r>
              <w:rPr>
                <w:rFonts w:hint="eastAsia"/>
                <w:b/>
                <w:bCs/>
                <w:color w:val="000000" w:themeColor="text1"/>
                <w:sz w:val="24"/>
                <w:highlight w:val="none"/>
                <w14:textFill>
                  <w14:solidFill>
                    <w14:schemeClr w14:val="tx1"/>
                  </w14:solidFill>
                </w14:textFill>
              </w:rPr>
              <w:t>产品方案</w:t>
            </w:r>
          </w:p>
          <w:p w14:paraId="57E47A57">
            <w:pPr>
              <w:pStyle w:val="29"/>
              <w:snapToGrid w:val="0"/>
              <w:spacing w:after="0" w:line="360" w:lineRule="auto"/>
              <w:ind w:left="0" w:leftChars="0" w:firstLine="48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具体</w:t>
            </w:r>
            <w:r>
              <w:rPr>
                <w:color w:val="000000" w:themeColor="text1"/>
                <w:szCs w:val="24"/>
                <w:highlight w:val="none"/>
                <w14:textFill>
                  <w14:solidFill>
                    <w14:schemeClr w14:val="tx1"/>
                  </w14:solidFill>
                </w14:textFill>
              </w:rPr>
              <w:t>产品方案</w:t>
            </w:r>
            <w:r>
              <w:rPr>
                <w:rFonts w:hint="eastAsia"/>
                <w:color w:val="000000" w:themeColor="text1"/>
                <w:szCs w:val="24"/>
                <w:highlight w:val="none"/>
                <w14:textFill>
                  <w14:solidFill>
                    <w14:schemeClr w14:val="tx1"/>
                  </w14:solidFill>
                </w14:textFill>
              </w:rPr>
              <w:t>见下表</w:t>
            </w:r>
            <w:r>
              <w:rPr>
                <w:color w:val="000000" w:themeColor="text1"/>
                <w:szCs w:val="24"/>
                <w:highlight w:val="none"/>
                <w14:textFill>
                  <w14:solidFill>
                    <w14:schemeClr w14:val="tx1"/>
                  </w14:solidFill>
                </w14:textFill>
              </w:rPr>
              <w:t>。</w:t>
            </w:r>
          </w:p>
          <w:p w14:paraId="5B3B534B">
            <w:pPr>
              <w:jc w:val="center"/>
              <w:rPr>
                <w:b/>
                <w:color w:val="000000" w:themeColor="text1"/>
                <w:sz w:val="24"/>
                <w:szCs w:val="21"/>
                <w:highlight w:val="none"/>
                <w14:textFill>
                  <w14:solidFill>
                    <w14:schemeClr w14:val="tx1"/>
                  </w14:solidFill>
                </w14:textFill>
              </w:rPr>
            </w:pPr>
            <w:r>
              <w:rPr>
                <w:b/>
                <w:color w:val="000000" w:themeColor="text1"/>
                <w:sz w:val="24"/>
                <w:szCs w:val="21"/>
                <w:highlight w:val="none"/>
                <w14:textFill>
                  <w14:solidFill>
                    <w14:schemeClr w14:val="tx1"/>
                  </w14:solidFill>
                </w14:textFill>
              </w:rPr>
              <w:t>表2-</w:t>
            </w:r>
            <w:r>
              <w:rPr>
                <w:rFonts w:hint="eastAsia"/>
                <w:b/>
                <w:color w:val="000000" w:themeColor="text1"/>
                <w:sz w:val="24"/>
                <w:szCs w:val="21"/>
                <w:highlight w:val="none"/>
                <w14:textFill>
                  <w14:solidFill>
                    <w14:schemeClr w14:val="tx1"/>
                  </w14:solidFill>
                </w14:textFill>
              </w:rPr>
              <w:t>3</w:t>
            </w:r>
            <w:r>
              <w:rPr>
                <w:rFonts w:hint="eastAsia"/>
                <w:b/>
                <w:color w:val="000000" w:themeColor="text1"/>
                <w:sz w:val="24"/>
                <w:szCs w:val="21"/>
                <w:highlight w:val="none"/>
                <w:lang w:val="en-US" w:eastAsia="zh-CN"/>
                <w14:textFill>
                  <w14:solidFill>
                    <w14:schemeClr w14:val="tx1"/>
                  </w14:solidFill>
                </w14:textFill>
              </w:rPr>
              <w:t xml:space="preserve"> </w:t>
            </w:r>
            <w:r>
              <w:rPr>
                <w:b/>
                <w:color w:val="000000" w:themeColor="text1"/>
                <w:sz w:val="24"/>
                <w:szCs w:val="21"/>
                <w:highlight w:val="none"/>
                <w14:textFill>
                  <w14:solidFill>
                    <w14:schemeClr w14:val="tx1"/>
                  </w14:solidFill>
                </w14:textFill>
              </w:rPr>
              <w:t>产品方案一览表</w:t>
            </w:r>
          </w:p>
          <w:tbl>
            <w:tblPr>
              <w:tblStyle w:val="94"/>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2"/>
              <w:gridCol w:w="1408"/>
              <w:gridCol w:w="1627"/>
              <w:gridCol w:w="4082"/>
            </w:tblGrid>
            <w:tr w14:paraId="0649D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jc w:val="center"/>
              </w:trPr>
              <w:tc>
                <w:tcPr>
                  <w:tcW w:w="596" w:type="pct"/>
                  <w:vAlign w:val="center"/>
                </w:tcPr>
                <w:p w14:paraId="2CA8F5C0">
                  <w:pPr>
                    <w:jc w:val="center"/>
                    <w:textAlignment w:val="center"/>
                    <w:rPr>
                      <w:rFonts w:cs="宋体"/>
                      <w:highlight w:val="none"/>
                      <w:lang w:bidi="ar"/>
                    </w:rPr>
                  </w:pPr>
                  <w:r>
                    <w:rPr>
                      <w:rFonts w:hint="eastAsia" w:cs="宋体"/>
                      <w:snapToGrid w:val="0"/>
                      <w:kern w:val="0"/>
                      <w:szCs w:val="21"/>
                      <w:highlight w:val="none"/>
                      <w:lang w:bidi="ar"/>
                    </w:rPr>
                    <w:t>序号</w:t>
                  </w:r>
                </w:p>
              </w:tc>
              <w:tc>
                <w:tcPr>
                  <w:tcW w:w="871" w:type="pct"/>
                  <w:vAlign w:val="center"/>
                </w:tcPr>
                <w:p w14:paraId="019790BC">
                  <w:pPr>
                    <w:jc w:val="center"/>
                    <w:textAlignment w:val="center"/>
                    <w:rPr>
                      <w:rFonts w:cs="宋体"/>
                      <w:highlight w:val="none"/>
                      <w:lang w:bidi="ar"/>
                    </w:rPr>
                  </w:pPr>
                  <w:r>
                    <w:rPr>
                      <w:rFonts w:hint="eastAsia" w:cs="宋体"/>
                      <w:snapToGrid w:val="0"/>
                      <w:kern w:val="0"/>
                      <w:szCs w:val="21"/>
                      <w:highlight w:val="none"/>
                      <w:lang w:bidi="ar"/>
                    </w:rPr>
                    <w:t>产品</w:t>
                  </w:r>
                </w:p>
              </w:tc>
              <w:tc>
                <w:tcPr>
                  <w:tcW w:w="1007" w:type="pct"/>
                  <w:vAlign w:val="center"/>
                </w:tcPr>
                <w:p w14:paraId="14D04F4C">
                  <w:pPr>
                    <w:jc w:val="center"/>
                    <w:textAlignment w:val="center"/>
                    <w:rPr>
                      <w:rFonts w:cs="宋体"/>
                      <w:highlight w:val="none"/>
                      <w:lang w:bidi="ar"/>
                    </w:rPr>
                  </w:pPr>
                  <w:r>
                    <w:rPr>
                      <w:rFonts w:hint="eastAsia" w:cs="宋体"/>
                      <w:snapToGrid w:val="0"/>
                      <w:kern w:val="0"/>
                      <w:szCs w:val="21"/>
                      <w:highlight w:val="none"/>
                      <w:lang w:bidi="ar"/>
                    </w:rPr>
                    <w:t>建设规模</w:t>
                  </w:r>
                </w:p>
              </w:tc>
              <w:tc>
                <w:tcPr>
                  <w:tcW w:w="2526" w:type="pct"/>
                  <w:vAlign w:val="center"/>
                </w:tcPr>
                <w:p w14:paraId="25B5E960">
                  <w:pPr>
                    <w:jc w:val="center"/>
                    <w:textAlignment w:val="center"/>
                    <w:rPr>
                      <w:rFonts w:cs="宋体"/>
                      <w:highlight w:val="none"/>
                      <w:lang w:bidi="ar"/>
                    </w:rPr>
                  </w:pPr>
                  <w:r>
                    <w:rPr>
                      <w:rFonts w:hint="eastAsia" w:cs="宋体"/>
                      <w:snapToGrid w:val="0"/>
                      <w:kern w:val="0"/>
                      <w:szCs w:val="21"/>
                      <w:highlight w:val="none"/>
                      <w:lang w:bidi="ar"/>
                    </w:rPr>
                    <w:t>主要规格型号</w:t>
                  </w:r>
                </w:p>
              </w:tc>
            </w:tr>
            <w:tr w14:paraId="02E8B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jc w:val="center"/>
              </w:trPr>
              <w:tc>
                <w:tcPr>
                  <w:tcW w:w="596" w:type="pct"/>
                  <w:vAlign w:val="center"/>
                </w:tcPr>
                <w:p w14:paraId="696A78DB">
                  <w:pPr>
                    <w:jc w:val="center"/>
                    <w:textAlignment w:val="center"/>
                    <w:rPr>
                      <w:rFonts w:cs="宋体"/>
                      <w:highlight w:val="none"/>
                      <w:lang w:bidi="ar"/>
                    </w:rPr>
                  </w:pPr>
                  <w:r>
                    <w:rPr>
                      <w:rFonts w:hint="eastAsia" w:cs="宋体"/>
                      <w:snapToGrid w:val="0"/>
                      <w:kern w:val="0"/>
                      <w:szCs w:val="21"/>
                      <w:highlight w:val="none"/>
                      <w:lang w:bidi="ar"/>
                    </w:rPr>
                    <w:t>1</w:t>
                  </w:r>
                </w:p>
              </w:tc>
              <w:tc>
                <w:tcPr>
                  <w:tcW w:w="871" w:type="pct"/>
                  <w:vAlign w:val="center"/>
                </w:tcPr>
                <w:p w14:paraId="3D674511">
                  <w:pPr>
                    <w:jc w:val="center"/>
                    <w:textAlignment w:val="center"/>
                    <w:rPr>
                      <w:rFonts w:cs="宋体"/>
                      <w:highlight w:val="none"/>
                      <w:lang w:bidi="ar"/>
                    </w:rPr>
                  </w:pPr>
                  <w:r>
                    <w:rPr>
                      <w:rFonts w:hint="eastAsia" w:cs="宋体"/>
                      <w:snapToGrid w:val="0"/>
                      <w:kern w:val="0"/>
                      <w:szCs w:val="21"/>
                      <w:highlight w:val="none"/>
                      <w:lang w:bidi="ar"/>
                    </w:rPr>
                    <w:t>光伏管桩</w:t>
                  </w:r>
                </w:p>
              </w:tc>
              <w:tc>
                <w:tcPr>
                  <w:tcW w:w="1007" w:type="pct"/>
                  <w:vAlign w:val="center"/>
                </w:tcPr>
                <w:p w14:paraId="6106433C">
                  <w:pPr>
                    <w:jc w:val="center"/>
                    <w:textAlignment w:val="center"/>
                    <w:rPr>
                      <w:rFonts w:cs="宋体"/>
                      <w:highlight w:val="none"/>
                      <w:lang w:bidi="ar"/>
                    </w:rPr>
                  </w:pPr>
                  <w:r>
                    <w:rPr>
                      <w:rFonts w:hint="eastAsia" w:cs="宋体"/>
                      <w:snapToGrid w:val="0"/>
                      <w:kern w:val="0"/>
                      <w:szCs w:val="21"/>
                      <w:highlight w:val="none"/>
                      <w:lang w:bidi="ar"/>
                    </w:rPr>
                    <w:t>300万米</w:t>
                  </w:r>
                </w:p>
              </w:tc>
              <w:tc>
                <w:tcPr>
                  <w:tcW w:w="2526" w:type="pct"/>
                  <w:vAlign w:val="center"/>
                </w:tcPr>
                <w:p w14:paraId="37E48D94">
                  <w:pPr>
                    <w:jc w:val="center"/>
                    <w:textAlignment w:val="center"/>
                    <w:rPr>
                      <w:rFonts w:cs="宋体"/>
                      <w:highlight w:val="none"/>
                      <w:lang w:bidi="ar"/>
                    </w:rPr>
                  </w:pPr>
                  <w:r>
                    <w:rPr>
                      <w:rFonts w:hint="eastAsia" w:cs="宋体"/>
                      <w:snapToGrid w:val="0"/>
                      <w:kern w:val="0"/>
                      <w:szCs w:val="21"/>
                      <w:highlight w:val="none"/>
                      <w:lang w:bidi="ar"/>
                    </w:rPr>
                    <w:t>Φ300PHC桩（8-15米节长A型、B型、AB型）</w:t>
                  </w:r>
                </w:p>
              </w:tc>
            </w:tr>
          </w:tbl>
          <w:p w14:paraId="16542896">
            <w:pPr>
              <w:jc w:val="center"/>
              <w:rPr>
                <w:rFonts w:eastAsiaTheme="minorEastAsia"/>
                <w:b/>
                <w:bCs/>
                <w:sz w:val="24"/>
                <w:highlight w:val="none"/>
              </w:rPr>
            </w:pPr>
            <w:r>
              <w:rPr>
                <w:rFonts w:hint="eastAsia" w:eastAsiaTheme="minorEastAsia"/>
                <w:b/>
                <w:bCs/>
                <w:sz w:val="24"/>
                <w:highlight w:val="none"/>
              </w:rPr>
              <w:t>表2-4</w:t>
            </w:r>
            <w:r>
              <w:rPr>
                <w:rFonts w:hint="eastAsia" w:eastAsiaTheme="minorEastAsia"/>
                <w:b/>
                <w:bCs/>
                <w:sz w:val="24"/>
                <w:highlight w:val="none"/>
                <w:lang w:val="en-US" w:eastAsia="zh-CN"/>
              </w:rPr>
              <w:t xml:space="preserve"> </w:t>
            </w:r>
            <w:r>
              <w:rPr>
                <w:rFonts w:eastAsiaTheme="minorEastAsia"/>
                <w:b/>
                <w:bCs/>
                <w:sz w:val="24"/>
                <w:highlight w:val="none"/>
              </w:rPr>
              <w:t>PHC管桩基本尺寸要求（GB13476-2009）</w:t>
            </w:r>
          </w:p>
          <w:tbl>
            <w:tblPr>
              <w:tblStyle w:val="9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18"/>
              <w:gridCol w:w="1205"/>
              <w:gridCol w:w="1686"/>
              <w:gridCol w:w="1686"/>
              <w:gridCol w:w="1980"/>
            </w:tblGrid>
            <w:tr w14:paraId="7BBD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40" w:type="pct"/>
                  <w:vMerge w:val="restart"/>
                  <w:vAlign w:val="center"/>
                </w:tcPr>
                <w:p w14:paraId="42568235">
                  <w:pPr>
                    <w:jc w:val="center"/>
                    <w:textAlignment w:val="center"/>
                    <w:rPr>
                      <w:rFonts w:cs="宋体"/>
                      <w:snapToGrid w:val="0"/>
                      <w:kern w:val="0"/>
                      <w:szCs w:val="21"/>
                      <w:highlight w:val="none"/>
                      <w:lang w:bidi="ar"/>
                    </w:rPr>
                  </w:pPr>
                  <w:r>
                    <w:rPr>
                      <w:rFonts w:cs="宋体"/>
                      <w:snapToGrid w:val="0"/>
                      <w:kern w:val="0"/>
                      <w:szCs w:val="21"/>
                      <w:highlight w:val="none"/>
                      <w:lang w:bidi="ar"/>
                    </w:rPr>
                    <w:t>外径/mm</w:t>
                  </w:r>
                </w:p>
              </w:tc>
              <w:tc>
                <w:tcPr>
                  <w:tcW w:w="746" w:type="pct"/>
                  <w:vMerge w:val="restart"/>
                  <w:vAlign w:val="center"/>
                </w:tcPr>
                <w:p w14:paraId="274D1F70">
                  <w:pPr>
                    <w:jc w:val="center"/>
                    <w:textAlignment w:val="center"/>
                    <w:rPr>
                      <w:rFonts w:cs="宋体"/>
                      <w:snapToGrid w:val="0"/>
                      <w:kern w:val="0"/>
                      <w:szCs w:val="21"/>
                      <w:highlight w:val="none"/>
                      <w:lang w:bidi="ar"/>
                    </w:rPr>
                  </w:pPr>
                  <w:r>
                    <w:rPr>
                      <w:rFonts w:cs="宋体"/>
                      <w:snapToGrid w:val="0"/>
                      <w:kern w:val="0"/>
                      <w:szCs w:val="21"/>
                      <w:highlight w:val="none"/>
                      <w:lang w:bidi="ar"/>
                    </w:rPr>
                    <w:t>型号</w:t>
                  </w:r>
                </w:p>
              </w:tc>
              <w:tc>
                <w:tcPr>
                  <w:tcW w:w="1044" w:type="pct"/>
                  <w:vAlign w:val="center"/>
                </w:tcPr>
                <w:p w14:paraId="0BFC567C">
                  <w:pPr>
                    <w:jc w:val="center"/>
                    <w:textAlignment w:val="center"/>
                    <w:rPr>
                      <w:rFonts w:cs="宋体"/>
                      <w:snapToGrid w:val="0"/>
                      <w:kern w:val="0"/>
                      <w:szCs w:val="21"/>
                      <w:highlight w:val="none"/>
                      <w:lang w:bidi="ar"/>
                    </w:rPr>
                  </w:pPr>
                  <w:r>
                    <w:rPr>
                      <w:rFonts w:cs="宋体"/>
                      <w:snapToGrid w:val="0"/>
                      <w:kern w:val="0"/>
                      <w:szCs w:val="21"/>
                      <w:highlight w:val="none"/>
                      <w:lang w:bidi="ar"/>
                    </w:rPr>
                    <w:t>壁厚/mm</w:t>
                  </w:r>
                </w:p>
              </w:tc>
              <w:tc>
                <w:tcPr>
                  <w:tcW w:w="1044" w:type="pct"/>
                  <w:vMerge w:val="restart"/>
                  <w:vAlign w:val="center"/>
                </w:tcPr>
                <w:p w14:paraId="48A565FE">
                  <w:pPr>
                    <w:jc w:val="center"/>
                    <w:textAlignment w:val="center"/>
                    <w:rPr>
                      <w:rFonts w:cs="宋体"/>
                      <w:snapToGrid w:val="0"/>
                      <w:kern w:val="0"/>
                      <w:szCs w:val="21"/>
                      <w:highlight w:val="none"/>
                      <w:lang w:bidi="ar"/>
                    </w:rPr>
                  </w:pPr>
                  <w:r>
                    <w:rPr>
                      <w:rFonts w:cs="宋体"/>
                      <w:snapToGrid w:val="0"/>
                      <w:kern w:val="0"/>
                      <w:szCs w:val="21"/>
                      <w:highlight w:val="none"/>
                      <w:lang w:bidi="ar"/>
                    </w:rPr>
                    <w:t>长度/m</w:t>
                  </w:r>
                </w:p>
              </w:tc>
              <w:tc>
                <w:tcPr>
                  <w:tcW w:w="1227" w:type="pct"/>
                  <w:vMerge w:val="restart"/>
                  <w:vAlign w:val="center"/>
                </w:tcPr>
                <w:p w14:paraId="313193E7">
                  <w:pPr>
                    <w:jc w:val="center"/>
                    <w:textAlignment w:val="center"/>
                    <w:rPr>
                      <w:rFonts w:cs="宋体"/>
                      <w:snapToGrid w:val="0"/>
                      <w:kern w:val="0"/>
                      <w:szCs w:val="21"/>
                      <w:highlight w:val="none"/>
                      <w:lang w:bidi="ar"/>
                    </w:rPr>
                  </w:pPr>
                  <w:r>
                    <w:rPr>
                      <w:rFonts w:cs="宋体"/>
                      <w:snapToGrid w:val="0"/>
                      <w:kern w:val="0"/>
                      <w:szCs w:val="21"/>
                      <w:highlight w:val="none"/>
                      <w:lang w:bidi="ar"/>
                    </w:rPr>
                    <w:t>预应力钢筋最小配筋面积/mm²</w:t>
                  </w:r>
                </w:p>
              </w:tc>
            </w:tr>
            <w:tr w14:paraId="0B403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40" w:type="pct"/>
                  <w:vMerge w:val="continue"/>
                  <w:vAlign w:val="center"/>
                </w:tcPr>
                <w:p w14:paraId="42F054CE">
                  <w:pPr>
                    <w:jc w:val="center"/>
                    <w:textAlignment w:val="center"/>
                    <w:rPr>
                      <w:rFonts w:cs="宋体"/>
                      <w:snapToGrid w:val="0"/>
                      <w:kern w:val="0"/>
                      <w:szCs w:val="21"/>
                      <w:highlight w:val="none"/>
                      <w:lang w:bidi="ar"/>
                    </w:rPr>
                  </w:pPr>
                </w:p>
              </w:tc>
              <w:tc>
                <w:tcPr>
                  <w:tcW w:w="746" w:type="pct"/>
                  <w:vMerge w:val="continue"/>
                  <w:vAlign w:val="center"/>
                </w:tcPr>
                <w:p w14:paraId="243680F5">
                  <w:pPr>
                    <w:jc w:val="center"/>
                    <w:textAlignment w:val="center"/>
                    <w:rPr>
                      <w:rFonts w:cs="宋体"/>
                      <w:snapToGrid w:val="0"/>
                      <w:kern w:val="0"/>
                      <w:szCs w:val="21"/>
                      <w:highlight w:val="none"/>
                      <w:lang w:bidi="ar"/>
                    </w:rPr>
                  </w:pPr>
                </w:p>
              </w:tc>
              <w:tc>
                <w:tcPr>
                  <w:tcW w:w="1044" w:type="pct"/>
                  <w:vAlign w:val="center"/>
                </w:tcPr>
                <w:p w14:paraId="35361A6A">
                  <w:pPr>
                    <w:pStyle w:val="95"/>
                    <w:spacing w:before="160"/>
                    <w:jc w:val="center"/>
                    <w:textAlignment w:val="center"/>
                    <w:rPr>
                      <w:rFonts w:ascii="Times New Roman" w:hAnsi="Times New Roman"/>
                      <w:color w:val="auto"/>
                      <w:sz w:val="21"/>
                      <w:szCs w:val="21"/>
                      <w:highlight w:val="none"/>
                      <w:lang w:eastAsia="zh-CN" w:bidi="ar"/>
                    </w:rPr>
                  </w:pPr>
                  <w:r>
                    <w:rPr>
                      <w:rFonts w:ascii="Times New Roman" w:hAnsi="Times New Roman"/>
                      <w:color w:val="auto"/>
                      <w:sz w:val="21"/>
                      <w:szCs w:val="21"/>
                      <w:highlight w:val="none"/>
                      <w:lang w:eastAsia="zh-CN" w:bidi="ar"/>
                    </w:rPr>
                    <w:t>PC 、PHC</w:t>
                  </w:r>
                </w:p>
              </w:tc>
              <w:tc>
                <w:tcPr>
                  <w:tcW w:w="1044" w:type="pct"/>
                  <w:vMerge w:val="continue"/>
                  <w:vAlign w:val="center"/>
                </w:tcPr>
                <w:p w14:paraId="4DAFB300">
                  <w:pPr>
                    <w:jc w:val="center"/>
                    <w:textAlignment w:val="center"/>
                    <w:rPr>
                      <w:rFonts w:cs="宋体"/>
                      <w:snapToGrid w:val="0"/>
                      <w:kern w:val="0"/>
                      <w:szCs w:val="21"/>
                      <w:highlight w:val="none"/>
                      <w:lang w:bidi="ar"/>
                    </w:rPr>
                  </w:pPr>
                </w:p>
              </w:tc>
              <w:tc>
                <w:tcPr>
                  <w:tcW w:w="1227" w:type="pct"/>
                  <w:vMerge w:val="continue"/>
                  <w:vAlign w:val="center"/>
                </w:tcPr>
                <w:p w14:paraId="5AFF9522">
                  <w:pPr>
                    <w:jc w:val="center"/>
                    <w:textAlignment w:val="center"/>
                    <w:rPr>
                      <w:rFonts w:cs="宋体"/>
                      <w:snapToGrid w:val="0"/>
                      <w:kern w:val="0"/>
                      <w:szCs w:val="21"/>
                      <w:highlight w:val="none"/>
                      <w:lang w:bidi="ar"/>
                    </w:rPr>
                  </w:pPr>
                </w:p>
              </w:tc>
            </w:tr>
            <w:tr w14:paraId="46BE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40" w:type="pct"/>
                  <w:vMerge w:val="restart"/>
                  <w:vAlign w:val="center"/>
                </w:tcPr>
                <w:p w14:paraId="526B96FC">
                  <w:pPr>
                    <w:jc w:val="center"/>
                    <w:textAlignment w:val="center"/>
                    <w:rPr>
                      <w:rFonts w:cs="宋体"/>
                      <w:snapToGrid w:val="0"/>
                      <w:kern w:val="0"/>
                      <w:szCs w:val="21"/>
                      <w:highlight w:val="none"/>
                      <w:lang w:bidi="ar"/>
                    </w:rPr>
                  </w:pPr>
                  <w:r>
                    <w:rPr>
                      <w:rFonts w:cs="宋体"/>
                      <w:snapToGrid w:val="0"/>
                      <w:kern w:val="0"/>
                      <w:szCs w:val="21"/>
                      <w:highlight w:val="none"/>
                      <w:lang w:bidi="ar"/>
                    </w:rPr>
                    <w:t>300</w:t>
                  </w:r>
                </w:p>
              </w:tc>
              <w:tc>
                <w:tcPr>
                  <w:tcW w:w="746" w:type="pct"/>
                  <w:vAlign w:val="center"/>
                </w:tcPr>
                <w:p w14:paraId="64EC203D">
                  <w:pPr>
                    <w:jc w:val="center"/>
                    <w:textAlignment w:val="center"/>
                    <w:rPr>
                      <w:rFonts w:cs="宋体"/>
                      <w:snapToGrid w:val="0"/>
                      <w:kern w:val="0"/>
                      <w:szCs w:val="21"/>
                      <w:highlight w:val="none"/>
                      <w:lang w:bidi="ar"/>
                    </w:rPr>
                  </w:pPr>
                  <w:r>
                    <w:rPr>
                      <w:rFonts w:cs="宋体"/>
                      <w:snapToGrid w:val="0"/>
                      <w:kern w:val="0"/>
                      <w:szCs w:val="21"/>
                      <w:highlight w:val="none"/>
                      <w:lang w:bidi="ar"/>
                    </w:rPr>
                    <w:t>A</w:t>
                  </w:r>
                </w:p>
              </w:tc>
              <w:tc>
                <w:tcPr>
                  <w:tcW w:w="1044" w:type="pct"/>
                  <w:vMerge w:val="restart"/>
                  <w:vAlign w:val="center"/>
                </w:tcPr>
                <w:p w14:paraId="678495C0">
                  <w:pPr>
                    <w:jc w:val="center"/>
                    <w:textAlignment w:val="center"/>
                    <w:rPr>
                      <w:rFonts w:cs="宋体"/>
                      <w:snapToGrid w:val="0"/>
                      <w:kern w:val="0"/>
                      <w:szCs w:val="21"/>
                      <w:highlight w:val="none"/>
                      <w:lang w:bidi="ar"/>
                    </w:rPr>
                  </w:pPr>
                  <w:r>
                    <w:rPr>
                      <w:rFonts w:hint="eastAsia" w:cs="宋体"/>
                      <w:snapToGrid w:val="0"/>
                      <w:kern w:val="0"/>
                      <w:szCs w:val="21"/>
                      <w:highlight w:val="none"/>
                      <w:lang w:bidi="ar"/>
                    </w:rPr>
                    <w:t>7</w:t>
                  </w:r>
                  <w:r>
                    <w:rPr>
                      <w:rFonts w:cs="宋体"/>
                      <w:snapToGrid w:val="0"/>
                      <w:kern w:val="0"/>
                      <w:szCs w:val="21"/>
                      <w:highlight w:val="none"/>
                      <w:lang w:bidi="ar"/>
                    </w:rPr>
                    <w:t>0</w:t>
                  </w:r>
                </w:p>
              </w:tc>
              <w:tc>
                <w:tcPr>
                  <w:tcW w:w="1044" w:type="pct"/>
                  <w:vMerge w:val="restart"/>
                  <w:vAlign w:val="center"/>
                </w:tcPr>
                <w:p w14:paraId="283A9CF0">
                  <w:pPr>
                    <w:pStyle w:val="95"/>
                    <w:jc w:val="center"/>
                    <w:textAlignment w:val="center"/>
                    <w:rPr>
                      <w:rFonts w:ascii="Times New Roman" w:hAnsi="Times New Roman"/>
                      <w:color w:val="auto"/>
                      <w:sz w:val="21"/>
                      <w:szCs w:val="21"/>
                      <w:highlight w:val="none"/>
                      <w:lang w:eastAsia="zh-CN" w:bidi="ar"/>
                    </w:rPr>
                  </w:pPr>
                  <w:r>
                    <w:rPr>
                      <w:rFonts w:ascii="Times New Roman" w:hAnsi="Times New Roman"/>
                      <w:color w:val="auto"/>
                      <w:sz w:val="21"/>
                      <w:szCs w:val="21"/>
                      <w:highlight w:val="none"/>
                      <w:lang w:eastAsia="zh-CN" w:bidi="ar"/>
                    </w:rPr>
                    <w:t>7～11</w:t>
                  </w:r>
                </w:p>
              </w:tc>
              <w:tc>
                <w:tcPr>
                  <w:tcW w:w="1227" w:type="pct"/>
                  <w:vAlign w:val="center"/>
                </w:tcPr>
                <w:p w14:paraId="44F0DEE8">
                  <w:pPr>
                    <w:jc w:val="center"/>
                    <w:textAlignment w:val="center"/>
                    <w:rPr>
                      <w:rFonts w:cs="宋体"/>
                      <w:snapToGrid w:val="0"/>
                      <w:kern w:val="0"/>
                      <w:szCs w:val="21"/>
                      <w:highlight w:val="none"/>
                      <w:lang w:bidi="ar"/>
                    </w:rPr>
                  </w:pPr>
                  <w:r>
                    <w:rPr>
                      <w:rFonts w:cs="宋体"/>
                      <w:snapToGrid w:val="0"/>
                      <w:kern w:val="0"/>
                      <w:szCs w:val="21"/>
                      <w:highlight w:val="none"/>
                      <w:lang w:bidi="ar"/>
                    </w:rPr>
                    <w:t>240</w:t>
                  </w:r>
                </w:p>
              </w:tc>
            </w:tr>
            <w:tr w14:paraId="20FE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940" w:type="pct"/>
                  <w:vMerge w:val="continue"/>
                  <w:vAlign w:val="center"/>
                </w:tcPr>
                <w:p w14:paraId="40247C2D">
                  <w:pPr>
                    <w:jc w:val="center"/>
                    <w:textAlignment w:val="center"/>
                    <w:rPr>
                      <w:rFonts w:cs="宋体"/>
                      <w:snapToGrid w:val="0"/>
                      <w:kern w:val="0"/>
                      <w:szCs w:val="21"/>
                      <w:highlight w:val="none"/>
                      <w:lang w:bidi="ar"/>
                    </w:rPr>
                  </w:pPr>
                </w:p>
              </w:tc>
              <w:tc>
                <w:tcPr>
                  <w:tcW w:w="746" w:type="pct"/>
                  <w:vAlign w:val="center"/>
                </w:tcPr>
                <w:p w14:paraId="3222D64B">
                  <w:pPr>
                    <w:spacing w:before="160"/>
                    <w:jc w:val="center"/>
                    <w:textAlignment w:val="center"/>
                    <w:rPr>
                      <w:rFonts w:cs="宋体"/>
                      <w:snapToGrid w:val="0"/>
                      <w:kern w:val="0"/>
                      <w:szCs w:val="21"/>
                      <w:highlight w:val="none"/>
                      <w:lang w:bidi="ar"/>
                    </w:rPr>
                  </w:pPr>
                  <w:r>
                    <w:rPr>
                      <w:rFonts w:cs="宋体"/>
                      <w:snapToGrid w:val="0"/>
                      <w:kern w:val="0"/>
                      <w:szCs w:val="21"/>
                      <w:highlight w:val="none"/>
                      <w:lang w:bidi="ar"/>
                    </w:rPr>
                    <w:t>AB</w:t>
                  </w:r>
                </w:p>
              </w:tc>
              <w:tc>
                <w:tcPr>
                  <w:tcW w:w="1044" w:type="pct"/>
                  <w:vMerge w:val="continue"/>
                  <w:vAlign w:val="center"/>
                </w:tcPr>
                <w:p w14:paraId="7A0E0BE3">
                  <w:pPr>
                    <w:jc w:val="center"/>
                    <w:textAlignment w:val="center"/>
                    <w:rPr>
                      <w:rFonts w:cs="宋体"/>
                      <w:snapToGrid w:val="0"/>
                      <w:kern w:val="0"/>
                      <w:szCs w:val="21"/>
                      <w:highlight w:val="none"/>
                      <w:lang w:bidi="ar"/>
                    </w:rPr>
                  </w:pPr>
                </w:p>
              </w:tc>
              <w:tc>
                <w:tcPr>
                  <w:tcW w:w="1044" w:type="pct"/>
                  <w:vMerge w:val="continue"/>
                  <w:vAlign w:val="center"/>
                </w:tcPr>
                <w:p w14:paraId="1EA17A69">
                  <w:pPr>
                    <w:jc w:val="center"/>
                    <w:textAlignment w:val="center"/>
                    <w:rPr>
                      <w:rFonts w:cs="宋体"/>
                      <w:snapToGrid w:val="0"/>
                      <w:kern w:val="0"/>
                      <w:szCs w:val="21"/>
                      <w:highlight w:val="none"/>
                      <w:lang w:bidi="ar"/>
                    </w:rPr>
                  </w:pPr>
                </w:p>
              </w:tc>
              <w:tc>
                <w:tcPr>
                  <w:tcW w:w="1227" w:type="pct"/>
                  <w:vAlign w:val="center"/>
                </w:tcPr>
                <w:p w14:paraId="0D922F85">
                  <w:pPr>
                    <w:spacing w:before="160"/>
                    <w:jc w:val="center"/>
                    <w:textAlignment w:val="center"/>
                    <w:rPr>
                      <w:rFonts w:cs="宋体"/>
                      <w:snapToGrid w:val="0"/>
                      <w:kern w:val="0"/>
                      <w:szCs w:val="21"/>
                      <w:highlight w:val="none"/>
                      <w:lang w:bidi="ar"/>
                    </w:rPr>
                  </w:pPr>
                  <w:r>
                    <w:rPr>
                      <w:rFonts w:cs="宋体"/>
                      <w:snapToGrid w:val="0"/>
                      <w:kern w:val="0"/>
                      <w:szCs w:val="21"/>
                      <w:highlight w:val="none"/>
                      <w:lang w:bidi="ar"/>
                    </w:rPr>
                    <w:t>384</w:t>
                  </w:r>
                </w:p>
              </w:tc>
            </w:tr>
            <w:tr w14:paraId="3D45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40" w:type="pct"/>
                  <w:vMerge w:val="continue"/>
                  <w:vAlign w:val="center"/>
                </w:tcPr>
                <w:p w14:paraId="1A8B6C49">
                  <w:pPr>
                    <w:jc w:val="center"/>
                    <w:textAlignment w:val="center"/>
                    <w:rPr>
                      <w:rFonts w:cs="宋体"/>
                      <w:snapToGrid w:val="0"/>
                      <w:kern w:val="0"/>
                      <w:szCs w:val="21"/>
                      <w:highlight w:val="none"/>
                      <w:lang w:bidi="ar"/>
                    </w:rPr>
                  </w:pPr>
                </w:p>
              </w:tc>
              <w:tc>
                <w:tcPr>
                  <w:tcW w:w="746" w:type="pct"/>
                  <w:vAlign w:val="center"/>
                </w:tcPr>
                <w:p w14:paraId="7AB3E46A">
                  <w:pPr>
                    <w:spacing w:before="165"/>
                    <w:jc w:val="center"/>
                    <w:textAlignment w:val="center"/>
                    <w:rPr>
                      <w:rFonts w:cs="宋体"/>
                      <w:snapToGrid w:val="0"/>
                      <w:kern w:val="0"/>
                      <w:szCs w:val="21"/>
                      <w:highlight w:val="none"/>
                      <w:lang w:bidi="ar"/>
                    </w:rPr>
                  </w:pPr>
                  <w:r>
                    <w:rPr>
                      <w:rFonts w:cs="宋体"/>
                      <w:snapToGrid w:val="0"/>
                      <w:kern w:val="0"/>
                      <w:szCs w:val="21"/>
                      <w:highlight w:val="none"/>
                      <w:lang w:bidi="ar"/>
                    </w:rPr>
                    <w:t>B</w:t>
                  </w:r>
                </w:p>
              </w:tc>
              <w:tc>
                <w:tcPr>
                  <w:tcW w:w="1044" w:type="pct"/>
                  <w:vMerge w:val="continue"/>
                  <w:vAlign w:val="center"/>
                </w:tcPr>
                <w:p w14:paraId="0AB31B89">
                  <w:pPr>
                    <w:jc w:val="center"/>
                    <w:textAlignment w:val="center"/>
                    <w:rPr>
                      <w:rFonts w:cs="宋体"/>
                      <w:snapToGrid w:val="0"/>
                      <w:kern w:val="0"/>
                      <w:szCs w:val="21"/>
                      <w:highlight w:val="none"/>
                      <w:lang w:bidi="ar"/>
                    </w:rPr>
                  </w:pPr>
                </w:p>
              </w:tc>
              <w:tc>
                <w:tcPr>
                  <w:tcW w:w="1044" w:type="pct"/>
                  <w:vMerge w:val="continue"/>
                  <w:vAlign w:val="center"/>
                </w:tcPr>
                <w:p w14:paraId="57FF49D8">
                  <w:pPr>
                    <w:jc w:val="center"/>
                    <w:textAlignment w:val="center"/>
                    <w:rPr>
                      <w:rFonts w:cs="宋体"/>
                      <w:snapToGrid w:val="0"/>
                      <w:kern w:val="0"/>
                      <w:szCs w:val="21"/>
                      <w:highlight w:val="none"/>
                      <w:lang w:bidi="ar"/>
                    </w:rPr>
                  </w:pPr>
                </w:p>
              </w:tc>
              <w:tc>
                <w:tcPr>
                  <w:tcW w:w="1227" w:type="pct"/>
                  <w:vAlign w:val="center"/>
                </w:tcPr>
                <w:p w14:paraId="3D58AEB0">
                  <w:pPr>
                    <w:spacing w:before="162"/>
                    <w:jc w:val="center"/>
                    <w:textAlignment w:val="center"/>
                    <w:rPr>
                      <w:rFonts w:cs="宋体"/>
                      <w:snapToGrid w:val="0"/>
                      <w:kern w:val="0"/>
                      <w:szCs w:val="21"/>
                      <w:highlight w:val="none"/>
                      <w:lang w:bidi="ar"/>
                    </w:rPr>
                  </w:pPr>
                  <w:r>
                    <w:rPr>
                      <w:rFonts w:cs="宋体"/>
                      <w:snapToGrid w:val="0"/>
                      <w:kern w:val="0"/>
                      <w:szCs w:val="21"/>
                      <w:highlight w:val="none"/>
                      <w:lang w:bidi="ar"/>
                    </w:rPr>
                    <w:t>512</w:t>
                  </w:r>
                </w:p>
              </w:tc>
            </w:tr>
          </w:tbl>
          <w:p w14:paraId="34B8F068">
            <w:pPr>
              <w:pStyle w:val="20"/>
              <w:spacing w:line="360" w:lineRule="auto"/>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5</w:t>
            </w:r>
            <w:r>
              <w:rPr>
                <w:rFonts w:hint="eastAsia"/>
                <w:b/>
                <w:bCs/>
                <w:color w:val="000000" w:themeColor="text1"/>
                <w:sz w:val="24"/>
                <w:highlight w:val="none"/>
                <w:lang w:val="en-US" w:eastAsia="zh-CN"/>
                <w14:textFill>
                  <w14:solidFill>
                    <w14:schemeClr w14:val="tx1"/>
                  </w14:solidFill>
                </w14:textFill>
              </w:rPr>
              <w:t>.</w:t>
            </w:r>
            <w:r>
              <w:rPr>
                <w:b/>
                <w:bCs/>
                <w:color w:val="000000" w:themeColor="text1"/>
                <w:sz w:val="24"/>
                <w:highlight w:val="none"/>
                <w14:textFill>
                  <w14:solidFill>
                    <w14:schemeClr w14:val="tx1"/>
                  </w14:solidFill>
                </w14:textFill>
              </w:rPr>
              <w:t>原辅材料消耗</w:t>
            </w:r>
            <w:r>
              <w:rPr>
                <w:rFonts w:hint="eastAsia"/>
                <w:b/>
                <w:bCs/>
                <w:color w:val="000000" w:themeColor="text1"/>
                <w:sz w:val="24"/>
                <w:highlight w:val="none"/>
                <w14:textFill>
                  <w14:solidFill>
                    <w14:schemeClr w14:val="tx1"/>
                  </w14:solidFill>
                </w14:textFill>
              </w:rPr>
              <w:t>及物料平衡</w:t>
            </w:r>
          </w:p>
          <w:p w14:paraId="6A4923CC">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（1）原辅材料消耗</w:t>
            </w:r>
          </w:p>
          <w:p w14:paraId="5F653AFC">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w:t>
            </w:r>
            <w:r>
              <w:rPr>
                <w:rFonts w:hint="eastAsia"/>
                <w:color w:val="000000" w:themeColor="text1"/>
                <w:sz w:val="24"/>
                <w:highlight w:val="none"/>
                <w14:textFill>
                  <w14:solidFill>
                    <w14:schemeClr w14:val="tx1"/>
                  </w14:solidFill>
                </w14:textFill>
              </w:rPr>
              <w:t>主要</w:t>
            </w:r>
            <w:r>
              <w:rPr>
                <w:color w:val="000000" w:themeColor="text1"/>
                <w:sz w:val="24"/>
                <w:highlight w:val="none"/>
                <w14:textFill>
                  <w14:solidFill>
                    <w14:schemeClr w14:val="tx1"/>
                  </w14:solidFill>
                </w14:textFill>
              </w:rPr>
              <w:t>原</w:t>
            </w:r>
            <w:r>
              <w:rPr>
                <w:rFonts w:hint="eastAsia"/>
                <w:color w:val="000000" w:themeColor="text1"/>
                <w:sz w:val="24"/>
                <w:highlight w:val="none"/>
                <w14:textFill>
                  <w14:solidFill>
                    <w14:schemeClr w14:val="tx1"/>
                  </w14:solidFill>
                </w14:textFill>
              </w:rPr>
              <w:t>料</w:t>
            </w:r>
            <w:r>
              <w:rPr>
                <w:color w:val="000000" w:themeColor="text1"/>
                <w:sz w:val="24"/>
                <w:highlight w:val="none"/>
                <w14:textFill>
                  <w14:solidFill>
                    <w14:schemeClr w14:val="tx1"/>
                  </w14:solidFill>
                </w14:textFill>
              </w:rPr>
              <w:t>为</w:t>
            </w:r>
            <w:r>
              <w:rPr>
                <w:rFonts w:hint="eastAsia"/>
                <w:color w:val="000000" w:themeColor="text1"/>
                <w:sz w:val="24"/>
                <w:highlight w:val="none"/>
                <w14:textFill>
                  <w14:solidFill>
                    <w14:schemeClr w14:val="tx1"/>
                  </w14:solidFill>
                </w14:textFill>
              </w:rPr>
              <w:t>成品</w:t>
            </w:r>
            <w:r>
              <w:rPr>
                <w:color w:val="000000" w:themeColor="text1"/>
                <w:sz w:val="24"/>
                <w:highlight w:val="none"/>
                <w14:textFill>
                  <w14:solidFill>
                    <w14:schemeClr w14:val="tx1"/>
                  </w14:solidFill>
                </w14:textFill>
              </w:rPr>
              <w:t>水泥</w:t>
            </w:r>
            <w:r>
              <w:rPr>
                <w:rFonts w:hint="eastAsia"/>
                <w:color w:val="000000" w:themeColor="text1"/>
                <w:sz w:val="24"/>
                <w:highlight w:val="none"/>
                <w14:textFill>
                  <w14:solidFill>
                    <w14:schemeClr w14:val="tx1"/>
                  </w14:solidFill>
                </w14:textFill>
              </w:rPr>
              <w:t>、硅粉、矿粉、</w:t>
            </w:r>
            <w:r>
              <w:rPr>
                <w:color w:val="000000" w:themeColor="text1"/>
                <w:sz w:val="24"/>
                <w:highlight w:val="none"/>
                <w14:textFill>
                  <w14:solidFill>
                    <w14:schemeClr w14:val="tx1"/>
                  </w14:solidFill>
                </w14:textFill>
              </w:rPr>
              <w:t>石子、砂子、</w:t>
            </w:r>
            <w:r>
              <w:rPr>
                <w:rFonts w:hint="eastAsia"/>
                <w:color w:val="000000" w:themeColor="text1"/>
                <w:sz w:val="24"/>
                <w:highlight w:val="none"/>
                <w14:textFill>
                  <w14:solidFill>
                    <w14:schemeClr w14:val="tx1"/>
                  </w14:solidFill>
                </w14:textFill>
              </w:rPr>
              <w:t>外加剂</w:t>
            </w:r>
            <w:r>
              <w:rPr>
                <w:rFonts w:hint="eastAsia"/>
                <w:color w:val="000000" w:themeColor="text1"/>
                <w:sz w:val="24"/>
                <w:highlight w:val="none"/>
                <w:lang w:eastAsia="zh-CN"/>
                <w14:textFill>
                  <w14:solidFill>
                    <w14:schemeClr w14:val="tx1"/>
                  </w14:solidFill>
                </w14:textFill>
              </w:rPr>
              <w:t>等</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项目原辅材料消耗情况</w:t>
            </w:r>
            <w:r>
              <w:rPr>
                <w:rFonts w:hint="eastAsia"/>
                <w:color w:val="000000" w:themeColor="text1"/>
                <w:sz w:val="24"/>
                <w:highlight w:val="none"/>
                <w:lang w:eastAsia="zh-CN"/>
                <w14:textFill>
                  <w14:solidFill>
                    <w14:schemeClr w14:val="tx1"/>
                  </w14:solidFill>
                </w14:textFill>
              </w:rPr>
              <w:t>见</w:t>
            </w:r>
            <w:r>
              <w:rPr>
                <w:color w:val="000000" w:themeColor="text1"/>
                <w:sz w:val="24"/>
                <w:highlight w:val="none"/>
                <w14:textFill>
                  <w14:solidFill>
                    <w14:schemeClr w14:val="tx1"/>
                  </w14:solidFill>
                </w14:textFill>
              </w:rPr>
              <w:t>下表。</w:t>
            </w:r>
          </w:p>
          <w:p w14:paraId="55405616">
            <w:pPr>
              <w:jc w:val="center"/>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表2-</w:t>
            </w:r>
            <w:r>
              <w:rPr>
                <w:rFonts w:hint="eastAsia"/>
                <w:b/>
                <w:bCs/>
                <w:color w:val="000000" w:themeColor="text1"/>
                <w:sz w:val="24"/>
                <w:highlight w:val="none"/>
                <w14:textFill>
                  <w14:solidFill>
                    <w14:schemeClr w14:val="tx1"/>
                  </w14:solidFill>
                </w14:textFill>
              </w:rPr>
              <w:t>4</w:t>
            </w:r>
            <w:r>
              <w:rPr>
                <w:rFonts w:hint="eastAsia"/>
                <w:b/>
                <w:bCs/>
                <w:color w:val="000000" w:themeColor="text1"/>
                <w:sz w:val="24"/>
                <w:highlight w:val="none"/>
                <w:lang w:val="en-US" w:eastAsia="zh-CN"/>
                <w14:textFill>
                  <w14:solidFill>
                    <w14:schemeClr w14:val="tx1"/>
                  </w14:solidFill>
                </w14:textFill>
              </w:rPr>
              <w:t xml:space="preserve"> </w:t>
            </w:r>
            <w:r>
              <w:rPr>
                <w:b/>
                <w:bCs/>
                <w:color w:val="000000" w:themeColor="text1"/>
                <w:sz w:val="24"/>
                <w:highlight w:val="none"/>
                <w14:textFill>
                  <w14:solidFill>
                    <w14:schemeClr w14:val="tx1"/>
                  </w14:solidFill>
                </w14:textFill>
              </w:rPr>
              <w:t>原辅材料消耗一览表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3934"/>
              <w:gridCol w:w="1517"/>
              <w:gridCol w:w="1688"/>
            </w:tblGrid>
            <w:tr w14:paraId="6AAF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exact"/>
                <w:jc w:val="center"/>
              </w:trPr>
              <w:tc>
                <w:tcPr>
                  <w:tcW w:w="579" w:type="pct"/>
                  <w:vAlign w:val="center"/>
                </w:tcPr>
                <w:p w14:paraId="1D38A433">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序号</w:t>
                  </w:r>
                </w:p>
              </w:tc>
              <w:tc>
                <w:tcPr>
                  <w:tcW w:w="2435" w:type="pct"/>
                  <w:vAlign w:val="center"/>
                </w:tcPr>
                <w:p w14:paraId="470A22E9">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消耗能源种类</w:t>
                  </w:r>
                </w:p>
              </w:tc>
              <w:tc>
                <w:tcPr>
                  <w:tcW w:w="939" w:type="pct"/>
                  <w:vAlign w:val="center"/>
                </w:tcPr>
                <w:p w14:paraId="2AB3FFC6">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单位</w:t>
                  </w:r>
                </w:p>
              </w:tc>
              <w:tc>
                <w:tcPr>
                  <w:tcW w:w="1045" w:type="pct"/>
                  <w:vAlign w:val="center"/>
                </w:tcPr>
                <w:p w14:paraId="6274E698">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数量</w:t>
                  </w:r>
                </w:p>
              </w:tc>
            </w:tr>
            <w:tr w14:paraId="1F4F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exact"/>
                <w:jc w:val="center"/>
              </w:trPr>
              <w:tc>
                <w:tcPr>
                  <w:tcW w:w="579" w:type="pct"/>
                  <w:vAlign w:val="center"/>
                </w:tcPr>
                <w:p w14:paraId="5EC292D6">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2435" w:type="pct"/>
                  <w:vAlign w:val="center"/>
                </w:tcPr>
                <w:p w14:paraId="7C9FC87D">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水</w:t>
                  </w:r>
                </w:p>
              </w:tc>
              <w:tc>
                <w:tcPr>
                  <w:tcW w:w="939" w:type="pct"/>
                  <w:vAlign w:val="center"/>
                </w:tcPr>
                <w:p w14:paraId="37B328C1">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m</w:t>
                  </w:r>
                  <w:r>
                    <w:rPr>
                      <w:rFonts w:hint="eastAsia"/>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/a</w:t>
                  </w:r>
                </w:p>
              </w:tc>
              <w:tc>
                <w:tcPr>
                  <w:tcW w:w="1045" w:type="pct"/>
                  <w:vAlign w:val="center"/>
                </w:tcPr>
                <w:p w14:paraId="58220F24">
                  <w:pPr>
                    <w:widowControl/>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6563.328</w:t>
                  </w:r>
                </w:p>
              </w:tc>
            </w:tr>
            <w:tr w14:paraId="5EAE8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exact"/>
                <w:jc w:val="center"/>
              </w:trPr>
              <w:tc>
                <w:tcPr>
                  <w:tcW w:w="579" w:type="pct"/>
                  <w:vAlign w:val="center"/>
                </w:tcPr>
                <w:p w14:paraId="2731C527">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p>
              </w:tc>
              <w:tc>
                <w:tcPr>
                  <w:tcW w:w="2435" w:type="pct"/>
                  <w:vAlign w:val="center"/>
                </w:tcPr>
                <w:p w14:paraId="6CFC771E">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电</w:t>
                  </w:r>
                </w:p>
              </w:tc>
              <w:tc>
                <w:tcPr>
                  <w:tcW w:w="939" w:type="pct"/>
                  <w:vAlign w:val="center"/>
                </w:tcPr>
                <w:p w14:paraId="3EB0A90C">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KWh/a</w:t>
                  </w:r>
                </w:p>
              </w:tc>
              <w:tc>
                <w:tcPr>
                  <w:tcW w:w="1045" w:type="pct"/>
                  <w:vAlign w:val="center"/>
                </w:tcPr>
                <w:p w14:paraId="7789ABC9">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353.8万</w:t>
                  </w:r>
                </w:p>
              </w:tc>
            </w:tr>
            <w:tr w14:paraId="686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jc w:val="center"/>
              </w:trPr>
              <w:tc>
                <w:tcPr>
                  <w:tcW w:w="5000" w:type="pct"/>
                  <w:gridSpan w:val="4"/>
                  <w:vAlign w:val="center"/>
                </w:tcPr>
                <w:p w14:paraId="3D4AF920">
                  <w:pPr>
                    <w:adjustRightInd w:val="0"/>
                    <w:snapToGrid w:val="0"/>
                    <w:rPr>
                      <w:color w:val="000000" w:themeColor="text1"/>
                      <w:kern w:val="0"/>
                      <w:szCs w:val="21"/>
                      <w:highlight w:val="none"/>
                      <w:lang w:bidi="ar"/>
                      <w14:textFill>
                        <w14:solidFill>
                          <w14:schemeClr w14:val="tx1"/>
                        </w14:solidFill>
                      </w14:textFill>
                    </w:rPr>
                  </w:pPr>
                  <w:r>
                    <w:rPr>
                      <w:rFonts w:hint="eastAsia"/>
                      <w:color w:val="000000" w:themeColor="text1"/>
                      <w:kern w:val="0"/>
                      <w:szCs w:val="21"/>
                      <w:highlight w:val="none"/>
                      <w:lang w:bidi="ar"/>
                      <w14:textFill>
                        <w14:solidFill>
                          <w14:schemeClr w14:val="tx1"/>
                        </w14:solidFill>
                      </w14:textFill>
                    </w:rPr>
                    <w:t>生产</w:t>
                  </w:r>
                  <w:r>
                    <w:rPr>
                      <w:color w:val="000000" w:themeColor="text1"/>
                      <w:kern w:val="0"/>
                      <w:szCs w:val="21"/>
                      <w:highlight w:val="none"/>
                      <w:lang w:bidi="ar"/>
                      <w14:textFill>
                        <w14:solidFill>
                          <w14:schemeClr w14:val="tx1"/>
                        </w14:solidFill>
                      </w14:textFill>
                    </w:rPr>
                    <w:t>原料</w:t>
                  </w:r>
                </w:p>
              </w:tc>
            </w:tr>
            <w:tr w14:paraId="1BD0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579" w:type="pct"/>
                  <w:vAlign w:val="center"/>
                </w:tcPr>
                <w:p w14:paraId="38142880">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2435" w:type="pct"/>
                  <w:vAlign w:val="center"/>
                </w:tcPr>
                <w:p w14:paraId="6153FE43">
                  <w:pPr>
                    <w:adjustRightInd w:val="0"/>
                    <w:snapToGrid w:val="0"/>
                    <w:jc w:val="center"/>
                    <w:rPr>
                      <w:color w:val="000000" w:themeColor="text1"/>
                      <w:szCs w:val="21"/>
                      <w:highlight w:val="none"/>
                      <w14:textFill>
                        <w14:solidFill>
                          <w14:schemeClr w14:val="tx1"/>
                        </w14:solidFill>
                      </w14:textFill>
                    </w:rPr>
                  </w:pPr>
                  <w:r>
                    <w:rPr>
                      <w:rFonts w:hint="eastAsia" w:cs="宋体"/>
                      <w:highlight w:val="none"/>
                    </w:rPr>
                    <w:t>水泥-52.5#PⅡ</w:t>
                  </w:r>
                </w:p>
              </w:tc>
              <w:tc>
                <w:tcPr>
                  <w:tcW w:w="939" w:type="pct"/>
                  <w:vAlign w:val="center"/>
                </w:tcPr>
                <w:p w14:paraId="636D40E5">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t/a</w:t>
                  </w:r>
                </w:p>
              </w:tc>
              <w:tc>
                <w:tcPr>
                  <w:tcW w:w="1045" w:type="pct"/>
                  <w:shd w:val="clear" w:color="auto" w:fill="auto"/>
                  <w:vAlign w:val="center"/>
                </w:tcPr>
                <w:p w14:paraId="5BCBF394">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宋体"/>
                      <w:highlight w:val="none"/>
                      <w:lang w:val="en-US" w:eastAsia="zh-CN"/>
                    </w:rPr>
                    <w:t>21091</w:t>
                  </w:r>
                </w:p>
              </w:tc>
            </w:tr>
            <w:tr w14:paraId="7791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579" w:type="pct"/>
                  <w:vAlign w:val="center"/>
                </w:tcPr>
                <w:p w14:paraId="3E64BBCD">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2435" w:type="pct"/>
                  <w:vAlign w:val="center"/>
                </w:tcPr>
                <w:p w14:paraId="613A4C7D">
                  <w:pPr>
                    <w:adjustRightInd w:val="0"/>
                    <w:snapToGrid w:val="0"/>
                    <w:jc w:val="center"/>
                    <w:rPr>
                      <w:color w:val="000000" w:themeColor="text1"/>
                      <w:szCs w:val="21"/>
                      <w:highlight w:val="none"/>
                      <w14:textFill>
                        <w14:solidFill>
                          <w14:schemeClr w14:val="tx1"/>
                        </w14:solidFill>
                      </w14:textFill>
                    </w:rPr>
                  </w:pPr>
                  <w:r>
                    <w:rPr>
                      <w:rFonts w:hint="eastAsia" w:cs="宋体"/>
                      <w:highlight w:val="none"/>
                    </w:rPr>
                    <w:t>矿粉（掺合料）</w:t>
                  </w:r>
                </w:p>
              </w:tc>
              <w:tc>
                <w:tcPr>
                  <w:tcW w:w="939" w:type="pct"/>
                  <w:vAlign w:val="center"/>
                </w:tcPr>
                <w:p w14:paraId="3AC45620">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t/a</w:t>
                  </w:r>
                </w:p>
              </w:tc>
              <w:tc>
                <w:tcPr>
                  <w:tcW w:w="1045" w:type="pct"/>
                  <w:shd w:val="clear" w:color="auto" w:fill="auto"/>
                  <w:vAlign w:val="center"/>
                </w:tcPr>
                <w:p w14:paraId="17638F57">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宋体"/>
                      <w:highlight w:val="none"/>
                      <w:lang w:val="en-US" w:eastAsia="zh-CN"/>
                    </w:rPr>
                    <w:t>6128</w:t>
                  </w:r>
                </w:p>
              </w:tc>
            </w:tr>
            <w:tr w14:paraId="06A2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579" w:type="pct"/>
                  <w:vAlign w:val="center"/>
                </w:tcPr>
                <w:p w14:paraId="56F63626">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2435" w:type="pct"/>
                  <w:vAlign w:val="center"/>
                </w:tcPr>
                <w:p w14:paraId="3D428E42">
                  <w:pPr>
                    <w:adjustRightInd w:val="0"/>
                    <w:snapToGrid w:val="0"/>
                    <w:jc w:val="center"/>
                    <w:rPr>
                      <w:color w:val="000000" w:themeColor="text1"/>
                      <w:szCs w:val="21"/>
                      <w:highlight w:val="none"/>
                      <w14:textFill>
                        <w14:solidFill>
                          <w14:schemeClr w14:val="tx1"/>
                        </w14:solidFill>
                      </w14:textFill>
                    </w:rPr>
                  </w:pPr>
                  <w:r>
                    <w:rPr>
                      <w:rFonts w:hint="eastAsia" w:cs="宋体"/>
                      <w:highlight w:val="none"/>
                    </w:rPr>
                    <w:t>硅粉</w:t>
                  </w:r>
                </w:p>
              </w:tc>
              <w:tc>
                <w:tcPr>
                  <w:tcW w:w="939" w:type="pct"/>
                  <w:vAlign w:val="center"/>
                </w:tcPr>
                <w:p w14:paraId="7D46070D">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t/a</w:t>
                  </w:r>
                </w:p>
              </w:tc>
              <w:tc>
                <w:tcPr>
                  <w:tcW w:w="1045" w:type="pct"/>
                  <w:shd w:val="clear" w:color="auto" w:fill="auto"/>
                  <w:vAlign w:val="center"/>
                </w:tcPr>
                <w:p w14:paraId="1A051EDC">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宋体"/>
                      <w:highlight w:val="none"/>
                      <w:lang w:val="en-US" w:eastAsia="zh-CN"/>
                    </w:rPr>
                    <w:t>1021</w:t>
                  </w:r>
                </w:p>
              </w:tc>
            </w:tr>
            <w:tr w14:paraId="449D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579" w:type="pct"/>
                  <w:vAlign w:val="center"/>
                </w:tcPr>
                <w:p w14:paraId="79B638BB">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p>
              </w:tc>
              <w:tc>
                <w:tcPr>
                  <w:tcW w:w="2435" w:type="pct"/>
                  <w:vAlign w:val="center"/>
                </w:tcPr>
                <w:p w14:paraId="7D4193FE">
                  <w:pPr>
                    <w:adjustRightInd w:val="0"/>
                    <w:snapToGrid w:val="0"/>
                    <w:jc w:val="center"/>
                    <w:rPr>
                      <w:color w:val="000000" w:themeColor="text1"/>
                      <w:szCs w:val="21"/>
                      <w:highlight w:val="none"/>
                      <w14:textFill>
                        <w14:solidFill>
                          <w14:schemeClr w14:val="tx1"/>
                        </w14:solidFill>
                      </w14:textFill>
                    </w:rPr>
                  </w:pPr>
                  <w:r>
                    <w:rPr>
                      <w:rFonts w:hint="eastAsia" w:cs="宋体"/>
                      <w:highlight w:val="none"/>
                    </w:rPr>
                    <w:t>石子</w:t>
                  </w:r>
                </w:p>
              </w:tc>
              <w:tc>
                <w:tcPr>
                  <w:tcW w:w="939" w:type="pct"/>
                  <w:vAlign w:val="center"/>
                </w:tcPr>
                <w:p w14:paraId="779A5C48">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t/a</w:t>
                  </w:r>
                </w:p>
              </w:tc>
              <w:tc>
                <w:tcPr>
                  <w:tcW w:w="1045" w:type="pct"/>
                  <w:shd w:val="clear" w:color="auto" w:fill="auto"/>
                  <w:vAlign w:val="center"/>
                </w:tcPr>
                <w:p w14:paraId="020D99D5">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53930</w:t>
                  </w:r>
                </w:p>
              </w:tc>
            </w:tr>
            <w:tr w14:paraId="5005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579" w:type="pct"/>
                  <w:vAlign w:val="center"/>
                </w:tcPr>
                <w:p w14:paraId="13048F78">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w:t>
                  </w:r>
                </w:p>
              </w:tc>
              <w:tc>
                <w:tcPr>
                  <w:tcW w:w="2435" w:type="pct"/>
                  <w:vAlign w:val="center"/>
                </w:tcPr>
                <w:p w14:paraId="2A93E29E">
                  <w:pPr>
                    <w:adjustRightInd w:val="0"/>
                    <w:snapToGrid w:val="0"/>
                    <w:jc w:val="center"/>
                    <w:rPr>
                      <w:color w:val="000000" w:themeColor="text1"/>
                      <w:szCs w:val="21"/>
                      <w:highlight w:val="none"/>
                      <w14:textFill>
                        <w14:solidFill>
                          <w14:schemeClr w14:val="tx1"/>
                        </w14:solidFill>
                      </w14:textFill>
                    </w:rPr>
                  </w:pPr>
                  <w:r>
                    <w:rPr>
                      <w:rFonts w:hint="eastAsia" w:cs="宋体"/>
                      <w:highlight w:val="none"/>
                    </w:rPr>
                    <w:t>砂子</w:t>
                  </w:r>
                </w:p>
              </w:tc>
              <w:tc>
                <w:tcPr>
                  <w:tcW w:w="939" w:type="pct"/>
                  <w:vAlign w:val="center"/>
                </w:tcPr>
                <w:p w14:paraId="634E01E5">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t/a</w:t>
                  </w:r>
                </w:p>
              </w:tc>
              <w:tc>
                <w:tcPr>
                  <w:tcW w:w="1045" w:type="pct"/>
                  <w:shd w:val="clear" w:color="auto" w:fill="auto"/>
                  <w:vAlign w:val="center"/>
                </w:tcPr>
                <w:p w14:paraId="758E27D7">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宋体"/>
                      <w:highlight w:val="none"/>
                      <w:lang w:val="en-US" w:eastAsia="zh-CN"/>
                    </w:rPr>
                    <w:t>34472</w:t>
                  </w:r>
                </w:p>
              </w:tc>
            </w:tr>
            <w:tr w14:paraId="1123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579" w:type="pct"/>
                  <w:vAlign w:val="center"/>
                </w:tcPr>
                <w:p w14:paraId="3D423686">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w:t>
                  </w:r>
                </w:p>
              </w:tc>
              <w:tc>
                <w:tcPr>
                  <w:tcW w:w="2435" w:type="pct"/>
                  <w:vAlign w:val="center"/>
                </w:tcPr>
                <w:p w14:paraId="0FF3758B">
                  <w:pPr>
                    <w:adjustRightInd w:val="0"/>
                    <w:snapToGrid w:val="0"/>
                    <w:jc w:val="center"/>
                    <w:rPr>
                      <w:color w:val="000000" w:themeColor="text1"/>
                      <w:szCs w:val="21"/>
                      <w:highlight w:val="none"/>
                      <w14:textFill>
                        <w14:solidFill>
                          <w14:schemeClr w14:val="tx1"/>
                        </w14:solidFill>
                      </w14:textFill>
                    </w:rPr>
                  </w:pPr>
                  <w:r>
                    <w:rPr>
                      <w:rFonts w:hint="eastAsia" w:cs="宋体"/>
                      <w:highlight w:val="none"/>
                    </w:rPr>
                    <w:t>KC-101管桩外加剂</w:t>
                  </w:r>
                </w:p>
              </w:tc>
              <w:tc>
                <w:tcPr>
                  <w:tcW w:w="939" w:type="pct"/>
                  <w:vAlign w:val="center"/>
                </w:tcPr>
                <w:p w14:paraId="45F13BB5">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t/a</w:t>
                  </w:r>
                </w:p>
              </w:tc>
              <w:tc>
                <w:tcPr>
                  <w:tcW w:w="1045" w:type="pct"/>
                  <w:shd w:val="clear" w:color="auto" w:fill="auto"/>
                  <w:vAlign w:val="center"/>
                </w:tcPr>
                <w:p w14:paraId="5E0A6D94">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宋体"/>
                      <w:highlight w:val="none"/>
                      <w:lang w:val="en-US" w:eastAsia="zh-CN"/>
                    </w:rPr>
                    <w:t>565</w:t>
                  </w:r>
                </w:p>
              </w:tc>
            </w:tr>
            <w:tr w14:paraId="16CA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579" w:type="pct"/>
                  <w:vAlign w:val="center"/>
                </w:tcPr>
                <w:p w14:paraId="207086B6">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7</w:t>
                  </w:r>
                </w:p>
              </w:tc>
              <w:tc>
                <w:tcPr>
                  <w:tcW w:w="2435" w:type="pct"/>
                  <w:vAlign w:val="center"/>
                </w:tcPr>
                <w:p w14:paraId="1F4B285F">
                  <w:pPr>
                    <w:adjustRightInd w:val="0"/>
                    <w:snapToGrid w:val="0"/>
                    <w:jc w:val="center"/>
                    <w:rPr>
                      <w:rFonts w:cs="宋体"/>
                      <w:highlight w:val="none"/>
                    </w:rPr>
                  </w:pPr>
                  <w:r>
                    <w:rPr>
                      <w:rFonts w:hint="eastAsia" w:cs="宋体"/>
                      <w:highlight w:val="none"/>
                    </w:rPr>
                    <w:t>圆钢</w:t>
                  </w:r>
                </w:p>
              </w:tc>
              <w:tc>
                <w:tcPr>
                  <w:tcW w:w="939" w:type="pct"/>
                  <w:vAlign w:val="center"/>
                </w:tcPr>
                <w:p w14:paraId="131F4A91">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t/a</w:t>
                  </w:r>
                </w:p>
              </w:tc>
              <w:tc>
                <w:tcPr>
                  <w:tcW w:w="1045" w:type="pct"/>
                  <w:shd w:val="clear" w:color="auto" w:fill="auto"/>
                  <w:vAlign w:val="center"/>
                </w:tcPr>
                <w:p w14:paraId="3FEBAAB8">
                  <w:pPr>
                    <w:adjustRightInd w:val="0"/>
                    <w:snapToGrid w:val="0"/>
                    <w:jc w:val="center"/>
                    <w:rPr>
                      <w:rFonts w:ascii="Times New Roman" w:hAnsi="Times New Roman" w:eastAsia="宋体" w:cs="宋体"/>
                      <w:kern w:val="2"/>
                      <w:sz w:val="21"/>
                      <w:szCs w:val="24"/>
                      <w:highlight w:val="none"/>
                      <w:lang w:val="en-US" w:eastAsia="zh-CN" w:bidi="ar-SA"/>
                    </w:rPr>
                  </w:pPr>
                  <w:r>
                    <w:rPr>
                      <w:rFonts w:hint="eastAsia" w:cs="宋体"/>
                      <w:highlight w:val="none"/>
                    </w:rPr>
                    <w:t>2880</w:t>
                  </w:r>
                </w:p>
              </w:tc>
            </w:tr>
            <w:tr w14:paraId="7507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579" w:type="pct"/>
                  <w:vAlign w:val="center"/>
                </w:tcPr>
                <w:p w14:paraId="5DB0FD47">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w:t>
                  </w:r>
                </w:p>
              </w:tc>
              <w:tc>
                <w:tcPr>
                  <w:tcW w:w="2435" w:type="pct"/>
                  <w:vAlign w:val="center"/>
                </w:tcPr>
                <w:p w14:paraId="32A4B678">
                  <w:pPr>
                    <w:adjustRightInd w:val="0"/>
                    <w:snapToGrid w:val="0"/>
                    <w:jc w:val="center"/>
                    <w:rPr>
                      <w:rFonts w:cs="宋体"/>
                      <w:highlight w:val="none"/>
                    </w:rPr>
                  </w:pPr>
                  <w:r>
                    <w:rPr>
                      <w:rFonts w:hint="eastAsia" w:cs="宋体"/>
                      <w:highlight w:val="none"/>
                    </w:rPr>
                    <w:t>PC钢棒</w:t>
                  </w:r>
                </w:p>
              </w:tc>
              <w:tc>
                <w:tcPr>
                  <w:tcW w:w="939" w:type="pct"/>
                  <w:vAlign w:val="center"/>
                </w:tcPr>
                <w:p w14:paraId="1E820FDE">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t/a</w:t>
                  </w:r>
                </w:p>
              </w:tc>
              <w:tc>
                <w:tcPr>
                  <w:tcW w:w="1045" w:type="pct"/>
                  <w:shd w:val="clear" w:color="auto" w:fill="auto"/>
                  <w:vAlign w:val="center"/>
                </w:tcPr>
                <w:p w14:paraId="73C9B351">
                  <w:pPr>
                    <w:adjustRightInd w:val="0"/>
                    <w:snapToGrid w:val="0"/>
                    <w:jc w:val="center"/>
                    <w:rPr>
                      <w:rFonts w:ascii="Times New Roman" w:hAnsi="Times New Roman" w:eastAsia="宋体" w:cs="宋体"/>
                      <w:kern w:val="2"/>
                      <w:sz w:val="21"/>
                      <w:szCs w:val="24"/>
                      <w:highlight w:val="none"/>
                      <w:lang w:val="en-US" w:eastAsia="zh-CN" w:bidi="ar-SA"/>
                    </w:rPr>
                  </w:pPr>
                  <w:r>
                    <w:rPr>
                      <w:rFonts w:hint="eastAsia" w:cs="宋体"/>
                      <w:highlight w:val="none"/>
                    </w:rPr>
                    <w:t>21816</w:t>
                  </w:r>
                </w:p>
              </w:tc>
            </w:tr>
            <w:tr w14:paraId="0C97C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579" w:type="pct"/>
                  <w:vAlign w:val="center"/>
                </w:tcPr>
                <w:p w14:paraId="5C2703DD">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9</w:t>
                  </w:r>
                </w:p>
              </w:tc>
              <w:tc>
                <w:tcPr>
                  <w:tcW w:w="2435" w:type="pct"/>
                  <w:vAlign w:val="center"/>
                </w:tcPr>
                <w:p w14:paraId="55FFAB07">
                  <w:pPr>
                    <w:adjustRightInd w:val="0"/>
                    <w:snapToGrid w:val="0"/>
                    <w:jc w:val="center"/>
                    <w:rPr>
                      <w:rFonts w:cs="宋体"/>
                      <w:highlight w:val="none"/>
                    </w:rPr>
                  </w:pPr>
                  <w:r>
                    <w:rPr>
                      <w:rFonts w:hint="eastAsia" w:cs="宋体"/>
                      <w:highlight w:val="none"/>
                    </w:rPr>
                    <w:t>端板</w:t>
                  </w:r>
                </w:p>
              </w:tc>
              <w:tc>
                <w:tcPr>
                  <w:tcW w:w="939" w:type="pct"/>
                  <w:vAlign w:val="center"/>
                </w:tcPr>
                <w:p w14:paraId="12E13D0F">
                  <w:pPr>
                    <w:adjustRightInd w:val="0"/>
                    <w:snapToGrid w:val="0"/>
                    <w:jc w:val="center"/>
                    <w:rPr>
                      <w:color w:val="000000" w:themeColor="text1"/>
                      <w:szCs w:val="21"/>
                      <w:highlight w:val="none"/>
                      <w14:textFill>
                        <w14:solidFill>
                          <w14:schemeClr w14:val="tx1"/>
                        </w14:solidFill>
                      </w14:textFill>
                    </w:rPr>
                  </w:pPr>
                  <w:r>
                    <w:rPr>
                      <w:rFonts w:hint="eastAsia" w:cs="宋体"/>
                      <w:highlight w:val="none"/>
                    </w:rPr>
                    <w:t>万块</w:t>
                  </w:r>
                </w:p>
              </w:tc>
              <w:tc>
                <w:tcPr>
                  <w:tcW w:w="1045" w:type="pct"/>
                  <w:shd w:val="clear" w:color="auto" w:fill="auto"/>
                  <w:vAlign w:val="center"/>
                </w:tcPr>
                <w:p w14:paraId="3E9178EC">
                  <w:pPr>
                    <w:adjustRightInd w:val="0"/>
                    <w:snapToGrid w:val="0"/>
                    <w:jc w:val="center"/>
                    <w:rPr>
                      <w:rFonts w:ascii="Times New Roman" w:hAnsi="Times New Roman" w:eastAsia="宋体" w:cs="宋体"/>
                      <w:kern w:val="2"/>
                      <w:sz w:val="21"/>
                      <w:szCs w:val="24"/>
                      <w:highlight w:val="none"/>
                      <w:lang w:val="en-US" w:eastAsia="zh-CN" w:bidi="ar-SA"/>
                    </w:rPr>
                  </w:pPr>
                  <w:r>
                    <w:rPr>
                      <w:rFonts w:hint="eastAsia" w:cs="宋体"/>
                      <w:highlight w:val="none"/>
                    </w:rPr>
                    <w:t>280</w:t>
                  </w:r>
                </w:p>
              </w:tc>
            </w:tr>
            <w:tr w14:paraId="2FBF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579" w:type="pct"/>
                  <w:vAlign w:val="center"/>
                </w:tcPr>
                <w:p w14:paraId="5FC3AA51">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10</w:t>
                  </w:r>
                </w:p>
              </w:tc>
              <w:tc>
                <w:tcPr>
                  <w:tcW w:w="2435" w:type="pct"/>
                  <w:vAlign w:val="center"/>
                </w:tcPr>
                <w:p w14:paraId="690360AB">
                  <w:pPr>
                    <w:adjustRightInd w:val="0"/>
                    <w:snapToGrid w:val="0"/>
                    <w:jc w:val="center"/>
                    <w:rPr>
                      <w:rFonts w:hint="eastAsia" w:eastAsia="宋体" w:cs="宋体"/>
                      <w:highlight w:val="none"/>
                      <w:lang w:eastAsia="zh-CN"/>
                    </w:rPr>
                  </w:pPr>
                  <w:r>
                    <w:rPr>
                      <w:rFonts w:hint="eastAsia" w:cs="宋体"/>
                      <w:highlight w:val="none"/>
                    </w:rPr>
                    <w:t>抱箍</w:t>
                  </w:r>
                  <w:r>
                    <w:rPr>
                      <w:rFonts w:hint="eastAsia" w:cs="宋体"/>
                      <w:highlight w:val="none"/>
                      <w:lang w:eastAsia="zh-CN"/>
                    </w:rPr>
                    <w:t>板</w:t>
                  </w:r>
                </w:p>
              </w:tc>
              <w:tc>
                <w:tcPr>
                  <w:tcW w:w="939" w:type="pct"/>
                  <w:vAlign w:val="center"/>
                </w:tcPr>
                <w:p w14:paraId="460D5A0F">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t/a</w:t>
                  </w:r>
                </w:p>
              </w:tc>
              <w:tc>
                <w:tcPr>
                  <w:tcW w:w="1045" w:type="pct"/>
                  <w:shd w:val="clear" w:color="auto" w:fill="auto"/>
                  <w:vAlign w:val="center"/>
                </w:tcPr>
                <w:p w14:paraId="48D006C1">
                  <w:pPr>
                    <w:adjustRightInd w:val="0"/>
                    <w:snapToGrid w:val="0"/>
                    <w:jc w:val="center"/>
                    <w:rPr>
                      <w:rFonts w:ascii="Times New Roman" w:hAnsi="Times New Roman" w:eastAsia="宋体" w:cs="宋体"/>
                      <w:kern w:val="2"/>
                      <w:sz w:val="21"/>
                      <w:szCs w:val="24"/>
                      <w:highlight w:val="none"/>
                      <w:lang w:val="en-US" w:eastAsia="zh-CN" w:bidi="ar-SA"/>
                    </w:rPr>
                  </w:pPr>
                  <w:r>
                    <w:rPr>
                      <w:rFonts w:hint="eastAsia" w:cs="宋体"/>
                      <w:highlight w:val="none"/>
                    </w:rPr>
                    <w:t>690</w:t>
                  </w:r>
                </w:p>
              </w:tc>
            </w:tr>
          </w:tbl>
          <w:p w14:paraId="53DF2B3C">
            <w:pPr>
              <w:pStyle w:val="2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表2-5混凝土配合比一览表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163"/>
              <w:gridCol w:w="1163"/>
              <w:gridCol w:w="1163"/>
              <w:gridCol w:w="1164"/>
              <w:gridCol w:w="1164"/>
              <w:gridCol w:w="1164"/>
            </w:tblGrid>
            <w:tr w14:paraId="4104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A872F6D">
                  <w:pPr>
                    <w:keepNext w:val="0"/>
                    <w:keepLines w:val="0"/>
                    <w:pageBreakBefore w:val="0"/>
                    <w:widowControl w:val="0"/>
                    <w:kinsoku/>
                    <w:wordWrap/>
                    <w:overflowPunct/>
                    <w:topLinePunct w:val="0"/>
                    <w:autoSpaceDE/>
                    <w:autoSpaceDN/>
                    <w:bidi w:val="0"/>
                    <w:adjustRightInd/>
                    <w:snapToGrid/>
                    <w:jc w:val="center"/>
                    <w:textAlignment w:val="auto"/>
                    <w:rPr>
                      <w:rFonts w:hint="default"/>
                      <w:highlight w:val="none"/>
                      <w:vertAlign w:val="baseline"/>
                      <w:lang w:val="en-US" w:eastAsia="zh-CN"/>
                    </w:rPr>
                  </w:pPr>
                  <w:r>
                    <w:rPr>
                      <w:rFonts w:hint="eastAsia"/>
                      <w:highlight w:val="none"/>
                      <w:vertAlign w:val="baseline"/>
                      <w:lang w:val="en-US" w:eastAsia="zh-CN"/>
                    </w:rPr>
                    <w:t>成分</w:t>
                  </w:r>
                </w:p>
              </w:tc>
              <w:tc>
                <w:tcPr>
                  <w:tcW w:w="1163" w:type="dxa"/>
                  <w:vAlign w:val="center"/>
                </w:tcPr>
                <w:p w14:paraId="5A7850D0">
                  <w:pPr>
                    <w:keepNext w:val="0"/>
                    <w:keepLines w:val="0"/>
                    <w:pageBreakBefore w:val="0"/>
                    <w:widowControl w:val="0"/>
                    <w:kinsoku/>
                    <w:wordWrap/>
                    <w:overflowPunct/>
                    <w:topLinePunct w:val="0"/>
                    <w:autoSpaceDE/>
                    <w:autoSpaceDN/>
                    <w:bidi w:val="0"/>
                    <w:adjustRightInd/>
                    <w:snapToGrid/>
                    <w:jc w:val="center"/>
                    <w:textAlignment w:val="auto"/>
                    <w:rPr>
                      <w:rFonts w:hint="default"/>
                      <w:highlight w:val="none"/>
                      <w:vertAlign w:val="baseline"/>
                      <w:lang w:val="en-US" w:eastAsia="zh-CN"/>
                    </w:rPr>
                  </w:pPr>
                  <w:r>
                    <w:rPr>
                      <w:rFonts w:hint="eastAsia"/>
                      <w:highlight w:val="none"/>
                      <w:vertAlign w:val="baseline"/>
                      <w:lang w:val="en-US" w:eastAsia="zh-CN"/>
                    </w:rPr>
                    <w:t>水泥</w:t>
                  </w:r>
                </w:p>
              </w:tc>
              <w:tc>
                <w:tcPr>
                  <w:tcW w:w="1163" w:type="dxa"/>
                  <w:vAlign w:val="center"/>
                </w:tcPr>
                <w:p w14:paraId="0AFE2FC4">
                  <w:pPr>
                    <w:keepNext w:val="0"/>
                    <w:keepLines w:val="0"/>
                    <w:pageBreakBefore w:val="0"/>
                    <w:widowControl w:val="0"/>
                    <w:kinsoku/>
                    <w:wordWrap/>
                    <w:overflowPunct/>
                    <w:topLinePunct w:val="0"/>
                    <w:autoSpaceDE/>
                    <w:autoSpaceDN/>
                    <w:bidi w:val="0"/>
                    <w:adjustRightInd/>
                    <w:snapToGrid/>
                    <w:jc w:val="center"/>
                    <w:textAlignment w:val="auto"/>
                    <w:rPr>
                      <w:rFonts w:hint="default"/>
                      <w:highlight w:val="none"/>
                      <w:vertAlign w:val="baseline"/>
                      <w:lang w:val="en-US" w:eastAsia="zh-CN"/>
                    </w:rPr>
                  </w:pPr>
                  <w:r>
                    <w:rPr>
                      <w:rFonts w:hint="eastAsia"/>
                      <w:highlight w:val="none"/>
                      <w:vertAlign w:val="baseline"/>
                      <w:lang w:val="en-US" w:eastAsia="zh-CN"/>
                    </w:rPr>
                    <w:t>矿粉</w:t>
                  </w:r>
                </w:p>
              </w:tc>
              <w:tc>
                <w:tcPr>
                  <w:tcW w:w="1163" w:type="dxa"/>
                  <w:vAlign w:val="center"/>
                </w:tcPr>
                <w:p w14:paraId="1EAA68B0">
                  <w:pPr>
                    <w:keepNext w:val="0"/>
                    <w:keepLines w:val="0"/>
                    <w:pageBreakBefore w:val="0"/>
                    <w:widowControl w:val="0"/>
                    <w:kinsoku/>
                    <w:wordWrap/>
                    <w:overflowPunct/>
                    <w:topLinePunct w:val="0"/>
                    <w:autoSpaceDE/>
                    <w:autoSpaceDN/>
                    <w:bidi w:val="0"/>
                    <w:adjustRightInd/>
                    <w:snapToGrid/>
                    <w:jc w:val="center"/>
                    <w:textAlignment w:val="auto"/>
                    <w:rPr>
                      <w:rFonts w:hint="default"/>
                      <w:highlight w:val="none"/>
                      <w:vertAlign w:val="baseline"/>
                      <w:lang w:val="en-US" w:eastAsia="zh-CN"/>
                    </w:rPr>
                  </w:pPr>
                  <w:r>
                    <w:rPr>
                      <w:rFonts w:hint="eastAsia"/>
                      <w:highlight w:val="none"/>
                      <w:vertAlign w:val="baseline"/>
                      <w:lang w:val="en-US" w:eastAsia="zh-CN"/>
                    </w:rPr>
                    <w:t>硅粉</w:t>
                  </w:r>
                </w:p>
              </w:tc>
              <w:tc>
                <w:tcPr>
                  <w:tcW w:w="1164" w:type="dxa"/>
                  <w:vAlign w:val="center"/>
                </w:tcPr>
                <w:p w14:paraId="72948A26">
                  <w:pPr>
                    <w:keepNext w:val="0"/>
                    <w:keepLines w:val="0"/>
                    <w:pageBreakBefore w:val="0"/>
                    <w:widowControl w:val="0"/>
                    <w:kinsoku/>
                    <w:wordWrap/>
                    <w:overflowPunct/>
                    <w:topLinePunct w:val="0"/>
                    <w:autoSpaceDE/>
                    <w:autoSpaceDN/>
                    <w:bidi w:val="0"/>
                    <w:adjustRightInd/>
                    <w:snapToGrid/>
                    <w:jc w:val="center"/>
                    <w:textAlignment w:val="auto"/>
                    <w:rPr>
                      <w:rFonts w:hint="default"/>
                      <w:highlight w:val="none"/>
                      <w:vertAlign w:val="baseline"/>
                      <w:lang w:val="en-US" w:eastAsia="zh-CN"/>
                    </w:rPr>
                  </w:pPr>
                  <w:r>
                    <w:rPr>
                      <w:rFonts w:hint="eastAsia"/>
                      <w:highlight w:val="none"/>
                      <w:vertAlign w:val="baseline"/>
                      <w:lang w:val="en-US" w:eastAsia="zh-CN"/>
                    </w:rPr>
                    <w:t>砂子</w:t>
                  </w:r>
                </w:p>
              </w:tc>
              <w:tc>
                <w:tcPr>
                  <w:tcW w:w="1164" w:type="dxa"/>
                  <w:vAlign w:val="center"/>
                </w:tcPr>
                <w:p w14:paraId="384FFCAD">
                  <w:pPr>
                    <w:keepNext w:val="0"/>
                    <w:keepLines w:val="0"/>
                    <w:pageBreakBefore w:val="0"/>
                    <w:widowControl w:val="0"/>
                    <w:kinsoku/>
                    <w:wordWrap/>
                    <w:overflowPunct/>
                    <w:topLinePunct w:val="0"/>
                    <w:autoSpaceDE/>
                    <w:autoSpaceDN/>
                    <w:bidi w:val="0"/>
                    <w:adjustRightInd/>
                    <w:snapToGrid/>
                    <w:jc w:val="center"/>
                    <w:textAlignment w:val="auto"/>
                    <w:rPr>
                      <w:rFonts w:hint="default"/>
                      <w:highlight w:val="none"/>
                      <w:vertAlign w:val="baseline"/>
                      <w:lang w:val="en-US" w:eastAsia="zh-CN"/>
                    </w:rPr>
                  </w:pPr>
                  <w:r>
                    <w:rPr>
                      <w:rFonts w:hint="eastAsia"/>
                      <w:highlight w:val="none"/>
                      <w:vertAlign w:val="baseline"/>
                      <w:lang w:val="en-US" w:eastAsia="zh-CN"/>
                    </w:rPr>
                    <w:t>石子</w:t>
                  </w:r>
                </w:p>
              </w:tc>
              <w:tc>
                <w:tcPr>
                  <w:tcW w:w="1164" w:type="dxa"/>
                  <w:vAlign w:val="center"/>
                </w:tcPr>
                <w:p w14:paraId="6E66617E">
                  <w:pPr>
                    <w:keepNext w:val="0"/>
                    <w:keepLines w:val="0"/>
                    <w:pageBreakBefore w:val="0"/>
                    <w:widowControl w:val="0"/>
                    <w:kinsoku/>
                    <w:wordWrap/>
                    <w:overflowPunct/>
                    <w:topLinePunct w:val="0"/>
                    <w:autoSpaceDE/>
                    <w:autoSpaceDN/>
                    <w:bidi w:val="0"/>
                    <w:adjustRightInd/>
                    <w:snapToGrid/>
                    <w:jc w:val="center"/>
                    <w:textAlignment w:val="auto"/>
                    <w:rPr>
                      <w:rFonts w:hint="default"/>
                      <w:highlight w:val="none"/>
                      <w:vertAlign w:val="baseline"/>
                      <w:lang w:val="en-US" w:eastAsia="zh-CN"/>
                    </w:rPr>
                  </w:pPr>
                  <w:r>
                    <w:rPr>
                      <w:rFonts w:hint="eastAsia"/>
                      <w:highlight w:val="none"/>
                      <w:vertAlign w:val="baseline"/>
                      <w:lang w:val="en-US" w:eastAsia="zh-CN"/>
                    </w:rPr>
                    <w:t>外加剂</w:t>
                  </w:r>
                </w:p>
              </w:tc>
            </w:tr>
            <w:tr w14:paraId="41F5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624232E7">
                  <w:pPr>
                    <w:keepNext w:val="0"/>
                    <w:keepLines w:val="0"/>
                    <w:pageBreakBefore w:val="0"/>
                    <w:widowControl w:val="0"/>
                    <w:kinsoku/>
                    <w:wordWrap/>
                    <w:overflowPunct/>
                    <w:topLinePunct w:val="0"/>
                    <w:autoSpaceDE/>
                    <w:autoSpaceDN/>
                    <w:bidi w:val="0"/>
                    <w:adjustRightInd/>
                    <w:snapToGrid/>
                    <w:jc w:val="center"/>
                    <w:textAlignment w:val="auto"/>
                    <w:rPr>
                      <w:rFonts w:hint="default"/>
                      <w:highlight w:val="none"/>
                      <w:vertAlign w:val="baseline"/>
                      <w:lang w:val="en-US" w:eastAsia="zh-CN"/>
                    </w:rPr>
                  </w:pPr>
                  <w:r>
                    <w:rPr>
                      <w:rFonts w:hint="eastAsia"/>
                      <w:highlight w:val="none"/>
                      <w:vertAlign w:val="baseline"/>
                      <w:lang w:val="en-US" w:eastAsia="zh-CN"/>
                    </w:rPr>
                    <w:t>含量（kg/m</w:t>
                  </w:r>
                  <w:r>
                    <w:rPr>
                      <w:rFonts w:hint="eastAsia"/>
                      <w:highlight w:val="none"/>
                      <w:vertAlign w:val="superscript"/>
                      <w:lang w:val="en-US" w:eastAsia="zh-CN"/>
                    </w:rPr>
                    <w:t>3</w:t>
                  </w:r>
                  <w:r>
                    <w:rPr>
                      <w:rFonts w:hint="eastAsia"/>
                      <w:highlight w:val="none"/>
                      <w:vertAlign w:val="baseline"/>
                      <w:lang w:val="en-US" w:eastAsia="zh-CN"/>
                    </w:rPr>
                    <w:t>）</w:t>
                  </w:r>
                </w:p>
              </w:tc>
              <w:tc>
                <w:tcPr>
                  <w:tcW w:w="1163" w:type="dxa"/>
                  <w:vAlign w:val="center"/>
                </w:tcPr>
                <w:p w14:paraId="086DDD71">
                  <w:pPr>
                    <w:keepNext w:val="0"/>
                    <w:keepLines w:val="0"/>
                    <w:pageBreakBefore w:val="0"/>
                    <w:widowControl w:val="0"/>
                    <w:kinsoku/>
                    <w:wordWrap/>
                    <w:overflowPunct/>
                    <w:topLinePunct w:val="0"/>
                    <w:autoSpaceDE/>
                    <w:autoSpaceDN/>
                    <w:bidi w:val="0"/>
                    <w:adjustRightInd/>
                    <w:snapToGrid/>
                    <w:jc w:val="center"/>
                    <w:textAlignment w:val="auto"/>
                    <w:rPr>
                      <w:rFonts w:hint="default"/>
                      <w:highlight w:val="none"/>
                      <w:vertAlign w:val="baseline"/>
                      <w:lang w:val="en-US" w:eastAsia="zh-CN"/>
                    </w:rPr>
                  </w:pPr>
                  <w:r>
                    <w:rPr>
                      <w:rFonts w:hint="eastAsia"/>
                      <w:highlight w:val="none"/>
                      <w:vertAlign w:val="baseline"/>
                      <w:lang w:val="en-US" w:eastAsia="zh-CN"/>
                    </w:rPr>
                    <w:t>413</w:t>
                  </w:r>
                </w:p>
              </w:tc>
              <w:tc>
                <w:tcPr>
                  <w:tcW w:w="1163" w:type="dxa"/>
                  <w:vAlign w:val="center"/>
                </w:tcPr>
                <w:p w14:paraId="66DB65F9">
                  <w:pPr>
                    <w:keepNext w:val="0"/>
                    <w:keepLines w:val="0"/>
                    <w:pageBreakBefore w:val="0"/>
                    <w:widowControl w:val="0"/>
                    <w:kinsoku/>
                    <w:wordWrap/>
                    <w:overflowPunct/>
                    <w:topLinePunct w:val="0"/>
                    <w:autoSpaceDE/>
                    <w:autoSpaceDN/>
                    <w:bidi w:val="0"/>
                    <w:adjustRightInd/>
                    <w:snapToGrid/>
                    <w:jc w:val="center"/>
                    <w:textAlignment w:val="auto"/>
                    <w:rPr>
                      <w:rFonts w:hint="default"/>
                      <w:highlight w:val="none"/>
                      <w:vertAlign w:val="baseline"/>
                      <w:lang w:val="en-US" w:eastAsia="zh-CN"/>
                    </w:rPr>
                  </w:pPr>
                  <w:r>
                    <w:rPr>
                      <w:rFonts w:hint="eastAsia"/>
                      <w:highlight w:val="none"/>
                      <w:vertAlign w:val="baseline"/>
                      <w:lang w:val="en-US" w:eastAsia="zh-CN"/>
                    </w:rPr>
                    <w:t>120</w:t>
                  </w:r>
                </w:p>
              </w:tc>
              <w:tc>
                <w:tcPr>
                  <w:tcW w:w="1163" w:type="dxa"/>
                  <w:vAlign w:val="center"/>
                </w:tcPr>
                <w:p w14:paraId="361ED937">
                  <w:pPr>
                    <w:keepNext w:val="0"/>
                    <w:keepLines w:val="0"/>
                    <w:pageBreakBefore w:val="0"/>
                    <w:widowControl w:val="0"/>
                    <w:kinsoku/>
                    <w:wordWrap/>
                    <w:overflowPunct/>
                    <w:topLinePunct w:val="0"/>
                    <w:autoSpaceDE/>
                    <w:autoSpaceDN/>
                    <w:bidi w:val="0"/>
                    <w:adjustRightInd/>
                    <w:snapToGrid/>
                    <w:jc w:val="center"/>
                    <w:textAlignment w:val="auto"/>
                    <w:rPr>
                      <w:rFonts w:hint="default"/>
                      <w:highlight w:val="none"/>
                      <w:vertAlign w:val="baseline"/>
                      <w:lang w:val="en-US" w:eastAsia="zh-CN"/>
                    </w:rPr>
                  </w:pPr>
                  <w:r>
                    <w:rPr>
                      <w:rFonts w:hint="eastAsia"/>
                      <w:highlight w:val="none"/>
                      <w:vertAlign w:val="baseline"/>
                      <w:lang w:val="en-US" w:eastAsia="zh-CN"/>
                    </w:rPr>
                    <w:t>20</w:t>
                  </w:r>
                </w:p>
              </w:tc>
              <w:tc>
                <w:tcPr>
                  <w:tcW w:w="1164" w:type="dxa"/>
                  <w:vAlign w:val="center"/>
                </w:tcPr>
                <w:p w14:paraId="28B999E1">
                  <w:pPr>
                    <w:keepNext w:val="0"/>
                    <w:keepLines w:val="0"/>
                    <w:pageBreakBefore w:val="0"/>
                    <w:widowControl w:val="0"/>
                    <w:kinsoku/>
                    <w:wordWrap/>
                    <w:overflowPunct/>
                    <w:topLinePunct w:val="0"/>
                    <w:autoSpaceDE/>
                    <w:autoSpaceDN/>
                    <w:bidi w:val="0"/>
                    <w:adjustRightInd/>
                    <w:snapToGrid/>
                    <w:jc w:val="center"/>
                    <w:textAlignment w:val="auto"/>
                    <w:rPr>
                      <w:rFonts w:hint="default"/>
                      <w:highlight w:val="none"/>
                      <w:vertAlign w:val="baseline"/>
                      <w:lang w:val="en-US" w:eastAsia="zh-CN"/>
                    </w:rPr>
                  </w:pPr>
                  <w:r>
                    <w:rPr>
                      <w:rFonts w:hint="eastAsia"/>
                      <w:highlight w:val="none"/>
                      <w:vertAlign w:val="baseline"/>
                      <w:lang w:val="en-US" w:eastAsia="zh-CN"/>
                    </w:rPr>
                    <w:t>675</w:t>
                  </w:r>
                </w:p>
              </w:tc>
              <w:tc>
                <w:tcPr>
                  <w:tcW w:w="1164" w:type="dxa"/>
                  <w:vAlign w:val="center"/>
                </w:tcPr>
                <w:p w14:paraId="6EBFE93E">
                  <w:pPr>
                    <w:keepNext w:val="0"/>
                    <w:keepLines w:val="0"/>
                    <w:pageBreakBefore w:val="0"/>
                    <w:widowControl w:val="0"/>
                    <w:kinsoku/>
                    <w:wordWrap/>
                    <w:overflowPunct/>
                    <w:topLinePunct w:val="0"/>
                    <w:autoSpaceDE/>
                    <w:autoSpaceDN/>
                    <w:bidi w:val="0"/>
                    <w:adjustRightInd/>
                    <w:snapToGrid/>
                    <w:jc w:val="center"/>
                    <w:textAlignment w:val="auto"/>
                    <w:rPr>
                      <w:rFonts w:hint="default"/>
                      <w:highlight w:val="none"/>
                      <w:vertAlign w:val="baseline"/>
                      <w:lang w:val="en-US" w:eastAsia="zh-CN"/>
                    </w:rPr>
                  </w:pPr>
                  <w:r>
                    <w:rPr>
                      <w:rFonts w:hint="eastAsia"/>
                      <w:highlight w:val="none"/>
                      <w:vertAlign w:val="baseline"/>
                      <w:lang w:val="en-US" w:eastAsia="zh-CN"/>
                    </w:rPr>
                    <w:t>1056</w:t>
                  </w:r>
                </w:p>
              </w:tc>
              <w:tc>
                <w:tcPr>
                  <w:tcW w:w="1164" w:type="dxa"/>
                  <w:vAlign w:val="center"/>
                </w:tcPr>
                <w:p w14:paraId="223D5944">
                  <w:pPr>
                    <w:keepNext w:val="0"/>
                    <w:keepLines w:val="0"/>
                    <w:pageBreakBefore w:val="0"/>
                    <w:widowControl w:val="0"/>
                    <w:kinsoku/>
                    <w:wordWrap/>
                    <w:overflowPunct/>
                    <w:topLinePunct w:val="0"/>
                    <w:autoSpaceDE/>
                    <w:autoSpaceDN/>
                    <w:bidi w:val="0"/>
                    <w:adjustRightInd/>
                    <w:snapToGrid/>
                    <w:jc w:val="center"/>
                    <w:textAlignment w:val="auto"/>
                    <w:rPr>
                      <w:rFonts w:hint="default"/>
                      <w:highlight w:val="none"/>
                      <w:vertAlign w:val="baseline"/>
                      <w:lang w:val="en-US" w:eastAsia="zh-CN"/>
                    </w:rPr>
                  </w:pPr>
                  <w:r>
                    <w:rPr>
                      <w:rFonts w:hint="eastAsia"/>
                      <w:highlight w:val="none"/>
                      <w:vertAlign w:val="baseline"/>
                      <w:lang w:val="en-US" w:eastAsia="zh-CN"/>
                    </w:rPr>
                    <w:t>11.07</w:t>
                  </w:r>
                </w:p>
              </w:tc>
            </w:tr>
          </w:tbl>
          <w:p w14:paraId="05F8DA57">
            <w:pPr>
              <w:pStyle w:val="20"/>
              <w:spacing w:line="360" w:lineRule="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6</w:t>
            </w:r>
            <w:r>
              <w:rPr>
                <w:rFonts w:hint="eastAsia"/>
                <w:b/>
                <w:bCs/>
                <w:color w:val="000000" w:themeColor="text1"/>
                <w:sz w:val="24"/>
                <w:highlight w:val="none"/>
                <w:lang w:val="en-US" w:eastAsia="zh-CN"/>
                <w14:textFill>
                  <w14:solidFill>
                    <w14:schemeClr w14:val="tx1"/>
                  </w14:solidFill>
                </w14:textFill>
              </w:rPr>
              <w:t>.</w:t>
            </w:r>
            <w:r>
              <w:rPr>
                <w:b/>
                <w:bCs/>
                <w:color w:val="000000" w:themeColor="text1"/>
                <w:sz w:val="24"/>
                <w:highlight w:val="none"/>
                <w14:textFill>
                  <w14:solidFill>
                    <w14:schemeClr w14:val="tx1"/>
                  </w14:solidFill>
                </w14:textFill>
              </w:rPr>
              <w:t>劳动定员及工作制度</w:t>
            </w:r>
          </w:p>
          <w:p w14:paraId="36DCFA65">
            <w:pPr>
              <w:pStyle w:val="8"/>
              <w:spacing w:line="360" w:lineRule="auto"/>
              <w:ind w:firstLine="480" w:firstLineChars="200"/>
              <w:jc w:val="both"/>
              <w:rPr>
                <w:color w:val="000000" w:themeColor="text1"/>
                <w:szCs w:val="24"/>
                <w:highlight w:val="none"/>
                <w14:textFill>
                  <w14:solidFill>
                    <w14:schemeClr w14:val="tx1"/>
                  </w14:solidFill>
                </w14:textFill>
              </w:rPr>
            </w:pPr>
            <w:r>
              <w:rPr>
                <w:color w:val="000000" w:themeColor="text1"/>
                <w:szCs w:val="24"/>
                <w:highlight w:val="none"/>
                <w14:textFill>
                  <w14:solidFill>
                    <w14:schemeClr w14:val="tx1"/>
                  </w14:solidFill>
                </w14:textFill>
              </w:rPr>
              <w:t>本项目运营期员工定员为</w:t>
            </w:r>
            <w:r>
              <w:rPr>
                <w:rFonts w:hint="eastAsia"/>
                <w:color w:val="000000" w:themeColor="text1"/>
                <w:szCs w:val="24"/>
                <w:highlight w:val="none"/>
                <w14:textFill>
                  <w14:solidFill>
                    <w14:schemeClr w14:val="tx1"/>
                  </w14:solidFill>
                </w14:textFill>
              </w:rPr>
              <w:t>10</w:t>
            </w:r>
            <w:r>
              <w:rPr>
                <w:color w:val="000000" w:themeColor="text1"/>
                <w:szCs w:val="24"/>
                <w:highlight w:val="none"/>
                <w14:textFill>
                  <w14:solidFill>
                    <w14:schemeClr w14:val="tx1"/>
                  </w14:solidFill>
                </w14:textFill>
              </w:rPr>
              <w:t>人，</w:t>
            </w:r>
            <w:r>
              <w:rPr>
                <w:rFonts w:hint="eastAsia"/>
                <w:color w:val="000000" w:themeColor="text1"/>
                <w:szCs w:val="24"/>
                <w:highlight w:val="none"/>
                <w14:textFill>
                  <w14:solidFill>
                    <w14:schemeClr w14:val="tx1"/>
                  </w14:solidFill>
                </w14:textFill>
              </w:rPr>
              <w:t>本项目</w:t>
            </w:r>
            <w:r>
              <w:rPr>
                <w:color w:val="000000" w:themeColor="text1"/>
                <w:szCs w:val="24"/>
                <w:highlight w:val="none"/>
                <w14:textFill>
                  <w14:solidFill>
                    <w14:schemeClr w14:val="tx1"/>
                  </w14:solidFill>
                </w14:textFill>
              </w:rPr>
              <w:t>工作制度为每年工作</w:t>
            </w:r>
            <w:r>
              <w:rPr>
                <w:rFonts w:hint="eastAsia"/>
                <w:color w:val="000000" w:themeColor="text1"/>
                <w:szCs w:val="24"/>
                <w:highlight w:val="none"/>
                <w14:textFill>
                  <w14:solidFill>
                    <w14:schemeClr w14:val="tx1"/>
                  </w14:solidFill>
                </w14:textFill>
              </w:rPr>
              <w:t>300</w:t>
            </w:r>
            <w:r>
              <w:rPr>
                <w:color w:val="000000" w:themeColor="text1"/>
                <w:szCs w:val="24"/>
                <w:highlight w:val="none"/>
                <w14:textFill>
                  <w14:solidFill>
                    <w14:schemeClr w14:val="tx1"/>
                  </w14:solidFill>
                </w14:textFill>
              </w:rPr>
              <w:t>天，每天工作</w:t>
            </w:r>
            <w:r>
              <w:rPr>
                <w:rFonts w:hint="eastAsia"/>
                <w:color w:val="000000" w:themeColor="text1"/>
                <w:szCs w:val="24"/>
                <w:highlight w:val="none"/>
                <w14:textFill>
                  <w14:solidFill>
                    <w14:schemeClr w14:val="tx1"/>
                  </w14:solidFill>
                </w14:textFill>
              </w:rPr>
              <w:t>8</w:t>
            </w:r>
            <w:r>
              <w:rPr>
                <w:color w:val="000000" w:themeColor="text1"/>
                <w:szCs w:val="24"/>
                <w:highlight w:val="none"/>
                <w14:textFill>
                  <w14:solidFill>
                    <w14:schemeClr w14:val="tx1"/>
                  </w14:solidFill>
                </w14:textFill>
              </w:rPr>
              <w:t>小时。</w:t>
            </w:r>
          </w:p>
          <w:p w14:paraId="567ED6C6">
            <w:pPr>
              <w:spacing w:line="360" w:lineRule="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7</w:t>
            </w:r>
            <w:r>
              <w:rPr>
                <w:rFonts w:hint="eastAsia"/>
                <w:b/>
                <w:bCs/>
                <w:color w:val="000000" w:themeColor="text1"/>
                <w:sz w:val="24"/>
                <w:highlight w:val="none"/>
                <w:lang w:val="en-US" w:eastAsia="zh-CN"/>
                <w14:textFill>
                  <w14:solidFill>
                    <w14:schemeClr w14:val="tx1"/>
                  </w14:solidFill>
                </w14:textFill>
              </w:rPr>
              <w:t>.</w:t>
            </w:r>
            <w:r>
              <w:rPr>
                <w:b/>
                <w:bCs/>
                <w:color w:val="000000" w:themeColor="text1"/>
                <w:sz w:val="24"/>
                <w:highlight w:val="none"/>
                <w14:textFill>
                  <w14:solidFill>
                    <w14:schemeClr w14:val="tx1"/>
                  </w14:solidFill>
                </w14:textFill>
              </w:rPr>
              <w:t>厂区</w:t>
            </w:r>
            <w:r>
              <w:rPr>
                <w:rFonts w:hint="eastAsia"/>
                <w:b/>
                <w:bCs/>
                <w:color w:val="000000" w:themeColor="text1"/>
                <w:sz w:val="24"/>
                <w:highlight w:val="none"/>
                <w:lang w:eastAsia="zh-CN"/>
                <w14:textFill>
                  <w14:solidFill>
                    <w14:schemeClr w14:val="tx1"/>
                  </w14:solidFill>
                </w14:textFill>
              </w:rPr>
              <w:t>总</w:t>
            </w:r>
            <w:r>
              <w:rPr>
                <w:b/>
                <w:bCs/>
                <w:color w:val="000000" w:themeColor="text1"/>
                <w:sz w:val="24"/>
                <w:highlight w:val="none"/>
                <w14:textFill>
                  <w14:solidFill>
                    <w14:schemeClr w14:val="tx1"/>
                  </w14:solidFill>
                </w14:textFill>
              </w:rPr>
              <w:t>平面布置</w:t>
            </w:r>
          </w:p>
          <w:p w14:paraId="7C8F93A1">
            <w:pPr>
              <w:pStyle w:val="6"/>
              <w:spacing w:line="360" w:lineRule="auto"/>
              <w:ind w:firstLine="48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本项目占地面积30981m</w:t>
            </w:r>
            <w:r>
              <w:rPr>
                <w:rFonts w:hint="eastAsia"/>
                <w:color w:val="000000" w:themeColor="text1"/>
                <w:sz w:val="24"/>
                <w:highlight w:val="none"/>
                <w:vertAlign w:val="superscript"/>
                <w14:textFill>
                  <w14:solidFill>
                    <w14:schemeClr w14:val="tx1"/>
                  </w14:solidFill>
                </w14:textFill>
              </w:rPr>
              <w:t>2</w:t>
            </w:r>
            <w:r>
              <w:rPr>
                <w:rFonts w:hint="eastAsia"/>
                <w:color w:val="000000" w:themeColor="text1"/>
                <w:sz w:val="24"/>
                <w:highlight w:val="none"/>
                <w14:textFill>
                  <w14:solidFill>
                    <w14:schemeClr w14:val="tx1"/>
                  </w14:solidFill>
                </w14:textFill>
              </w:rPr>
              <w:t>，按照工艺设施配套情况，北侧为产品堆放区及办公生活用房</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其中宿舍、办公楼</w:t>
            </w:r>
            <w:r>
              <w:rPr>
                <w:rFonts w:hint="eastAsia"/>
                <w:color w:val="000000" w:themeColor="text1"/>
                <w:sz w:val="24"/>
                <w:highlight w:val="none"/>
                <w:lang w:val="en-US" w:eastAsia="zh-CN"/>
                <w14:textFill>
                  <w14:solidFill>
                    <w14:schemeClr w14:val="tx1"/>
                  </w14:solidFill>
                </w14:textFill>
              </w:rPr>
              <w:t>位于</w:t>
            </w:r>
            <w:r>
              <w:rPr>
                <w:rFonts w:hint="eastAsia"/>
                <w:color w:val="000000" w:themeColor="text1"/>
                <w:sz w:val="24"/>
                <w:highlight w:val="none"/>
                <w14:textFill>
                  <w14:solidFill>
                    <w14:schemeClr w14:val="tx1"/>
                  </w14:solidFill>
                </w14:textFill>
              </w:rPr>
              <w:t>产品堆放区</w:t>
            </w:r>
            <w:r>
              <w:rPr>
                <w:rFonts w:hint="eastAsia"/>
                <w:color w:val="000000" w:themeColor="text1"/>
                <w:sz w:val="24"/>
                <w:highlight w:val="none"/>
                <w:lang w:val="en-US" w:eastAsia="zh-CN"/>
                <w14:textFill>
                  <w14:solidFill>
                    <w14:schemeClr w14:val="tx1"/>
                  </w14:solidFill>
                </w14:textFill>
              </w:rPr>
              <w:t>西</w:t>
            </w:r>
            <w:r>
              <w:rPr>
                <w:rFonts w:hint="eastAsia"/>
                <w:color w:val="000000" w:themeColor="text1"/>
                <w:sz w:val="24"/>
                <w:highlight w:val="none"/>
                <w14:textFill>
                  <w14:solidFill>
                    <w14:schemeClr w14:val="tx1"/>
                  </w14:solidFill>
                </w14:textFill>
              </w:rPr>
              <w:t>侧，</w:t>
            </w:r>
            <w:r>
              <w:rPr>
                <w:rFonts w:hint="eastAsia"/>
                <w:color w:val="000000" w:themeColor="text1"/>
                <w:sz w:val="24"/>
                <w:highlight w:val="none"/>
                <w:lang w:val="en-US" w:eastAsia="zh-CN"/>
                <w14:textFill>
                  <w14:solidFill>
                    <w14:schemeClr w14:val="tx1"/>
                  </w14:solidFill>
                </w14:textFill>
              </w:rPr>
              <w:t>生产车间及搅拌楼位于产品堆放区南侧，</w:t>
            </w:r>
            <w:r>
              <w:rPr>
                <w:rFonts w:hint="eastAsia"/>
                <w:color w:val="000000" w:themeColor="text1"/>
                <w:sz w:val="24"/>
                <w:highlight w:val="none"/>
                <w14:textFill>
                  <w14:solidFill>
                    <w14:schemeClr w14:val="tx1"/>
                  </w14:solidFill>
                </w14:textFill>
              </w:rPr>
              <w:t>按照工艺流向，由东向西依次建设原料库及混凝土搅拌站、生产车间，并于</w:t>
            </w:r>
            <w:r>
              <w:rPr>
                <w:rFonts w:hint="eastAsia"/>
                <w:color w:val="000000" w:themeColor="text1"/>
                <w:sz w:val="24"/>
                <w:highlight w:val="none"/>
                <w:lang w:eastAsia="zh-CN"/>
                <w14:textFill>
                  <w14:solidFill>
                    <w14:schemeClr w14:val="tx1"/>
                  </w14:solidFill>
                </w14:textFill>
              </w:rPr>
              <w:t>厂</w:t>
            </w:r>
            <w:r>
              <w:rPr>
                <w:rFonts w:hint="eastAsia"/>
                <w:color w:val="000000" w:themeColor="text1"/>
                <w:sz w:val="24"/>
                <w:highlight w:val="none"/>
                <w14:textFill>
                  <w14:solidFill>
                    <w14:schemeClr w14:val="tx1"/>
                  </w14:solidFill>
                </w14:textFill>
              </w:rPr>
              <w:t>区东南侧设置原辅材料主出入口。</w:t>
            </w:r>
            <w:r>
              <w:rPr>
                <w:rFonts w:hint="eastAsia"/>
                <w:color w:val="000000" w:themeColor="text1"/>
                <w:sz w:val="24"/>
                <w:highlight w:val="none"/>
                <w:lang w:eastAsia="zh-CN"/>
                <w14:textFill>
                  <w14:solidFill>
                    <w14:schemeClr w14:val="tx1"/>
                  </w14:solidFill>
                </w14:textFill>
              </w:rPr>
              <w:t>厂</w:t>
            </w:r>
            <w:r>
              <w:rPr>
                <w:rFonts w:hint="eastAsia"/>
                <w:color w:val="000000" w:themeColor="text1"/>
                <w:sz w:val="24"/>
                <w:highlight w:val="none"/>
                <w14:textFill>
                  <w14:solidFill>
                    <w14:schemeClr w14:val="tx1"/>
                  </w14:solidFill>
                </w14:textFill>
              </w:rPr>
              <w:t>区出入口设置于西侧，主要为产品出口及办公、行政人员出入口。</w:t>
            </w:r>
          </w:p>
          <w:p w14:paraId="5B023ADA">
            <w:pPr>
              <w:pStyle w:val="6"/>
              <w:spacing w:line="360" w:lineRule="auto"/>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具体平面布置情况</w:t>
            </w:r>
            <w:r>
              <w:rPr>
                <w:rFonts w:hint="eastAsia"/>
                <w:color w:val="000000" w:themeColor="text1"/>
                <w:sz w:val="24"/>
                <w:highlight w:val="none"/>
                <w:lang w:eastAsia="zh-CN"/>
                <w14:textFill>
                  <w14:solidFill>
                    <w14:schemeClr w14:val="tx1"/>
                  </w14:solidFill>
                </w14:textFill>
              </w:rPr>
              <w:t>详</w:t>
            </w:r>
            <w:r>
              <w:rPr>
                <w:color w:val="000000" w:themeColor="text1"/>
                <w:sz w:val="24"/>
                <w:highlight w:val="none"/>
                <w14:textFill>
                  <w14:solidFill>
                    <w14:schemeClr w14:val="tx1"/>
                  </w14:solidFill>
                </w14:textFill>
              </w:rPr>
              <w:t>见附图2。</w:t>
            </w:r>
          </w:p>
          <w:p w14:paraId="7F989DA0">
            <w:pPr>
              <w:pStyle w:val="6"/>
              <w:spacing w:line="360" w:lineRule="auto"/>
              <w:ind w:left="0" w:leftChars="0" w:firstLine="0" w:firstLineChars="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8</w:t>
            </w:r>
            <w:r>
              <w:rPr>
                <w:rFonts w:hint="eastAsia"/>
                <w:b/>
                <w:bCs/>
                <w:color w:val="000000" w:themeColor="text1"/>
                <w:sz w:val="24"/>
                <w:highlight w:val="none"/>
                <w:lang w:val="en-US" w:eastAsia="zh-CN"/>
                <w14:textFill>
                  <w14:solidFill>
                    <w14:schemeClr w14:val="tx1"/>
                  </w14:solidFill>
                </w14:textFill>
              </w:rPr>
              <w:t>.</w:t>
            </w:r>
            <w:r>
              <w:rPr>
                <w:b/>
                <w:bCs/>
                <w:color w:val="000000" w:themeColor="text1"/>
                <w:sz w:val="24"/>
                <w:highlight w:val="none"/>
                <w14:textFill>
                  <w14:solidFill>
                    <w14:schemeClr w14:val="tx1"/>
                  </w14:solidFill>
                </w14:textFill>
              </w:rPr>
              <w:t>公用工程</w:t>
            </w:r>
          </w:p>
          <w:p w14:paraId="1CE3FA90">
            <w:pPr>
              <w:pStyle w:val="29"/>
              <w:spacing w:after="0" w:line="360" w:lineRule="auto"/>
              <w:ind w:left="0" w:leftChars="0" w:firstLine="480"/>
              <w:rPr>
                <w:rFonts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8.1供电</w:t>
            </w:r>
          </w:p>
          <w:p w14:paraId="71102E77">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装机容量907KW，其中混凝土搅拌站装机容量约260KW；生产车间装机容量约557KW，附属用电约90KW。项目有功功率680.4KW，补偿后无功功率223.63KVar，视在功率716.19KVA。本项目配套一台SCB18-1000变压器，变压器总负载率71.62%</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用电来源于园区变电站供电线路。</w:t>
            </w:r>
          </w:p>
          <w:p w14:paraId="14D3885D">
            <w:pPr>
              <w:pStyle w:val="6"/>
              <w:spacing w:line="360" w:lineRule="auto"/>
              <w:ind w:left="0" w:leftChars="0" w:firstLine="482" w:firstLineChars="200"/>
              <w:rPr>
                <w:rFonts w:hint="eastAsia" w:eastAsia="宋体"/>
                <w:b/>
                <w:bCs/>
                <w:color w:val="000000" w:themeColor="text1"/>
                <w:sz w:val="24"/>
                <w:highlight w:val="none"/>
                <w:lang w:val="en-US" w:eastAsia="zh-CN"/>
                <w14:textFill>
                  <w14:solidFill>
                    <w14:schemeClr w14:val="tx1"/>
                  </w14:solidFill>
                </w14:textFill>
              </w:rPr>
            </w:pPr>
            <w:r>
              <w:rPr>
                <w:b/>
                <w:bCs/>
                <w:color w:val="000000" w:themeColor="text1"/>
                <w:sz w:val="24"/>
                <w:highlight w:val="none"/>
                <w14:textFill>
                  <w14:solidFill>
                    <w14:schemeClr w14:val="tx1"/>
                  </w14:solidFill>
                </w14:textFill>
              </w:rPr>
              <w:t>8.2供</w:t>
            </w:r>
            <w:r>
              <w:rPr>
                <w:rFonts w:hint="eastAsia"/>
                <w:b/>
                <w:bCs/>
                <w:color w:val="000000" w:themeColor="text1"/>
                <w:sz w:val="24"/>
                <w:highlight w:val="none"/>
                <w:lang w:val="en-US" w:eastAsia="zh-CN"/>
                <w14:textFill>
                  <w14:solidFill>
                    <w14:schemeClr w14:val="tx1"/>
                  </w14:solidFill>
                </w14:textFill>
              </w:rPr>
              <w:t>暖</w:t>
            </w:r>
          </w:p>
          <w:p w14:paraId="12231874">
            <w:pPr>
              <w:adjustRightInd w:val="0"/>
              <w:snapToGrid w:val="0"/>
              <w:spacing w:line="360" w:lineRule="auto"/>
              <w:ind w:firstLine="480" w:firstLineChars="200"/>
              <w:rPr>
                <w:color w:val="000000" w:themeColor="text1"/>
                <w:sz w:val="24"/>
                <w:highlight w:val="none"/>
                <w:lang w:val="en-GB"/>
                <w14:textFill>
                  <w14:solidFill>
                    <w14:schemeClr w14:val="tx1"/>
                  </w14:solidFill>
                </w14:textFill>
              </w:rPr>
            </w:pPr>
            <w:r>
              <w:rPr>
                <w:rFonts w:hint="eastAsia"/>
                <w:color w:val="000000" w:themeColor="text1"/>
                <w:sz w:val="24"/>
                <w:highlight w:val="none"/>
                <w:lang w:val="en-GB"/>
                <w14:textFill>
                  <w14:solidFill>
                    <w14:schemeClr w14:val="tx1"/>
                  </w14:solidFill>
                </w14:textFill>
              </w:rPr>
              <w:t>本项目采暖热负荷607.5KW，</w:t>
            </w:r>
            <w:r>
              <w:rPr>
                <w:rFonts w:hint="eastAsia"/>
                <w:color w:val="000000" w:themeColor="text1"/>
                <w:sz w:val="24"/>
                <w:highlight w:val="none"/>
                <w:lang w:val="en-US" w:eastAsia="zh-CN"/>
                <w14:textFill>
                  <w14:solidFill>
                    <w14:schemeClr w14:val="tx1"/>
                  </w14:solidFill>
                </w14:textFill>
              </w:rPr>
              <w:t>项目区供暖由</w:t>
            </w:r>
            <w:r>
              <w:rPr>
                <w:rFonts w:hint="eastAsia"/>
                <w:color w:val="000000" w:themeColor="text1"/>
                <w:sz w:val="24"/>
                <w:highlight w:val="none"/>
                <w:lang w:val="en-GB"/>
                <w14:textFill>
                  <w14:solidFill>
                    <w14:schemeClr w14:val="tx1"/>
                  </w14:solidFill>
                </w14:textFill>
              </w:rPr>
              <w:t>杭锦旗聚野煤化有限责任公司</w:t>
            </w:r>
            <w:r>
              <w:rPr>
                <w:rFonts w:hint="eastAsia"/>
                <w:color w:val="000000" w:themeColor="text1"/>
                <w:sz w:val="24"/>
                <w:highlight w:val="none"/>
                <w:lang w:val="en-US" w:eastAsia="zh-CN"/>
                <w14:textFill>
                  <w14:solidFill>
                    <w14:schemeClr w14:val="tx1"/>
                  </w14:solidFill>
                </w14:textFill>
              </w:rPr>
              <w:t>换热站接出，</w:t>
            </w:r>
            <w:r>
              <w:rPr>
                <w:rFonts w:hint="eastAsia"/>
                <w:color w:val="000000" w:themeColor="text1"/>
                <w:sz w:val="24"/>
                <w:highlight w:val="none"/>
                <w:lang w:val="en-GB"/>
                <w14:textFill>
                  <w14:solidFill>
                    <w14:schemeClr w14:val="tx1"/>
                  </w14:solidFill>
                </w14:textFill>
              </w:rPr>
              <w:t>经换热设施换热后，为</w:t>
            </w:r>
            <w:r>
              <w:rPr>
                <w:rFonts w:hint="eastAsia"/>
                <w:color w:val="000000" w:themeColor="text1"/>
                <w:sz w:val="24"/>
                <w:highlight w:val="none"/>
                <w:lang w:val="en-US" w:eastAsia="zh-CN"/>
                <w14:textFill>
                  <w14:solidFill>
                    <w14:schemeClr w14:val="tx1"/>
                  </w14:solidFill>
                </w14:textFill>
              </w:rPr>
              <w:t>本项目</w:t>
            </w:r>
            <w:r>
              <w:rPr>
                <w:rFonts w:hint="eastAsia"/>
                <w:color w:val="000000" w:themeColor="text1"/>
                <w:sz w:val="24"/>
                <w:highlight w:val="none"/>
                <w:lang w:val="en-GB"/>
                <w14:textFill>
                  <w14:solidFill>
                    <w14:schemeClr w14:val="tx1"/>
                  </w14:solidFill>
                </w14:textFill>
              </w:rPr>
              <w:t>建筑提供80/65℃热水</w:t>
            </w:r>
            <w:r>
              <w:rPr>
                <w:rFonts w:hint="eastAsia"/>
                <w:color w:val="000000" w:themeColor="text1"/>
                <w:sz w:val="24"/>
                <w:highlight w:val="none"/>
                <w:lang w:val="en-GB"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本项目距</w:t>
            </w:r>
            <w:r>
              <w:rPr>
                <w:rFonts w:hint="eastAsia"/>
                <w:color w:val="000000" w:themeColor="text1"/>
                <w:sz w:val="24"/>
                <w:highlight w:val="none"/>
                <w:lang w:val="en-GB"/>
                <w14:textFill>
                  <w14:solidFill>
                    <w14:schemeClr w14:val="tx1"/>
                  </w14:solidFill>
                </w14:textFill>
              </w:rPr>
              <w:t>杭锦旗聚野煤化有限责任公司</w:t>
            </w:r>
            <w:r>
              <w:rPr>
                <w:rFonts w:hint="eastAsia"/>
                <w:color w:val="000000" w:themeColor="text1"/>
                <w:sz w:val="24"/>
                <w:highlight w:val="none"/>
                <w:lang w:val="en-US" w:eastAsia="zh-CN"/>
                <w14:textFill>
                  <w14:solidFill>
                    <w14:schemeClr w14:val="tx1"/>
                  </w14:solidFill>
                </w14:textFill>
              </w:rPr>
              <w:t>距离120m，距离较短，可满足本项目供暖需求。</w:t>
            </w:r>
          </w:p>
          <w:p w14:paraId="58D7D407">
            <w:pPr>
              <w:adjustRightInd w:val="0"/>
              <w:snapToGrid w:val="0"/>
              <w:spacing w:line="360" w:lineRule="auto"/>
              <w:ind w:firstLine="482" w:firstLineChars="200"/>
              <w:rPr>
                <w:rFonts w:hint="default" w:eastAsia="宋体"/>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8.3供汽</w:t>
            </w:r>
          </w:p>
          <w:p w14:paraId="2E5EEB89">
            <w:pPr>
              <w:adjustRightInd w:val="0"/>
              <w:snapToGrid w:val="0"/>
              <w:spacing w:line="360" w:lineRule="auto"/>
              <w:ind w:firstLine="480" w:firstLineChars="200"/>
              <w:rPr>
                <w:b w:val="0"/>
                <w:bCs w:val="0"/>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本项目管桩养护</w:t>
            </w:r>
            <w:r>
              <w:rPr>
                <w:rFonts w:hint="eastAsia"/>
                <w:color w:val="000000" w:themeColor="text1"/>
                <w:sz w:val="24"/>
                <w:highlight w:val="none"/>
                <w:lang w:val="en-GB"/>
                <w14:textFill>
                  <w14:solidFill>
                    <w14:schemeClr w14:val="tx1"/>
                  </w14:solidFill>
                </w14:textFill>
              </w:rPr>
              <w:t>蒸</w:t>
            </w:r>
            <w:r>
              <w:rPr>
                <w:rFonts w:hint="eastAsia"/>
                <w:color w:val="000000" w:themeColor="text1"/>
                <w:sz w:val="24"/>
                <w:highlight w:val="none"/>
                <w:lang w:val="en-GB" w:eastAsia="zh-CN"/>
                <w14:textFill>
                  <w14:solidFill>
                    <w14:schemeClr w14:val="tx1"/>
                  </w14:solidFill>
                </w14:textFill>
              </w:rPr>
              <w:t>汽</w:t>
            </w:r>
            <w:r>
              <w:rPr>
                <w:rFonts w:hint="eastAsia"/>
                <w:color w:val="000000" w:themeColor="text1"/>
                <w:sz w:val="24"/>
                <w:highlight w:val="none"/>
                <w:lang w:val="en-GB"/>
                <w14:textFill>
                  <w14:solidFill>
                    <w14:schemeClr w14:val="tx1"/>
                  </w14:solidFill>
                </w14:textFill>
              </w:rPr>
              <w:t>热源由项目拟建地点北侧杭锦旗聚野煤化有限责任公司就近接入，</w:t>
            </w:r>
            <w:r>
              <w:rPr>
                <w:rFonts w:hint="eastAsia"/>
                <w:color w:val="000000" w:themeColor="text1"/>
                <w:sz w:val="24"/>
                <w:highlight w:val="none"/>
                <w:lang w:val="en-US" w:eastAsia="zh-CN"/>
                <w14:textFill>
                  <w14:solidFill>
                    <w14:schemeClr w14:val="tx1"/>
                  </w14:solidFill>
                </w14:textFill>
              </w:rPr>
              <w:t>为项目产品养护供应蒸汽，本项目蒸汽（0.6~0.8Mpa）使用量为5t/h。</w:t>
            </w:r>
          </w:p>
          <w:p w14:paraId="4C9D9A4A">
            <w:pPr>
              <w:adjustRightInd w:val="0"/>
              <w:snapToGrid w:val="0"/>
              <w:spacing w:line="360" w:lineRule="auto"/>
              <w:ind w:firstLine="480" w:firstLineChars="200"/>
              <w:rPr>
                <w:rFonts w:hint="default" w:eastAsia="宋体"/>
                <w:b w:val="0"/>
                <w:bCs w:val="0"/>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GB"/>
                <w14:textFill>
                  <w14:solidFill>
                    <w14:schemeClr w14:val="tx1"/>
                  </w14:solidFill>
                </w14:textFill>
              </w:rPr>
              <w:t>杭锦旗聚野煤化有限责任公司年产铸造焦60万吨，电厂配套2×12MW余热发电机组，配备4台废气余热锅炉，炼焦过程中产生的废气经余热锅炉回收热量生产蒸汽供汽轮机发电</w:t>
            </w:r>
            <w:r>
              <w:rPr>
                <w:rFonts w:hint="eastAsia"/>
                <w:color w:val="000000" w:themeColor="text1"/>
                <w:sz w:val="24"/>
                <w:highlight w:val="none"/>
                <w:lang w:val="en-GB" w:eastAsia="zh-CN"/>
                <w14:textFill>
                  <w14:solidFill>
                    <w14:schemeClr w14:val="tx1"/>
                  </w14:solidFill>
                </w14:textFill>
              </w:rPr>
              <w:t>，杭锦</w:t>
            </w:r>
            <w:r>
              <w:rPr>
                <w:rFonts w:hint="eastAsia"/>
                <w:color w:val="000000" w:themeColor="text1"/>
                <w:sz w:val="24"/>
                <w:highlight w:val="none"/>
                <w:lang w:val="en-GB"/>
                <w14:textFill>
                  <w14:solidFill>
                    <w14:schemeClr w14:val="tx1"/>
                  </w14:solidFill>
                </w14:textFill>
              </w:rPr>
              <w:t>旗聚野煤化有限责任公司</w:t>
            </w:r>
            <w:r>
              <w:rPr>
                <w:rFonts w:hint="eastAsia"/>
                <w:color w:val="000000" w:themeColor="text1"/>
                <w:sz w:val="24"/>
                <w:highlight w:val="none"/>
                <w:lang w:val="en-US" w:eastAsia="zh-CN"/>
                <w14:textFill>
                  <w14:solidFill>
                    <w14:schemeClr w14:val="tx1"/>
                  </w14:solidFill>
                </w14:textFill>
              </w:rPr>
              <w:t>经发电后余热蒸汽产量为180t/h，蒸汽全部直接外排。</w:t>
            </w:r>
          </w:p>
          <w:p w14:paraId="2C3E0C6D">
            <w:pPr>
              <w:adjustRightInd w:val="0"/>
              <w:snapToGrid w:val="0"/>
              <w:spacing w:line="360" w:lineRule="auto"/>
              <w:ind w:firstLine="480" w:firstLineChars="200"/>
              <w:rPr>
                <w:rFonts w:hint="default" w:eastAsia="宋体"/>
                <w:b w:val="0"/>
                <w:bCs w:val="0"/>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GB"/>
                <w14:textFill>
                  <w14:solidFill>
                    <w14:schemeClr w14:val="tx1"/>
                  </w14:solidFill>
                </w14:textFill>
              </w:rPr>
              <w:t>杭锦旗聚野煤化有限责任公司</w:t>
            </w:r>
            <w:r>
              <w:rPr>
                <w:rFonts w:hint="eastAsia"/>
                <w:color w:val="000000" w:themeColor="text1"/>
                <w:sz w:val="24"/>
                <w:highlight w:val="none"/>
                <w:lang w:val="en-US" w:eastAsia="zh-CN"/>
                <w14:textFill>
                  <w14:solidFill>
                    <w14:schemeClr w14:val="tx1"/>
                  </w14:solidFill>
                </w14:textFill>
              </w:rPr>
              <w:t>产生的蒸汽可满足本项目使用。</w:t>
            </w:r>
          </w:p>
          <w:p w14:paraId="676DC440">
            <w:pPr>
              <w:adjustRightInd w:val="0"/>
              <w:snapToGrid w:val="0"/>
              <w:spacing w:line="360" w:lineRule="auto"/>
              <w:ind w:firstLine="482" w:firstLineChars="20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8.</w:t>
            </w:r>
            <w:r>
              <w:rPr>
                <w:rFonts w:hint="eastAsia"/>
                <w:b/>
                <w:bCs/>
                <w:color w:val="000000" w:themeColor="text1"/>
                <w:sz w:val="24"/>
                <w:highlight w:val="none"/>
                <w:lang w:val="en-US" w:eastAsia="zh-CN"/>
                <w14:textFill>
                  <w14:solidFill>
                    <w14:schemeClr w14:val="tx1"/>
                  </w14:solidFill>
                </w14:textFill>
              </w:rPr>
              <w:t>4</w:t>
            </w:r>
            <w:r>
              <w:rPr>
                <w:b/>
                <w:bCs/>
                <w:color w:val="000000" w:themeColor="text1"/>
                <w:sz w:val="24"/>
                <w:highlight w:val="none"/>
                <w14:textFill>
                  <w14:solidFill>
                    <w14:schemeClr w14:val="tx1"/>
                  </w14:solidFill>
                </w14:textFill>
              </w:rPr>
              <w:t>给排水</w:t>
            </w:r>
          </w:p>
          <w:p w14:paraId="790EA83C">
            <w:pPr>
              <w:numPr>
                <w:ilvl w:val="0"/>
                <w:numId w:val="4"/>
              </w:num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给水</w:t>
            </w:r>
          </w:p>
          <w:p w14:paraId="4F26B0A3">
            <w:pPr>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本项目供水由园区供水管网提供。</w:t>
            </w:r>
          </w:p>
          <w:p w14:paraId="4258EF99">
            <w:pPr>
              <w:adjustRightInd w:val="0"/>
              <w:snapToGrid w:val="0"/>
              <w:spacing w:line="360" w:lineRule="auto"/>
              <w:ind w:firstLine="480" w:firstLineChars="200"/>
              <w:rPr>
                <w:color w:val="000000" w:themeColor="text1"/>
                <w:sz w:val="24"/>
                <w:highlight w:val="none"/>
                <w:lang w:val="en-GB"/>
                <w14:textFill>
                  <w14:solidFill>
                    <w14:schemeClr w14:val="tx1"/>
                  </w14:solidFill>
                </w14:textFill>
              </w:rPr>
            </w:pPr>
            <w:r>
              <w:rPr>
                <w:color w:val="000000" w:themeColor="text1"/>
                <w:sz w:val="24"/>
                <w:highlight w:val="none"/>
                <w:lang w:val="en-GB"/>
                <w14:textFill>
                  <w14:solidFill>
                    <w14:schemeClr w14:val="tx1"/>
                  </w14:solidFill>
                </w14:textFill>
              </w:rPr>
              <w:t>①生活用水</w:t>
            </w:r>
          </w:p>
          <w:p w14:paraId="6F92F418">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本项目劳动定员10人，全年生产300天，根据《内蒙古自治区行业用水定额（2020版）》，本项目地处城市，按照城市居民（S9610）用水定额以90L/d·人计，则企业生活用水量为0.9m³/d，270m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14:textFill>
                  <w14:solidFill>
                    <w14:schemeClr w14:val="tx1"/>
                  </w14:solidFill>
                </w14:textFill>
              </w:rPr>
              <w:t>/a。</w:t>
            </w:r>
          </w:p>
          <w:p w14:paraId="54EA9591">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②生产用水</w:t>
            </w:r>
          </w:p>
          <w:p w14:paraId="228A799C">
            <w:pPr>
              <w:pStyle w:val="6"/>
              <w:spacing w:line="360" w:lineRule="auto"/>
              <w:ind w:firstLine="480"/>
              <w:rPr>
                <w:bCs/>
                <w:color w:val="000000" w:themeColor="text1"/>
                <w:kern w:val="0"/>
                <w:sz w:val="24"/>
                <w:highlight w:val="none"/>
                <w14:textFill>
                  <w14:solidFill>
                    <w14:schemeClr w14:val="tx1"/>
                  </w14:solidFill>
                </w14:textFill>
              </w:rPr>
            </w:pPr>
            <w:r>
              <w:rPr>
                <w:rFonts w:hint="eastAsia"/>
                <w:b/>
                <w:bCs w:val="0"/>
                <w:color w:val="000000" w:themeColor="text1"/>
                <w:kern w:val="0"/>
                <w:sz w:val="24"/>
                <w:highlight w:val="none"/>
                <w14:textFill>
                  <w14:solidFill>
                    <w14:schemeClr w14:val="tx1"/>
                  </w14:solidFill>
                </w14:textFill>
              </w:rPr>
              <w:t>配料用水</w:t>
            </w:r>
            <w:r>
              <w:rPr>
                <w:rFonts w:hint="eastAsia"/>
                <w:b/>
                <w:bCs w:val="0"/>
                <w:color w:val="000000" w:themeColor="text1"/>
                <w:kern w:val="0"/>
                <w:sz w:val="24"/>
                <w:highlight w:val="none"/>
                <w:lang w:eastAsia="zh-CN"/>
                <w14:textFill>
                  <w14:solidFill>
                    <w14:schemeClr w14:val="tx1"/>
                  </w14:solidFill>
                </w14:textFill>
              </w:rPr>
              <w:t>：</w:t>
            </w:r>
            <w:r>
              <w:rPr>
                <w:rFonts w:hint="eastAsia"/>
                <w:bCs/>
                <w:color w:val="000000" w:themeColor="text1"/>
                <w:kern w:val="0"/>
                <w:sz w:val="24"/>
                <w:highlight w:val="none"/>
                <w14:textFill>
                  <w14:solidFill>
                    <w14:schemeClr w14:val="tx1"/>
                  </w14:solidFill>
                </w14:textFill>
              </w:rPr>
              <w:t>管桩生产用水主要为配料用水，在进行配合比设计时，可根据砼配制强度参考下表中最大单位用水量的经验数据。</w:t>
            </w:r>
          </w:p>
          <w:p w14:paraId="35681C55">
            <w:pPr>
              <w:jc w:val="center"/>
              <w:rPr>
                <w:rFonts w:eastAsia="仿宋"/>
                <w:sz w:val="28"/>
                <w:szCs w:val="28"/>
                <w:highlight w:val="none"/>
              </w:rPr>
            </w:pPr>
            <w:r>
              <w:rPr>
                <w:rFonts w:hint="eastAsia" w:eastAsiaTheme="minorEastAsia"/>
                <w:b/>
                <w:bCs/>
                <w:sz w:val="24"/>
                <w:highlight w:val="none"/>
              </w:rPr>
              <w:t>表</w:t>
            </w:r>
            <w:r>
              <w:rPr>
                <w:rFonts w:hint="eastAsia" w:eastAsiaTheme="minorEastAsia"/>
                <w:b/>
                <w:bCs/>
                <w:sz w:val="24"/>
                <w:highlight w:val="none"/>
                <w:lang w:val="en-US" w:eastAsia="zh-CN"/>
              </w:rPr>
              <w:t>2</w:t>
            </w:r>
            <w:r>
              <w:rPr>
                <w:rFonts w:hint="eastAsia" w:eastAsiaTheme="minorEastAsia"/>
                <w:b/>
                <w:bCs/>
                <w:sz w:val="24"/>
                <w:highlight w:val="none"/>
              </w:rPr>
              <w:t>-</w:t>
            </w:r>
            <w:r>
              <w:rPr>
                <w:rFonts w:hint="eastAsia" w:eastAsiaTheme="minorEastAsia"/>
                <w:b/>
                <w:bCs/>
                <w:sz w:val="24"/>
                <w:highlight w:val="none"/>
                <w:lang w:val="en-US" w:eastAsia="zh-CN"/>
              </w:rPr>
              <w:t xml:space="preserve">7 </w:t>
            </w:r>
            <w:r>
              <w:rPr>
                <w:rFonts w:hint="eastAsia" w:eastAsiaTheme="minorEastAsia"/>
                <w:b/>
                <w:bCs/>
                <w:sz w:val="24"/>
                <w:highlight w:val="none"/>
              </w:rPr>
              <w:t>砼最大单位用水量参考表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4"/>
              <w:gridCol w:w="4861"/>
            </w:tblGrid>
            <w:tr w14:paraId="46FD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990" w:type="pct"/>
                  <w:vAlign w:val="center"/>
                </w:tcPr>
                <w:p w14:paraId="7613A75E">
                  <w:pPr>
                    <w:jc w:val="center"/>
                    <w:rPr>
                      <w:highlight w:val="none"/>
                    </w:rPr>
                  </w:pPr>
                  <w:r>
                    <w:rPr>
                      <w:rFonts w:hint="eastAsia"/>
                      <w:highlight w:val="none"/>
                    </w:rPr>
                    <w:t>砼试配强度/ M</w:t>
                  </w:r>
                  <w:r>
                    <w:rPr>
                      <w:highlight w:val="none"/>
                    </w:rPr>
                    <w:t>p</w:t>
                  </w:r>
                  <w:r>
                    <w:rPr>
                      <w:rFonts w:hint="eastAsia"/>
                      <w:highlight w:val="none"/>
                    </w:rPr>
                    <w:t>a</w:t>
                  </w:r>
                </w:p>
              </w:tc>
              <w:tc>
                <w:tcPr>
                  <w:tcW w:w="3010" w:type="pct"/>
                  <w:vAlign w:val="center"/>
                </w:tcPr>
                <w:p w14:paraId="6B08ADB8">
                  <w:pPr>
                    <w:jc w:val="center"/>
                    <w:rPr>
                      <w:highlight w:val="none"/>
                    </w:rPr>
                  </w:pPr>
                  <w:r>
                    <w:rPr>
                      <w:rFonts w:hint="eastAsia"/>
                      <w:highlight w:val="none"/>
                    </w:rPr>
                    <w:t>最大单位用水量/（kg/m</w:t>
                  </w:r>
                  <w:r>
                    <w:rPr>
                      <w:rFonts w:hint="eastAsia"/>
                      <w:highlight w:val="none"/>
                      <w:vertAlign w:val="superscript"/>
                      <w:lang w:val="en-US" w:eastAsia="zh-CN"/>
                    </w:rPr>
                    <w:t>3</w:t>
                  </w:r>
                  <w:r>
                    <w:rPr>
                      <w:rFonts w:hint="eastAsia"/>
                      <w:highlight w:val="none"/>
                    </w:rPr>
                    <w:t>）</w:t>
                  </w:r>
                </w:p>
              </w:tc>
            </w:tr>
            <w:tr w14:paraId="797B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990" w:type="pct"/>
                  <w:vAlign w:val="center"/>
                </w:tcPr>
                <w:p w14:paraId="7E8C4F20">
                  <w:pPr>
                    <w:jc w:val="center"/>
                    <w:rPr>
                      <w:highlight w:val="none"/>
                    </w:rPr>
                  </w:pPr>
                  <w:r>
                    <w:rPr>
                      <w:rFonts w:hint="eastAsia"/>
                      <w:highlight w:val="none"/>
                    </w:rPr>
                    <w:t>60</w:t>
                  </w:r>
                </w:p>
              </w:tc>
              <w:tc>
                <w:tcPr>
                  <w:tcW w:w="3010" w:type="pct"/>
                  <w:vAlign w:val="center"/>
                </w:tcPr>
                <w:p w14:paraId="67C486FE">
                  <w:pPr>
                    <w:jc w:val="center"/>
                    <w:rPr>
                      <w:highlight w:val="none"/>
                    </w:rPr>
                  </w:pPr>
                  <w:r>
                    <w:rPr>
                      <w:rFonts w:hint="eastAsia"/>
                      <w:highlight w:val="none"/>
                    </w:rPr>
                    <w:t>175</w:t>
                  </w:r>
                </w:p>
              </w:tc>
            </w:tr>
            <w:tr w14:paraId="5DC8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990" w:type="pct"/>
                  <w:vAlign w:val="center"/>
                </w:tcPr>
                <w:p w14:paraId="18E5BB69">
                  <w:pPr>
                    <w:jc w:val="center"/>
                    <w:rPr>
                      <w:highlight w:val="none"/>
                    </w:rPr>
                  </w:pPr>
                  <w:r>
                    <w:rPr>
                      <w:rFonts w:hint="eastAsia"/>
                      <w:highlight w:val="none"/>
                    </w:rPr>
                    <w:t>65</w:t>
                  </w:r>
                </w:p>
              </w:tc>
              <w:tc>
                <w:tcPr>
                  <w:tcW w:w="3010" w:type="pct"/>
                  <w:vAlign w:val="center"/>
                </w:tcPr>
                <w:p w14:paraId="40537BFE">
                  <w:pPr>
                    <w:jc w:val="center"/>
                    <w:rPr>
                      <w:highlight w:val="none"/>
                    </w:rPr>
                  </w:pPr>
                  <w:r>
                    <w:rPr>
                      <w:rFonts w:hint="eastAsia"/>
                      <w:highlight w:val="none"/>
                    </w:rPr>
                    <w:t>160</w:t>
                  </w:r>
                </w:p>
              </w:tc>
            </w:tr>
            <w:tr w14:paraId="6120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990" w:type="pct"/>
                  <w:vAlign w:val="center"/>
                </w:tcPr>
                <w:p w14:paraId="73985FDA">
                  <w:pPr>
                    <w:jc w:val="center"/>
                    <w:rPr>
                      <w:highlight w:val="none"/>
                    </w:rPr>
                  </w:pPr>
                  <w:r>
                    <w:rPr>
                      <w:rFonts w:hint="eastAsia"/>
                      <w:highlight w:val="none"/>
                    </w:rPr>
                    <w:t>70</w:t>
                  </w:r>
                </w:p>
              </w:tc>
              <w:tc>
                <w:tcPr>
                  <w:tcW w:w="3010" w:type="pct"/>
                  <w:vAlign w:val="center"/>
                </w:tcPr>
                <w:p w14:paraId="37A21C31">
                  <w:pPr>
                    <w:jc w:val="center"/>
                    <w:rPr>
                      <w:highlight w:val="none"/>
                    </w:rPr>
                  </w:pPr>
                  <w:r>
                    <w:rPr>
                      <w:rFonts w:hint="eastAsia"/>
                      <w:highlight w:val="none"/>
                    </w:rPr>
                    <w:t>150</w:t>
                  </w:r>
                </w:p>
              </w:tc>
            </w:tr>
            <w:tr w14:paraId="117A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990" w:type="pct"/>
                  <w:vAlign w:val="center"/>
                </w:tcPr>
                <w:p w14:paraId="2FAFC588">
                  <w:pPr>
                    <w:jc w:val="center"/>
                    <w:rPr>
                      <w:highlight w:val="none"/>
                    </w:rPr>
                  </w:pPr>
                  <w:r>
                    <w:rPr>
                      <w:rFonts w:hint="eastAsia"/>
                      <w:highlight w:val="none"/>
                    </w:rPr>
                    <w:t>90</w:t>
                  </w:r>
                </w:p>
              </w:tc>
              <w:tc>
                <w:tcPr>
                  <w:tcW w:w="3010" w:type="pct"/>
                  <w:vAlign w:val="center"/>
                </w:tcPr>
                <w:p w14:paraId="0539B253">
                  <w:pPr>
                    <w:jc w:val="center"/>
                    <w:rPr>
                      <w:highlight w:val="none"/>
                    </w:rPr>
                  </w:pPr>
                  <w:r>
                    <w:rPr>
                      <w:rFonts w:hint="eastAsia"/>
                      <w:highlight w:val="none"/>
                    </w:rPr>
                    <w:t>140</w:t>
                  </w:r>
                </w:p>
              </w:tc>
            </w:tr>
            <w:tr w14:paraId="3FAE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990" w:type="pct"/>
                  <w:vAlign w:val="center"/>
                </w:tcPr>
                <w:p w14:paraId="2ED64F2C">
                  <w:pPr>
                    <w:jc w:val="center"/>
                    <w:rPr>
                      <w:highlight w:val="none"/>
                    </w:rPr>
                  </w:pPr>
                  <w:r>
                    <w:rPr>
                      <w:rFonts w:hint="eastAsia"/>
                      <w:highlight w:val="none"/>
                    </w:rPr>
                    <w:t>105</w:t>
                  </w:r>
                </w:p>
              </w:tc>
              <w:tc>
                <w:tcPr>
                  <w:tcW w:w="3010" w:type="pct"/>
                  <w:vAlign w:val="center"/>
                </w:tcPr>
                <w:p w14:paraId="6EA80AAC">
                  <w:pPr>
                    <w:jc w:val="center"/>
                    <w:rPr>
                      <w:highlight w:val="none"/>
                    </w:rPr>
                  </w:pPr>
                  <w:r>
                    <w:rPr>
                      <w:rFonts w:hint="eastAsia"/>
                      <w:highlight w:val="none"/>
                    </w:rPr>
                    <w:t>130</w:t>
                  </w:r>
                </w:p>
              </w:tc>
            </w:tr>
            <w:tr w14:paraId="4F4C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990" w:type="pct"/>
                  <w:vAlign w:val="center"/>
                </w:tcPr>
                <w:p w14:paraId="1D77E1C7">
                  <w:pPr>
                    <w:jc w:val="center"/>
                    <w:rPr>
                      <w:highlight w:val="none"/>
                    </w:rPr>
                  </w:pPr>
                  <w:r>
                    <w:rPr>
                      <w:rFonts w:hint="eastAsia"/>
                      <w:highlight w:val="none"/>
                    </w:rPr>
                    <w:t>120</w:t>
                  </w:r>
                </w:p>
              </w:tc>
              <w:tc>
                <w:tcPr>
                  <w:tcW w:w="3010" w:type="pct"/>
                  <w:vAlign w:val="center"/>
                </w:tcPr>
                <w:p w14:paraId="1B1D54D4">
                  <w:pPr>
                    <w:jc w:val="center"/>
                    <w:rPr>
                      <w:highlight w:val="none"/>
                    </w:rPr>
                  </w:pPr>
                  <w:r>
                    <w:rPr>
                      <w:rFonts w:hint="eastAsia"/>
                      <w:highlight w:val="none"/>
                    </w:rPr>
                    <w:t>120</w:t>
                  </w:r>
                </w:p>
              </w:tc>
            </w:tr>
          </w:tbl>
          <w:p w14:paraId="191FF251">
            <w:pPr>
              <w:pStyle w:val="6"/>
              <w:spacing w:line="360" w:lineRule="auto"/>
              <w:ind w:firstLine="480"/>
              <w:rPr>
                <w:rFonts w:hint="eastAsia" w:eastAsia="宋体"/>
                <w:bCs/>
                <w:color w:val="000000" w:themeColor="text1"/>
                <w:kern w:val="0"/>
                <w:sz w:val="24"/>
                <w:highlight w:val="none"/>
                <w:lang w:eastAsia="zh-CN"/>
                <w14:textFill>
                  <w14:solidFill>
                    <w14:schemeClr w14:val="tx1"/>
                  </w14:solidFill>
                </w14:textFill>
              </w:rPr>
            </w:pPr>
            <w:r>
              <w:rPr>
                <w:rFonts w:hint="eastAsia"/>
                <w:bCs/>
                <w:color w:val="000000" w:themeColor="text1"/>
                <w:kern w:val="0"/>
                <w:sz w:val="24"/>
                <w:highlight w:val="none"/>
                <w14:textFill>
                  <w14:solidFill>
                    <w14:schemeClr w14:val="tx1"/>
                  </w14:solidFill>
                </w14:textFill>
              </w:rPr>
              <w:t>查表得</w:t>
            </w:r>
            <w:r>
              <w:rPr>
                <w:rFonts w:hint="eastAsia"/>
                <w:bCs/>
                <w:color w:val="000000" w:themeColor="text1"/>
                <w:kern w:val="0"/>
                <w:sz w:val="24"/>
                <w:highlight w:val="none"/>
                <w:lang w:eastAsia="zh-CN"/>
                <w14:textFill>
                  <w14:solidFill>
                    <w14:schemeClr w14:val="tx1"/>
                  </w14:solidFill>
                </w14:textFill>
              </w:rPr>
              <w:t>出，</w:t>
            </w:r>
            <w:r>
              <w:rPr>
                <w:rFonts w:hint="eastAsia"/>
                <w:bCs/>
                <w:color w:val="000000" w:themeColor="text1"/>
                <w:kern w:val="0"/>
                <w:sz w:val="24"/>
                <w:highlight w:val="none"/>
                <w14:textFill>
                  <w14:solidFill>
                    <w14:schemeClr w14:val="tx1"/>
                  </w14:solidFill>
                </w14:textFill>
              </w:rPr>
              <w:t>本</w:t>
            </w:r>
            <w:r>
              <w:rPr>
                <w:rFonts w:hint="eastAsia"/>
                <w:bCs/>
                <w:color w:val="000000" w:themeColor="text1"/>
                <w:kern w:val="0"/>
                <w:sz w:val="24"/>
                <w:highlight w:val="none"/>
                <w:lang w:eastAsia="zh-CN"/>
                <w14:textFill>
                  <w14:solidFill>
                    <w14:schemeClr w14:val="tx1"/>
                  </w14:solidFill>
                </w14:textFill>
              </w:rPr>
              <w:t>项目</w:t>
            </w:r>
            <w:r>
              <w:rPr>
                <w:rFonts w:hint="eastAsia"/>
                <w:bCs/>
                <w:color w:val="000000" w:themeColor="text1"/>
                <w:kern w:val="0"/>
                <w:sz w:val="24"/>
                <w:highlight w:val="none"/>
                <w14:textFill>
                  <w14:solidFill>
                    <w14:schemeClr w14:val="tx1"/>
                  </w14:solidFill>
                </w14:textFill>
              </w:rPr>
              <w:t>设计试配强度为C80，介于C70~ C90之间，故最大单位用水量为145 kg</w:t>
            </w:r>
            <w:r>
              <w:rPr>
                <w:rFonts w:hint="eastAsia"/>
                <w:bCs/>
                <w:color w:val="000000" w:themeColor="text1"/>
                <w:kern w:val="0"/>
                <w:sz w:val="24"/>
                <w:highlight w:val="none"/>
                <w:lang w:eastAsia="zh-CN"/>
                <w14:textFill>
                  <w14:solidFill>
                    <w14:schemeClr w14:val="tx1"/>
                  </w14:solidFill>
                </w14:textFill>
              </w:rPr>
              <w:t>，</w:t>
            </w:r>
            <w:r>
              <w:rPr>
                <w:rFonts w:hint="eastAsia"/>
                <w:bCs/>
                <w:color w:val="000000" w:themeColor="text1"/>
                <w:kern w:val="0"/>
                <w:sz w:val="24"/>
                <w:highlight w:val="none"/>
                <w14:textFill>
                  <w14:solidFill>
                    <w14:schemeClr w14:val="tx1"/>
                  </w14:solidFill>
                </w14:textFill>
              </w:rPr>
              <w:t>掺入KC-101减水率β=20%</w:t>
            </w:r>
            <w:r>
              <w:rPr>
                <w:rFonts w:hint="eastAsia"/>
                <w:bCs/>
                <w:color w:val="000000" w:themeColor="text1"/>
                <w:kern w:val="0"/>
                <w:sz w:val="24"/>
                <w:highlight w:val="none"/>
                <w:lang w:eastAsia="zh-CN"/>
                <w14:textFill>
                  <w14:solidFill>
                    <w14:schemeClr w14:val="tx1"/>
                  </w14:solidFill>
                </w14:textFill>
              </w:rPr>
              <w:t>，</w:t>
            </w:r>
            <w:r>
              <w:rPr>
                <w:rFonts w:hint="eastAsia"/>
                <w:bCs/>
                <w:color w:val="000000" w:themeColor="text1"/>
                <w:kern w:val="0"/>
                <w:sz w:val="24"/>
                <w:highlight w:val="none"/>
                <w14:textFill>
                  <w14:solidFill>
                    <w14:schemeClr w14:val="tx1"/>
                  </w14:solidFill>
                </w14:textFill>
              </w:rPr>
              <w:t>掺量为0.5%</w:t>
            </w:r>
            <w:r>
              <w:rPr>
                <w:rFonts w:hint="eastAsia"/>
                <w:bCs/>
                <w:color w:val="000000" w:themeColor="text1"/>
                <w:kern w:val="0"/>
                <w:sz w:val="24"/>
                <w:highlight w:val="none"/>
                <w:lang w:eastAsia="zh-CN"/>
                <w14:textFill>
                  <w14:solidFill>
                    <w14:schemeClr w14:val="tx1"/>
                  </w14:solidFill>
                </w14:textFill>
              </w:rPr>
              <w:t>。</w:t>
            </w:r>
          </w:p>
          <w:p w14:paraId="03A66DD7">
            <w:pPr>
              <w:pStyle w:val="6"/>
              <w:spacing w:line="360" w:lineRule="auto"/>
              <w:ind w:firstLine="48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br w:type="page"/>
            </w:r>
            <w:r>
              <w:rPr>
                <w:rFonts w:hint="eastAsia"/>
                <w:bCs/>
                <w:color w:val="000000" w:themeColor="text1"/>
                <w:kern w:val="0"/>
                <w:sz w:val="24"/>
                <w:highlight w:val="none"/>
                <w14:textFill>
                  <w14:solidFill>
                    <w14:schemeClr w14:val="tx1"/>
                  </w14:solidFill>
                </w14:textFill>
              </w:rPr>
              <w:t>生产用水量W= MW0（1-β）</w:t>
            </w:r>
          </w:p>
          <w:p w14:paraId="22D082C9">
            <w:pPr>
              <w:pStyle w:val="6"/>
              <w:spacing w:line="360" w:lineRule="auto"/>
              <w:ind w:firstLine="48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=145×（1</w:t>
            </w:r>
            <w:r>
              <w:rPr>
                <w:rFonts w:hint="eastAsia"/>
                <w:bCs/>
                <w:color w:val="000000" w:themeColor="text1"/>
                <w:kern w:val="0"/>
                <w:sz w:val="24"/>
                <w:highlight w:val="none"/>
                <w:lang w:val="en-US" w:eastAsia="zh-CN"/>
                <w14:textFill>
                  <w14:solidFill>
                    <w14:schemeClr w14:val="tx1"/>
                  </w14:solidFill>
                </w14:textFill>
              </w:rPr>
              <w:t>-</w:t>
            </w:r>
            <w:r>
              <w:rPr>
                <w:rFonts w:hint="eastAsia"/>
                <w:bCs/>
                <w:color w:val="000000" w:themeColor="text1"/>
                <w:kern w:val="0"/>
                <w:sz w:val="24"/>
                <w:highlight w:val="none"/>
                <w14:textFill>
                  <w14:solidFill>
                    <w14:schemeClr w14:val="tx1"/>
                  </w14:solidFill>
                </w14:textFill>
              </w:rPr>
              <w:t>20%）</w:t>
            </w:r>
          </w:p>
          <w:p w14:paraId="34361CE8">
            <w:pPr>
              <w:pStyle w:val="6"/>
              <w:spacing w:line="360" w:lineRule="auto"/>
              <w:ind w:firstLine="48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=116kg/m³</w:t>
            </w:r>
          </w:p>
          <w:p w14:paraId="1AFFB97D">
            <w:pPr>
              <w:pStyle w:val="6"/>
              <w:spacing w:line="360" w:lineRule="auto"/>
              <w:ind w:firstLine="48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本</w:t>
            </w:r>
            <w:r>
              <w:rPr>
                <w:bCs/>
                <w:color w:val="000000" w:themeColor="text1"/>
                <w:kern w:val="0"/>
                <w:sz w:val="24"/>
                <w:highlight w:val="none"/>
                <w14:textFill>
                  <w14:solidFill>
                    <w14:schemeClr w14:val="tx1"/>
                  </w14:solidFill>
                </w14:textFill>
              </w:rPr>
              <w:t>项目年产混凝土管桩</w:t>
            </w:r>
            <w:r>
              <w:rPr>
                <w:rFonts w:hint="eastAsia"/>
                <w:bCs/>
                <w:color w:val="000000" w:themeColor="text1"/>
                <w:kern w:val="0"/>
                <w:sz w:val="24"/>
                <w:highlight w:val="none"/>
                <w14:textFill>
                  <w14:solidFill>
                    <w14:schemeClr w14:val="tx1"/>
                  </w14:solidFill>
                </w14:textFill>
              </w:rPr>
              <w:t>30</w:t>
            </w:r>
            <w:r>
              <w:rPr>
                <w:bCs/>
                <w:color w:val="000000" w:themeColor="text1"/>
                <w:kern w:val="0"/>
                <w:sz w:val="24"/>
                <w:highlight w:val="none"/>
                <w14:textFill>
                  <w14:solidFill>
                    <w14:schemeClr w14:val="tx1"/>
                  </w14:solidFill>
                </w14:textFill>
              </w:rPr>
              <w:t>0万米，混凝土管桩外径为300mm，内径为160mm，则年产混凝土管桩体积</w:t>
            </w:r>
            <w:r>
              <w:rPr>
                <w:rFonts w:hint="eastAsia"/>
                <w:bCs/>
                <w:color w:val="000000" w:themeColor="text1"/>
                <w:kern w:val="0"/>
                <w:sz w:val="24"/>
                <w:highlight w:val="none"/>
                <w14:textFill>
                  <w14:solidFill>
                    <w14:schemeClr w14:val="tx1"/>
                  </w14:solidFill>
                </w14:textFill>
              </w:rPr>
              <w:t>=</w:t>
            </w:r>
            <w:r>
              <w:rPr>
                <w:bCs/>
                <w:color w:val="000000" w:themeColor="text1"/>
                <w:kern w:val="0"/>
                <w:sz w:val="24"/>
                <w:highlight w:val="none"/>
                <w14:textFill>
                  <w14:solidFill>
                    <w14:schemeClr w14:val="tx1"/>
                  </w14:solidFill>
                </w14:textFill>
              </w:rPr>
              <w:t>π×（0.15-0.08）</w:t>
            </w:r>
            <w:r>
              <w:rPr>
                <w:rFonts w:hint="eastAsia"/>
                <w:bCs/>
                <w:color w:val="000000" w:themeColor="text1"/>
                <w:kern w:val="0"/>
                <w:sz w:val="24"/>
                <w:highlight w:val="none"/>
                <w:vertAlign w:val="superscript"/>
                <w:lang w:val="en-US" w:eastAsia="zh-CN"/>
                <w14:textFill>
                  <w14:solidFill>
                    <w14:schemeClr w14:val="tx1"/>
                  </w14:solidFill>
                </w14:textFill>
              </w:rPr>
              <w:t>2</w:t>
            </w:r>
            <w:r>
              <w:rPr>
                <w:bCs/>
                <w:color w:val="000000" w:themeColor="text1"/>
                <w:kern w:val="0"/>
                <w:sz w:val="24"/>
                <w:highlight w:val="none"/>
                <w14:textFill>
                  <w14:solidFill>
                    <w14:schemeClr w14:val="tx1"/>
                  </w14:solidFill>
                </w14:textFill>
              </w:rPr>
              <w:t>×</w:t>
            </w:r>
            <w:r>
              <w:rPr>
                <w:rFonts w:hint="eastAsia"/>
                <w:bCs/>
                <w:color w:val="000000" w:themeColor="text1"/>
                <w:kern w:val="0"/>
                <w:sz w:val="24"/>
                <w:highlight w:val="none"/>
                <w14:textFill>
                  <w14:solidFill>
                    <w14:schemeClr w14:val="tx1"/>
                  </w14:solidFill>
                </w14:textFill>
              </w:rPr>
              <w:t>30</w:t>
            </w:r>
            <w:r>
              <w:rPr>
                <w:bCs/>
                <w:color w:val="000000" w:themeColor="text1"/>
                <w:kern w:val="0"/>
                <w:sz w:val="24"/>
                <w:highlight w:val="none"/>
                <w14:textFill>
                  <w14:solidFill>
                    <w14:schemeClr w14:val="tx1"/>
                  </w14:solidFill>
                </w14:textFill>
              </w:rPr>
              <w:t>00000m</w:t>
            </w:r>
            <w:r>
              <w:rPr>
                <w:bCs/>
                <w:color w:val="000000" w:themeColor="text1"/>
                <w:kern w:val="0"/>
                <w:sz w:val="24"/>
                <w:highlight w:val="none"/>
                <w:vertAlign w:val="superscript"/>
                <w14:textFill>
                  <w14:solidFill>
                    <w14:schemeClr w14:val="tx1"/>
                  </w14:solidFill>
                </w14:textFill>
              </w:rPr>
              <w:t>3</w:t>
            </w:r>
            <w:r>
              <w:rPr>
                <w:bCs/>
                <w:color w:val="000000" w:themeColor="text1"/>
                <w:kern w:val="0"/>
                <w:sz w:val="24"/>
                <w:highlight w:val="none"/>
                <w14:textFill>
                  <w14:solidFill>
                    <w14:schemeClr w14:val="tx1"/>
                  </w14:solidFill>
                </w14:textFill>
              </w:rPr>
              <w:t>=</w:t>
            </w:r>
            <w:r>
              <w:rPr>
                <w:rFonts w:hint="eastAsia"/>
                <w:bCs/>
                <w:color w:val="000000" w:themeColor="text1"/>
                <w:kern w:val="0"/>
                <w:sz w:val="24"/>
                <w:highlight w:val="none"/>
                <w:lang w:val="en-US" w:eastAsia="zh-CN"/>
                <w14:textFill>
                  <w14:solidFill>
                    <w14:schemeClr w14:val="tx1"/>
                  </w14:solidFill>
                </w14:textFill>
              </w:rPr>
              <w:t>46158</w:t>
            </w:r>
            <w:r>
              <w:rPr>
                <w:bCs/>
                <w:color w:val="000000" w:themeColor="text1"/>
                <w:kern w:val="0"/>
                <w:sz w:val="24"/>
                <w:highlight w:val="none"/>
                <w14:textFill>
                  <w14:solidFill>
                    <w14:schemeClr w14:val="tx1"/>
                  </w14:solidFill>
                </w14:textFill>
              </w:rPr>
              <w:t>m</w:t>
            </w:r>
            <w:r>
              <w:rPr>
                <w:bCs/>
                <w:color w:val="000000" w:themeColor="text1"/>
                <w:kern w:val="0"/>
                <w:sz w:val="24"/>
                <w:highlight w:val="none"/>
                <w:vertAlign w:val="superscript"/>
                <w14:textFill>
                  <w14:solidFill>
                    <w14:schemeClr w14:val="tx1"/>
                  </w14:solidFill>
                </w14:textFill>
              </w:rPr>
              <w:t>3</w:t>
            </w:r>
            <w:r>
              <w:rPr>
                <w:bCs/>
                <w:color w:val="000000" w:themeColor="text1"/>
                <w:kern w:val="0"/>
                <w:sz w:val="24"/>
                <w:highlight w:val="none"/>
                <w14:textFill>
                  <w14:solidFill>
                    <w14:schemeClr w14:val="tx1"/>
                  </w14:solidFill>
                </w14:textFill>
              </w:rPr>
              <w:t>。</w:t>
            </w:r>
          </w:p>
          <w:p w14:paraId="593C8FF6">
            <w:pPr>
              <w:pStyle w:val="29"/>
              <w:ind w:left="0" w:leftChars="0" w:firstLine="480"/>
              <w:rPr>
                <w:highlight w:val="none"/>
              </w:rPr>
            </w:pPr>
            <w:r>
              <w:rPr>
                <w:rFonts w:hint="eastAsia"/>
                <w:bCs/>
                <w:color w:val="000000" w:themeColor="text1"/>
                <w:szCs w:val="24"/>
                <w:highlight w:val="none"/>
                <w14:textFill>
                  <w14:solidFill>
                    <w14:schemeClr w14:val="tx1"/>
                  </w14:solidFill>
                </w14:textFill>
              </w:rPr>
              <w:t>配料年用水量=116*</w:t>
            </w:r>
            <w:r>
              <w:rPr>
                <w:rFonts w:hint="eastAsia"/>
                <w:bCs/>
                <w:color w:val="000000" w:themeColor="text1"/>
                <w:szCs w:val="24"/>
                <w:highlight w:val="none"/>
                <w:lang w:val="en-US" w:eastAsia="zh-CN"/>
                <w14:textFill>
                  <w14:solidFill>
                    <w14:schemeClr w14:val="tx1"/>
                  </w14:solidFill>
                </w14:textFill>
              </w:rPr>
              <w:t>46158</w:t>
            </w:r>
            <w:r>
              <w:rPr>
                <w:rFonts w:hint="eastAsia"/>
                <w:bCs/>
                <w:color w:val="000000" w:themeColor="text1"/>
                <w:szCs w:val="24"/>
                <w:highlight w:val="none"/>
                <w14:textFill>
                  <w14:solidFill>
                    <w14:schemeClr w14:val="tx1"/>
                  </w14:solidFill>
                </w14:textFill>
              </w:rPr>
              <w:t>/1000=</w:t>
            </w:r>
            <w:r>
              <w:rPr>
                <w:rFonts w:hint="eastAsia"/>
                <w:bCs/>
                <w:color w:val="000000" w:themeColor="text1"/>
                <w:szCs w:val="24"/>
                <w:highlight w:val="none"/>
                <w:lang w:val="en-US" w:eastAsia="zh-CN"/>
                <w14:textFill>
                  <w14:solidFill>
                    <w14:schemeClr w14:val="tx1"/>
                  </w14:solidFill>
                </w14:textFill>
              </w:rPr>
              <w:t>5354.328</w:t>
            </w:r>
            <w:r>
              <w:rPr>
                <w:rFonts w:hint="eastAsia"/>
                <w:bCs/>
                <w:color w:val="000000" w:themeColor="text1"/>
                <w:szCs w:val="24"/>
                <w:highlight w:val="none"/>
                <w14:textFill>
                  <w14:solidFill>
                    <w14:schemeClr w14:val="tx1"/>
                  </w14:solidFill>
                </w14:textFill>
              </w:rPr>
              <w:t>m³/a（</w:t>
            </w:r>
            <w:r>
              <w:rPr>
                <w:rFonts w:hint="eastAsia"/>
                <w:bCs/>
                <w:color w:val="000000" w:themeColor="text1"/>
                <w:szCs w:val="24"/>
                <w:highlight w:val="none"/>
                <w:lang w:val="en-US" w:eastAsia="zh-CN"/>
                <w14:textFill>
                  <w14:solidFill>
                    <w14:schemeClr w14:val="tx1"/>
                  </w14:solidFill>
                </w14:textFill>
              </w:rPr>
              <w:t>17.85</w:t>
            </w:r>
            <w:r>
              <w:rPr>
                <w:rFonts w:hint="eastAsia"/>
                <w:bCs/>
                <w:color w:val="000000" w:themeColor="text1"/>
                <w:szCs w:val="24"/>
                <w:highlight w:val="none"/>
                <w14:textFill>
                  <w14:solidFill>
                    <w14:schemeClr w14:val="tx1"/>
                  </w14:solidFill>
                </w14:textFill>
              </w:rPr>
              <w:t>m³/d）。</w:t>
            </w:r>
          </w:p>
          <w:p w14:paraId="02E1F35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sz w:val="24"/>
                <w:szCs w:val="24"/>
                <w:highlight w:val="none"/>
              </w:rPr>
            </w:pPr>
            <w:r>
              <w:rPr>
                <w:rFonts w:hint="eastAsia"/>
                <w:b/>
                <w:bCs/>
                <w:sz w:val="24"/>
                <w:szCs w:val="24"/>
                <w:highlight w:val="none"/>
                <w:lang w:val="en-US" w:eastAsia="zh-CN"/>
              </w:rPr>
              <w:t>混凝土搅拌罐冲洗用水：</w:t>
            </w:r>
            <w:r>
              <w:rPr>
                <w:rFonts w:hint="eastAsia"/>
                <w:sz w:val="24"/>
                <w:szCs w:val="24"/>
                <w:highlight w:val="none"/>
                <w:lang w:val="en-US" w:eastAsia="zh-CN"/>
              </w:rPr>
              <w:t>本项目安装混凝土搅拌机1座，根据企业要求，每天下班前对搅拌罐进行冲洗。每次冲洗用水量为1m</w:t>
            </w:r>
            <w:r>
              <w:rPr>
                <w:rFonts w:hint="eastAsia"/>
                <w:sz w:val="24"/>
                <w:szCs w:val="24"/>
                <w:highlight w:val="none"/>
                <w:vertAlign w:val="superscript"/>
                <w:lang w:val="en-US" w:eastAsia="zh-CN"/>
              </w:rPr>
              <w:t>3</w:t>
            </w:r>
            <w:r>
              <w:rPr>
                <w:rFonts w:hint="eastAsia"/>
                <w:sz w:val="24"/>
                <w:szCs w:val="24"/>
                <w:highlight w:val="none"/>
                <w:lang w:val="en-US" w:eastAsia="zh-CN"/>
              </w:rPr>
              <w:t>/次，每天1次，则搅拌罐冲洗用水量为300m</w:t>
            </w:r>
            <w:r>
              <w:rPr>
                <w:rFonts w:hint="eastAsia"/>
                <w:sz w:val="24"/>
                <w:szCs w:val="24"/>
                <w:highlight w:val="none"/>
                <w:vertAlign w:val="superscript"/>
                <w:lang w:val="en-US" w:eastAsia="zh-CN"/>
              </w:rPr>
              <w:t>3</w:t>
            </w:r>
            <w:r>
              <w:rPr>
                <w:rFonts w:hint="eastAsia"/>
                <w:sz w:val="24"/>
                <w:szCs w:val="24"/>
                <w:highlight w:val="none"/>
                <w:lang w:val="en-US" w:eastAsia="zh-CN"/>
              </w:rPr>
              <w:t>/a（1m</w:t>
            </w:r>
            <w:r>
              <w:rPr>
                <w:rFonts w:hint="eastAsia"/>
                <w:sz w:val="24"/>
                <w:szCs w:val="24"/>
                <w:highlight w:val="none"/>
                <w:vertAlign w:val="superscript"/>
                <w:lang w:val="en-US" w:eastAsia="zh-CN"/>
              </w:rPr>
              <w:t>3</w:t>
            </w:r>
            <w:r>
              <w:rPr>
                <w:rFonts w:hint="eastAsia"/>
                <w:sz w:val="24"/>
                <w:szCs w:val="24"/>
                <w:highlight w:val="none"/>
                <w:lang w:val="en-US" w:eastAsia="zh-CN"/>
              </w:rPr>
              <w:t>/d）。搅拌罐冲洗废水直接进入下次混凝土搅拌生产使用，不外排。</w:t>
            </w:r>
          </w:p>
          <w:p w14:paraId="2931E661">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sz w:val="24"/>
                <w:szCs w:val="24"/>
                <w:highlight w:val="none"/>
              </w:rPr>
            </w:pPr>
            <w:r>
              <w:rPr>
                <w:rFonts w:hint="eastAsia"/>
                <w:b/>
                <w:bCs/>
                <w:sz w:val="24"/>
                <w:szCs w:val="24"/>
                <w:highlight w:val="none"/>
                <w:lang w:val="en-US" w:eastAsia="zh-CN"/>
              </w:rPr>
              <w:t>抑尘用水：</w:t>
            </w:r>
            <w:r>
              <w:rPr>
                <w:rFonts w:hint="eastAsia"/>
                <w:sz w:val="24"/>
                <w:szCs w:val="24"/>
                <w:highlight w:val="none"/>
                <w:lang w:val="en-US" w:eastAsia="zh-CN"/>
              </w:rPr>
              <w:t>本项目原料库采用雾炮抑尘，本项目原料库面积1400m</w:t>
            </w:r>
            <w:r>
              <w:rPr>
                <w:rFonts w:hint="eastAsia"/>
                <w:sz w:val="24"/>
                <w:szCs w:val="24"/>
                <w:highlight w:val="none"/>
                <w:vertAlign w:val="superscript"/>
                <w:lang w:val="en-US" w:eastAsia="zh-CN"/>
              </w:rPr>
              <w:t>2</w:t>
            </w:r>
            <w:r>
              <w:rPr>
                <w:rFonts w:hint="eastAsia"/>
                <w:sz w:val="24"/>
                <w:szCs w:val="24"/>
                <w:highlight w:val="none"/>
                <w:lang w:val="en-US" w:eastAsia="zh-CN"/>
              </w:rPr>
              <w:t>，要求每班进行抑尘1次，每天抑尘1次，抑尘强度以2L/m</w:t>
            </w:r>
            <w:r>
              <w:rPr>
                <w:rFonts w:hint="eastAsia"/>
                <w:sz w:val="24"/>
                <w:szCs w:val="24"/>
                <w:highlight w:val="none"/>
                <w:vertAlign w:val="superscript"/>
                <w:lang w:val="en-US" w:eastAsia="zh-CN"/>
              </w:rPr>
              <w:t>2</w:t>
            </w:r>
            <w:r>
              <w:rPr>
                <w:rFonts w:hint="eastAsia"/>
                <w:sz w:val="24"/>
                <w:szCs w:val="24"/>
                <w:highlight w:val="none"/>
                <w:lang w:val="en-US" w:eastAsia="zh-CN"/>
              </w:rPr>
              <w:t>进行，则抑尘用水量为840m</w:t>
            </w:r>
            <w:r>
              <w:rPr>
                <w:rFonts w:hint="eastAsia"/>
                <w:sz w:val="24"/>
                <w:szCs w:val="24"/>
                <w:highlight w:val="none"/>
                <w:vertAlign w:val="superscript"/>
                <w:lang w:val="en-US" w:eastAsia="zh-CN"/>
              </w:rPr>
              <w:t>3</w:t>
            </w:r>
            <w:r>
              <w:rPr>
                <w:rFonts w:hint="eastAsia"/>
                <w:sz w:val="24"/>
                <w:szCs w:val="24"/>
                <w:highlight w:val="none"/>
                <w:lang w:val="en-US" w:eastAsia="zh-CN"/>
              </w:rPr>
              <w:t>/a（2.8m</w:t>
            </w:r>
            <w:r>
              <w:rPr>
                <w:rFonts w:hint="eastAsia"/>
                <w:sz w:val="24"/>
                <w:szCs w:val="24"/>
                <w:highlight w:val="none"/>
                <w:vertAlign w:val="superscript"/>
                <w:lang w:val="en-US" w:eastAsia="zh-CN"/>
              </w:rPr>
              <w:t>3</w:t>
            </w:r>
            <w:r>
              <w:rPr>
                <w:rFonts w:hint="eastAsia"/>
                <w:sz w:val="24"/>
                <w:szCs w:val="24"/>
                <w:highlight w:val="none"/>
                <w:lang w:val="en-US" w:eastAsia="zh-CN"/>
              </w:rPr>
              <w:t>/d）。抑尘用水由新鲜水供应。</w:t>
            </w:r>
          </w:p>
          <w:p w14:paraId="6ABC1575">
            <w:pPr>
              <w:pStyle w:val="29"/>
              <w:ind w:left="0" w:leftChars="0" w:firstLine="480"/>
              <w:rPr>
                <w:highlight w:val="none"/>
              </w:rPr>
            </w:pPr>
            <w:r>
              <w:rPr>
                <w:rFonts w:hint="eastAsia"/>
                <w:highlight w:val="none"/>
              </w:rPr>
              <w:t>③绿化用水</w:t>
            </w:r>
          </w:p>
          <w:p w14:paraId="06655465">
            <w:pPr>
              <w:pStyle w:val="6"/>
              <w:spacing w:line="360" w:lineRule="auto"/>
              <w:ind w:firstLine="480"/>
              <w:rPr>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本项目绿化面积约300.00m</w:t>
            </w:r>
            <w:r>
              <w:rPr>
                <w:rFonts w:hint="eastAsia"/>
                <w:bCs/>
                <w:color w:val="000000" w:themeColor="text1"/>
                <w:kern w:val="0"/>
                <w:sz w:val="24"/>
                <w:highlight w:val="none"/>
                <w:vertAlign w:val="superscript"/>
                <w14:textFill>
                  <w14:solidFill>
                    <w14:schemeClr w14:val="tx1"/>
                  </w14:solidFill>
                </w14:textFill>
              </w:rPr>
              <w:t>2</w:t>
            </w:r>
            <w:r>
              <w:rPr>
                <w:rFonts w:hint="eastAsia"/>
                <w:bCs/>
                <w:color w:val="000000" w:themeColor="text1"/>
                <w:kern w:val="0"/>
                <w:sz w:val="24"/>
                <w:highlight w:val="none"/>
                <w14:textFill>
                  <w14:solidFill>
                    <w14:schemeClr w14:val="tx1"/>
                  </w14:solidFill>
                </w14:textFill>
              </w:rPr>
              <w:t>，根据</w:t>
            </w:r>
            <w:r>
              <w:rPr>
                <w:bCs/>
                <w:color w:val="000000" w:themeColor="text1"/>
                <w:kern w:val="0"/>
                <w:sz w:val="24"/>
                <w:highlight w:val="none"/>
                <w14:textFill>
                  <w14:solidFill>
                    <w14:schemeClr w14:val="tx1"/>
                  </w14:solidFill>
                </w14:textFill>
              </w:rPr>
              <w:t>《内蒙古自治区行业用水定额（2020版）》</w:t>
            </w:r>
            <w:r>
              <w:rPr>
                <w:rFonts w:hint="eastAsia"/>
                <w:bCs/>
                <w:color w:val="000000" w:themeColor="text1"/>
                <w:kern w:val="0"/>
                <w:sz w:val="24"/>
                <w:highlight w:val="none"/>
                <w14:textFill>
                  <w14:solidFill>
                    <w14:schemeClr w14:val="tx1"/>
                  </w14:solidFill>
                </w14:textFill>
              </w:rPr>
              <w:t>可知，区域绿化用水取1.1L/（m</w:t>
            </w:r>
            <w:r>
              <w:rPr>
                <w:rFonts w:hint="eastAsia"/>
                <w:bCs/>
                <w:color w:val="000000" w:themeColor="text1"/>
                <w:kern w:val="0"/>
                <w:sz w:val="24"/>
                <w:highlight w:val="none"/>
                <w:vertAlign w:val="superscript"/>
                <w14:textFill>
                  <w14:solidFill>
                    <w14:schemeClr w14:val="tx1"/>
                  </w14:solidFill>
                </w14:textFill>
              </w:rPr>
              <w:t>2</w:t>
            </w:r>
            <w:r>
              <w:rPr>
                <w:rFonts w:hint="eastAsia"/>
                <w:bCs/>
                <w:color w:val="000000" w:themeColor="text1"/>
                <w:kern w:val="0"/>
                <w:sz w:val="24"/>
                <w:highlight w:val="none"/>
                <w14:textFill>
                  <w14:solidFill>
                    <w14:schemeClr w14:val="tx1"/>
                  </w14:solidFill>
                </w14:textFill>
              </w:rPr>
              <w:t>·d），本项目绿化用水量为0.33m³/d（99m³/a）。</w:t>
            </w:r>
          </w:p>
          <w:p w14:paraId="58283010">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（2）排水</w:t>
            </w:r>
          </w:p>
          <w:p w14:paraId="28B5BC83">
            <w:pPr>
              <w:adjustRightInd w:val="0"/>
              <w:snapToGrid w:val="0"/>
              <w:spacing w:line="360" w:lineRule="auto"/>
              <w:ind w:firstLine="480" w:firstLineChars="200"/>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本项目生产期间主要有生活污水、混凝土搅拌罐冲洗废水和管桩离心成型废水。</w:t>
            </w:r>
          </w:p>
          <w:p w14:paraId="18FEAE6C">
            <w:pPr>
              <w:adjustRightInd w:val="0"/>
              <w:snapToGrid w:val="0"/>
              <w:spacing w:line="360" w:lineRule="auto"/>
              <w:ind w:firstLine="480" w:firstLineChars="200"/>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①</w:t>
            </w:r>
            <w:r>
              <w:rPr>
                <w:rFonts w:hint="eastAsia"/>
                <w:color w:val="000000" w:themeColor="text1"/>
                <w:sz w:val="24"/>
                <w:highlight w:val="none"/>
                <w:lang w:val="en-US" w:eastAsia="zh-CN"/>
                <w14:textFill>
                  <w14:solidFill>
                    <w14:schemeClr w14:val="tx1"/>
                  </w14:solidFill>
                </w14:textFill>
              </w:rPr>
              <w:t>生活污水</w:t>
            </w:r>
          </w:p>
          <w:p w14:paraId="45D70478">
            <w:pPr>
              <w:adjustRightInd w:val="0"/>
              <w:snapToGrid w:val="0"/>
              <w:spacing w:line="360" w:lineRule="auto"/>
              <w:ind w:firstLine="480" w:firstLineChars="200"/>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本项目生活用水量为</w:t>
            </w:r>
            <w:r>
              <w:rPr>
                <w:rFonts w:hint="eastAsia"/>
                <w:color w:val="000000" w:themeColor="text1"/>
                <w:sz w:val="24"/>
                <w:highlight w:val="none"/>
                <w14:textFill>
                  <w14:solidFill>
                    <w14:schemeClr w14:val="tx1"/>
                  </w14:solidFill>
                </w14:textFill>
              </w:rPr>
              <w:t>270</w:t>
            </w:r>
            <w:r>
              <w:rPr>
                <w:rFonts w:hint="eastAsia"/>
                <w:color w:val="000000" w:themeColor="text1"/>
                <w:sz w:val="24"/>
                <w:highlight w:val="none"/>
                <w:lang w:val="en-US" w:eastAsia="zh-CN"/>
                <w14:textFill>
                  <w14:solidFill>
                    <w14:schemeClr w14:val="tx1"/>
                  </w14:solidFill>
                </w14:textFill>
              </w:rPr>
              <w:t>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14:textFill>
                  <w14:solidFill>
                    <w14:schemeClr w14:val="tx1"/>
                  </w14:solidFill>
                </w14:textFill>
              </w:rPr>
              <w:t>/a</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生活污水产生量按用水量的80%计算，则生活污水产生量为216m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/a（0.72m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/d）。本项目生活污水由化粪池收集后排入园区管网。</w:t>
            </w:r>
          </w:p>
          <w:p w14:paraId="62D7E3A7">
            <w:pPr>
              <w:adjustRightInd w:val="0"/>
              <w:snapToGrid w:val="0"/>
              <w:spacing w:line="360" w:lineRule="auto"/>
              <w:ind w:firstLine="480" w:firstLineChars="200"/>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②</w:t>
            </w:r>
            <w:r>
              <w:rPr>
                <w:rFonts w:hint="eastAsia"/>
                <w:color w:val="000000" w:themeColor="text1"/>
                <w:sz w:val="24"/>
                <w:highlight w:val="none"/>
                <w:lang w:val="en-US" w:eastAsia="zh-CN"/>
                <w14:textFill>
                  <w14:solidFill>
                    <w14:schemeClr w14:val="tx1"/>
                  </w14:solidFill>
                </w14:textFill>
              </w:rPr>
              <w:t>混凝土搅拌罐清洗废水</w:t>
            </w:r>
          </w:p>
          <w:p w14:paraId="57F667B2">
            <w:pPr>
              <w:adjustRightInd w:val="0"/>
              <w:snapToGrid w:val="0"/>
              <w:spacing w:line="360" w:lineRule="auto"/>
              <w:ind w:firstLine="480" w:firstLineChars="200"/>
              <w:rPr>
                <w:rFonts w:hint="default" w:eastAsia="宋体"/>
                <w:bCs/>
                <w:color w:val="000000" w:themeColor="text1"/>
                <w:kern w:val="0"/>
                <w:sz w:val="24"/>
                <w:highlight w:val="none"/>
                <w:lang w:val="en-US" w:eastAsia="zh-CN"/>
                <w14:textFill>
                  <w14:solidFill>
                    <w14:schemeClr w14:val="tx1"/>
                  </w14:solidFill>
                </w14:textFill>
              </w:rPr>
            </w:pPr>
            <w:r>
              <w:rPr>
                <w:rFonts w:hint="eastAsia"/>
                <w:bCs/>
                <w:color w:val="000000" w:themeColor="text1"/>
                <w:kern w:val="0"/>
                <w:sz w:val="24"/>
                <w:highlight w:val="none"/>
                <w:lang w:val="en-US" w:eastAsia="zh-CN"/>
                <w14:textFill>
                  <w14:solidFill>
                    <w14:schemeClr w14:val="tx1"/>
                  </w14:solidFill>
                </w14:textFill>
              </w:rPr>
              <w:t>本项目安装180型混凝土搅拌机1座，根据企业要求，下班前对搅拌罐进行冲洗。每次冲洗用水量为1m</w:t>
            </w:r>
            <w:r>
              <w:rPr>
                <w:rFonts w:hint="eastAsia"/>
                <w:bCs/>
                <w:color w:val="000000" w:themeColor="text1"/>
                <w:kern w:val="0"/>
                <w:sz w:val="24"/>
                <w:highlight w:val="none"/>
                <w:vertAlign w:val="superscript"/>
                <w:lang w:val="en-US" w:eastAsia="zh-CN"/>
                <w14:textFill>
                  <w14:solidFill>
                    <w14:schemeClr w14:val="tx1"/>
                  </w14:solidFill>
                </w14:textFill>
              </w:rPr>
              <w:t>3</w:t>
            </w:r>
            <w:r>
              <w:rPr>
                <w:rFonts w:hint="eastAsia"/>
                <w:bCs/>
                <w:color w:val="000000" w:themeColor="text1"/>
                <w:kern w:val="0"/>
                <w:sz w:val="24"/>
                <w:highlight w:val="none"/>
                <w:lang w:val="en-US" w:eastAsia="zh-CN"/>
                <w14:textFill>
                  <w14:solidFill>
                    <w14:schemeClr w14:val="tx1"/>
                  </w14:solidFill>
                </w14:textFill>
              </w:rPr>
              <w:t>/次，每天1次，则搅拌罐冲洗废水量为300m</w:t>
            </w:r>
            <w:r>
              <w:rPr>
                <w:rFonts w:hint="eastAsia"/>
                <w:bCs/>
                <w:color w:val="000000" w:themeColor="text1"/>
                <w:kern w:val="0"/>
                <w:sz w:val="24"/>
                <w:highlight w:val="none"/>
                <w:vertAlign w:val="superscript"/>
                <w:lang w:val="en-US" w:eastAsia="zh-CN"/>
                <w14:textFill>
                  <w14:solidFill>
                    <w14:schemeClr w14:val="tx1"/>
                  </w14:solidFill>
                </w14:textFill>
              </w:rPr>
              <w:t>3</w:t>
            </w:r>
            <w:r>
              <w:rPr>
                <w:rFonts w:hint="eastAsia"/>
                <w:bCs/>
                <w:color w:val="000000" w:themeColor="text1"/>
                <w:kern w:val="0"/>
                <w:sz w:val="24"/>
                <w:highlight w:val="none"/>
                <w:lang w:val="en-US" w:eastAsia="zh-CN"/>
                <w14:textFill>
                  <w14:solidFill>
                    <w14:schemeClr w14:val="tx1"/>
                  </w14:solidFill>
                </w14:textFill>
              </w:rPr>
              <w:t>/a（1m</w:t>
            </w:r>
            <w:r>
              <w:rPr>
                <w:rFonts w:hint="eastAsia"/>
                <w:bCs/>
                <w:color w:val="000000" w:themeColor="text1"/>
                <w:kern w:val="0"/>
                <w:sz w:val="24"/>
                <w:highlight w:val="none"/>
                <w:vertAlign w:val="superscript"/>
                <w:lang w:val="en-US" w:eastAsia="zh-CN"/>
                <w14:textFill>
                  <w14:solidFill>
                    <w14:schemeClr w14:val="tx1"/>
                  </w14:solidFill>
                </w14:textFill>
              </w:rPr>
              <w:t>3</w:t>
            </w:r>
            <w:r>
              <w:rPr>
                <w:rFonts w:hint="eastAsia"/>
                <w:bCs/>
                <w:color w:val="000000" w:themeColor="text1"/>
                <w:kern w:val="0"/>
                <w:sz w:val="24"/>
                <w:highlight w:val="none"/>
                <w:lang w:val="en-US" w:eastAsia="zh-CN"/>
                <w14:textFill>
                  <w14:solidFill>
                    <w14:schemeClr w14:val="tx1"/>
                  </w14:solidFill>
                </w14:textFill>
              </w:rPr>
              <w:t>/d）。搅拌罐冲洗废水直接进入下次混凝土搅拌生产使用，清洗废水不出搅拌罐，不外排。</w:t>
            </w:r>
          </w:p>
          <w:p w14:paraId="7BBBFD32">
            <w:pPr>
              <w:adjustRightInd w:val="0"/>
              <w:snapToGrid w:val="0"/>
              <w:spacing w:line="360" w:lineRule="auto"/>
              <w:ind w:firstLine="480" w:firstLineChars="200"/>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③</w:t>
            </w:r>
            <w:r>
              <w:rPr>
                <w:rFonts w:hint="eastAsia"/>
                <w:color w:val="000000" w:themeColor="text1"/>
                <w:sz w:val="24"/>
                <w:highlight w:val="none"/>
                <w:lang w:val="en-US" w:eastAsia="zh-CN"/>
                <w14:textFill>
                  <w14:solidFill>
                    <w14:schemeClr w14:val="tx1"/>
                  </w14:solidFill>
                </w14:textFill>
              </w:rPr>
              <w:t>管桩离心成型废水</w:t>
            </w:r>
          </w:p>
          <w:p w14:paraId="23593551">
            <w:pPr>
              <w:adjustRightInd w:val="0"/>
              <w:snapToGrid w:val="0"/>
              <w:spacing w:line="360" w:lineRule="auto"/>
              <w:ind w:firstLine="480" w:firstLineChars="200"/>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本项目管桩成型采用离心形式进行成型，在离心成型过程中物料中的水分在离心力的作用下从物料中脱除，离心成型工序废水产生量为物料含水量的15%，本项目混凝土搅拌工序加入的水量为</w:t>
            </w:r>
            <w:r>
              <w:rPr>
                <w:rFonts w:hint="eastAsia"/>
                <w:bCs/>
                <w:color w:val="000000" w:themeColor="text1"/>
                <w:sz w:val="24"/>
                <w:szCs w:val="24"/>
                <w:highlight w:val="none"/>
                <w:lang w:val="en-US" w:eastAsia="zh-CN"/>
                <w14:textFill>
                  <w14:solidFill>
                    <w14:schemeClr w14:val="tx1"/>
                  </w14:solidFill>
                </w14:textFill>
              </w:rPr>
              <w:t>5354.328</w:t>
            </w:r>
            <w:r>
              <w:rPr>
                <w:rFonts w:hint="eastAsia"/>
                <w:bCs/>
                <w:color w:val="000000" w:themeColor="text1"/>
                <w:kern w:val="0"/>
                <w:sz w:val="24"/>
                <w:szCs w:val="24"/>
                <w:highlight w:val="none"/>
                <w:lang w:val="en-US" w:eastAsia="zh-CN"/>
                <w14:textFill>
                  <w14:solidFill>
                    <w14:schemeClr w14:val="tx1"/>
                  </w14:solidFill>
                </w14:textFill>
              </w:rPr>
              <w:t>m</w:t>
            </w:r>
            <w:r>
              <w:rPr>
                <w:rFonts w:hint="eastAsia"/>
                <w:bCs/>
                <w:color w:val="000000" w:themeColor="text1"/>
                <w:kern w:val="0"/>
                <w:sz w:val="24"/>
                <w:szCs w:val="24"/>
                <w:highlight w:val="none"/>
                <w:vertAlign w:val="superscript"/>
                <w:lang w:val="en-US" w:eastAsia="zh-CN"/>
                <w14:textFill>
                  <w14:solidFill>
                    <w14:schemeClr w14:val="tx1"/>
                  </w14:solidFill>
                </w14:textFill>
              </w:rPr>
              <w:t>3</w:t>
            </w:r>
            <w:r>
              <w:rPr>
                <w:rFonts w:hint="eastAsia"/>
                <w:bCs/>
                <w:color w:val="000000" w:themeColor="text1"/>
                <w:kern w:val="0"/>
                <w:sz w:val="24"/>
                <w:szCs w:val="24"/>
                <w:highlight w:val="none"/>
                <w:lang w:val="en-US" w:eastAsia="zh-CN"/>
                <w14:textFill>
                  <w14:solidFill>
                    <w14:schemeClr w14:val="tx1"/>
                  </w14:solidFill>
                </w14:textFill>
              </w:rPr>
              <w:t>/a</w:t>
            </w:r>
            <w:r>
              <w:rPr>
                <w:rFonts w:hint="eastAsia"/>
                <w:bCs/>
                <w:color w:val="000000" w:themeColor="text1"/>
                <w:kern w:val="0"/>
                <w:sz w:val="24"/>
                <w:highlight w:val="none"/>
                <w:lang w:val="en-US" w:eastAsia="zh-CN"/>
                <w14:textFill>
                  <w14:solidFill>
                    <w14:schemeClr w14:val="tx1"/>
                  </w14:solidFill>
                </w14:textFill>
              </w:rPr>
              <w:t>，则离心成型工序废水量为803.15m</w:t>
            </w:r>
            <w:r>
              <w:rPr>
                <w:rFonts w:hint="eastAsia"/>
                <w:bCs/>
                <w:color w:val="000000" w:themeColor="text1"/>
                <w:kern w:val="0"/>
                <w:sz w:val="24"/>
                <w:highlight w:val="none"/>
                <w:vertAlign w:val="superscript"/>
                <w:lang w:val="en-US" w:eastAsia="zh-CN"/>
                <w14:textFill>
                  <w14:solidFill>
                    <w14:schemeClr w14:val="tx1"/>
                  </w14:solidFill>
                </w14:textFill>
              </w:rPr>
              <w:t>3</w:t>
            </w:r>
            <w:r>
              <w:rPr>
                <w:rFonts w:hint="eastAsia"/>
                <w:bCs/>
                <w:color w:val="000000" w:themeColor="text1"/>
                <w:kern w:val="0"/>
                <w:sz w:val="24"/>
                <w:highlight w:val="none"/>
                <w:lang w:val="en-US" w:eastAsia="zh-CN"/>
                <w14:textFill>
                  <w14:solidFill>
                    <w14:schemeClr w14:val="tx1"/>
                  </w14:solidFill>
                </w14:textFill>
              </w:rPr>
              <w:t>/a（2.68m</w:t>
            </w:r>
            <w:r>
              <w:rPr>
                <w:rFonts w:hint="eastAsia"/>
                <w:bCs/>
                <w:color w:val="000000" w:themeColor="text1"/>
                <w:kern w:val="0"/>
                <w:sz w:val="24"/>
                <w:highlight w:val="none"/>
                <w:vertAlign w:val="superscript"/>
                <w:lang w:val="en-US" w:eastAsia="zh-CN"/>
                <w14:textFill>
                  <w14:solidFill>
                    <w14:schemeClr w14:val="tx1"/>
                  </w14:solidFill>
                </w14:textFill>
              </w:rPr>
              <w:t>3</w:t>
            </w:r>
            <w:r>
              <w:rPr>
                <w:rFonts w:hint="eastAsia"/>
                <w:bCs/>
                <w:color w:val="000000" w:themeColor="text1"/>
                <w:kern w:val="0"/>
                <w:sz w:val="24"/>
                <w:highlight w:val="none"/>
                <w:lang w:val="en-US" w:eastAsia="zh-CN"/>
                <w14:textFill>
                  <w14:solidFill>
                    <w14:schemeClr w14:val="tx1"/>
                  </w14:solidFill>
                </w14:textFill>
              </w:rPr>
              <w:t>/d），离心成型工序产生的废水全部回用于混凝土生产用水，不外排。</w:t>
            </w:r>
          </w:p>
          <w:p w14:paraId="18C8B367">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水平衡表见下表，水平衡图见下图。</w:t>
            </w:r>
          </w:p>
          <w:p w14:paraId="4C504E2F">
            <w:pPr>
              <w:jc w:val="center"/>
              <w:rPr>
                <w:rFonts w:hint="eastAsia" w:eastAsia="宋体"/>
                <w:b/>
                <w:bCs/>
                <w:color w:val="000000" w:themeColor="text1"/>
                <w:sz w:val="24"/>
                <w:highlight w:val="none"/>
                <w:lang w:eastAsia="zh-CN"/>
                <w14:textFill>
                  <w14:solidFill>
                    <w14:schemeClr w14:val="tx1"/>
                  </w14:solidFill>
                </w14:textFill>
              </w:rPr>
            </w:pPr>
            <w:r>
              <w:rPr>
                <w:b/>
                <w:bCs/>
                <w:color w:val="000000" w:themeColor="text1"/>
                <w:sz w:val="24"/>
                <w:highlight w:val="none"/>
                <w14:textFill>
                  <w14:solidFill>
                    <w14:schemeClr w14:val="tx1"/>
                  </w14:solidFill>
                </w14:textFill>
              </w:rPr>
              <w:t>表2-</w:t>
            </w:r>
            <w:r>
              <w:rPr>
                <w:rFonts w:hint="eastAsia"/>
                <w:b/>
                <w:bCs/>
                <w:color w:val="000000" w:themeColor="text1"/>
                <w:sz w:val="24"/>
                <w:highlight w:val="none"/>
                <w:lang w:val="en-US" w:eastAsia="zh-CN"/>
                <w14:textFill>
                  <w14:solidFill>
                    <w14:schemeClr w14:val="tx1"/>
                  </w14:solidFill>
                </w14:textFill>
              </w:rPr>
              <w:t xml:space="preserve">8 </w:t>
            </w:r>
            <w:r>
              <w:rPr>
                <w:b/>
                <w:bCs/>
                <w:color w:val="000000" w:themeColor="text1"/>
                <w:sz w:val="24"/>
                <w:highlight w:val="none"/>
                <w14:textFill>
                  <w14:solidFill>
                    <w14:schemeClr w14:val="tx1"/>
                  </w14:solidFill>
                </w14:textFill>
              </w:rPr>
              <w:t>水平衡一览表</w:t>
            </w:r>
            <w:r>
              <w:rPr>
                <w:rFonts w:hint="eastAsia"/>
                <w:b/>
                <w:bCs/>
                <w:color w:val="000000" w:themeColor="text1"/>
                <w:sz w:val="24"/>
                <w:highlight w:val="none"/>
                <w:lang w:eastAsia="zh-CN"/>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单位：m</w:t>
            </w:r>
            <w:r>
              <w:rPr>
                <w:rFonts w:hint="eastAsia"/>
                <w:b/>
                <w:bCs/>
                <w:color w:val="000000" w:themeColor="text1"/>
                <w:sz w:val="24"/>
                <w:highlight w:val="none"/>
                <w:vertAlign w:val="superscript"/>
                <w:lang w:val="en-US" w:eastAsia="zh-CN"/>
                <w14:textFill>
                  <w14:solidFill>
                    <w14:schemeClr w14:val="tx1"/>
                  </w14:solidFill>
                </w14:textFill>
              </w:rPr>
              <w:t>3</w:t>
            </w:r>
            <w:r>
              <w:rPr>
                <w:rFonts w:hint="eastAsia"/>
                <w:b/>
                <w:bCs/>
                <w:color w:val="000000" w:themeColor="text1"/>
                <w:sz w:val="24"/>
                <w:highlight w:val="none"/>
                <w:lang w:val="en-US" w:eastAsia="zh-CN"/>
                <w14:textFill>
                  <w14:solidFill>
                    <w14:schemeClr w14:val="tx1"/>
                  </w14:solidFill>
                </w14:textFill>
              </w:rPr>
              <w:t>/d</w:t>
            </w:r>
            <w:r>
              <w:rPr>
                <w:rFonts w:hint="eastAsia"/>
                <w:b/>
                <w:bCs/>
                <w:color w:val="000000" w:themeColor="text1"/>
                <w:sz w:val="24"/>
                <w:highlight w:val="none"/>
                <w:lang w:eastAsia="zh-CN"/>
                <w14:textFill>
                  <w14:solidFill>
                    <w14:schemeClr w14:val="tx1"/>
                  </w14:solidFill>
                </w14:textFill>
              </w:rPr>
              <w:t>）</w:t>
            </w:r>
          </w:p>
          <w:tbl>
            <w:tblPr>
              <w:tblStyle w:val="31"/>
              <w:tblW w:w="8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1022"/>
              <w:gridCol w:w="984"/>
              <w:gridCol w:w="902"/>
              <w:gridCol w:w="1300"/>
              <w:gridCol w:w="2024"/>
            </w:tblGrid>
            <w:tr w14:paraId="6B29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04" w:type="dxa"/>
                  <w:vAlign w:val="center"/>
                </w:tcPr>
                <w:p w14:paraId="59179C11">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用水工序</w:t>
                  </w:r>
                </w:p>
              </w:tc>
              <w:tc>
                <w:tcPr>
                  <w:tcW w:w="1022" w:type="dxa"/>
                  <w:vAlign w:val="center"/>
                </w:tcPr>
                <w:p w14:paraId="1D52BC52">
                  <w:pPr>
                    <w:jc w:val="center"/>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用水量</w:t>
                  </w:r>
                </w:p>
              </w:tc>
              <w:tc>
                <w:tcPr>
                  <w:tcW w:w="984" w:type="dxa"/>
                  <w:vAlign w:val="center"/>
                </w:tcPr>
                <w:p w14:paraId="3A4FC386">
                  <w:pPr>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产水量</w:t>
                  </w:r>
                </w:p>
              </w:tc>
              <w:tc>
                <w:tcPr>
                  <w:tcW w:w="902" w:type="dxa"/>
                  <w:vAlign w:val="center"/>
                </w:tcPr>
                <w:p w14:paraId="6A790EE4">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损耗量</w:t>
                  </w:r>
                </w:p>
              </w:tc>
              <w:tc>
                <w:tcPr>
                  <w:tcW w:w="1300" w:type="dxa"/>
                  <w:vAlign w:val="center"/>
                </w:tcPr>
                <w:p w14:paraId="1530F3E6">
                  <w:pPr>
                    <w:jc w:val="center"/>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废水</w:t>
                  </w:r>
                  <w:r>
                    <w:rPr>
                      <w:rFonts w:hint="eastAsia"/>
                      <w:highlight w:val="none"/>
                      <w:lang w:val="en-US" w:eastAsia="zh-CN"/>
                    </w:rPr>
                    <w:t>产生</w:t>
                  </w:r>
                  <w:r>
                    <w:rPr>
                      <w:rFonts w:hint="eastAsia"/>
                      <w:b w:val="0"/>
                      <w:bCs w:val="0"/>
                      <w:color w:val="000000" w:themeColor="text1"/>
                      <w:sz w:val="21"/>
                      <w:szCs w:val="21"/>
                      <w:highlight w:val="none"/>
                      <w:vertAlign w:val="baseline"/>
                      <w:lang w:val="en-US" w:eastAsia="zh-CN"/>
                      <w14:textFill>
                        <w14:solidFill>
                          <w14:schemeClr w14:val="tx1"/>
                        </w14:solidFill>
                      </w14:textFill>
                    </w:rPr>
                    <w:t>量</w:t>
                  </w:r>
                </w:p>
              </w:tc>
              <w:tc>
                <w:tcPr>
                  <w:tcW w:w="2024" w:type="dxa"/>
                  <w:vAlign w:val="center"/>
                </w:tcPr>
                <w:p w14:paraId="72619056">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废水去向</w:t>
                  </w:r>
                </w:p>
              </w:tc>
            </w:tr>
            <w:tr w14:paraId="7A96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04" w:type="dxa"/>
                  <w:vAlign w:val="center"/>
                </w:tcPr>
                <w:p w14:paraId="6181AA40">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生活用水</w:t>
                  </w:r>
                </w:p>
              </w:tc>
              <w:tc>
                <w:tcPr>
                  <w:tcW w:w="1022" w:type="dxa"/>
                  <w:vAlign w:val="center"/>
                </w:tcPr>
                <w:p w14:paraId="09462BCE">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0.9</w:t>
                  </w:r>
                </w:p>
              </w:tc>
              <w:tc>
                <w:tcPr>
                  <w:tcW w:w="984" w:type="dxa"/>
                  <w:vAlign w:val="center"/>
                </w:tcPr>
                <w:p w14:paraId="07C4AE7D">
                  <w:pPr>
                    <w:jc w:val="center"/>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w:t>
                  </w:r>
                </w:p>
              </w:tc>
              <w:tc>
                <w:tcPr>
                  <w:tcW w:w="902" w:type="dxa"/>
                  <w:vAlign w:val="center"/>
                </w:tcPr>
                <w:p w14:paraId="2B0A225C">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0.18</w:t>
                  </w:r>
                </w:p>
              </w:tc>
              <w:tc>
                <w:tcPr>
                  <w:tcW w:w="1300" w:type="dxa"/>
                  <w:vAlign w:val="center"/>
                </w:tcPr>
                <w:p w14:paraId="53830F6A">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0.72</w:t>
                  </w:r>
                </w:p>
              </w:tc>
              <w:tc>
                <w:tcPr>
                  <w:tcW w:w="2024" w:type="dxa"/>
                  <w:vAlign w:val="center"/>
                </w:tcPr>
                <w:p w14:paraId="3184B7AD">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排入园区管网</w:t>
                  </w:r>
                </w:p>
              </w:tc>
            </w:tr>
            <w:tr w14:paraId="5E129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04" w:type="dxa"/>
                  <w:vAlign w:val="center"/>
                </w:tcPr>
                <w:p w14:paraId="63A209D5">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混凝土搅拌</w:t>
                  </w:r>
                </w:p>
              </w:tc>
              <w:tc>
                <w:tcPr>
                  <w:tcW w:w="1022" w:type="dxa"/>
                  <w:vAlign w:val="center"/>
                </w:tcPr>
                <w:p w14:paraId="328F018C">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17.85</w:t>
                  </w:r>
                </w:p>
              </w:tc>
              <w:tc>
                <w:tcPr>
                  <w:tcW w:w="984" w:type="dxa"/>
                  <w:vAlign w:val="center"/>
                </w:tcPr>
                <w:p w14:paraId="3667D971">
                  <w:pPr>
                    <w:jc w:val="center"/>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w:t>
                  </w:r>
                </w:p>
              </w:tc>
              <w:tc>
                <w:tcPr>
                  <w:tcW w:w="902" w:type="dxa"/>
                  <w:vAlign w:val="center"/>
                </w:tcPr>
                <w:p w14:paraId="17E71E59">
                  <w:pPr>
                    <w:jc w:val="center"/>
                    <w:rPr>
                      <w:rFonts w:hint="default"/>
                      <w:b w:val="0"/>
                      <w:bCs w:val="0"/>
                      <w:color w:val="000000" w:themeColor="text1"/>
                      <w:sz w:val="21"/>
                      <w:szCs w:val="21"/>
                      <w:highlight w:val="none"/>
                      <w:vertAlign w:val="baseline"/>
                      <w:lang w:val="en-US"/>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17.85</w:t>
                  </w:r>
                </w:p>
              </w:tc>
              <w:tc>
                <w:tcPr>
                  <w:tcW w:w="1300" w:type="dxa"/>
                  <w:vAlign w:val="center"/>
                </w:tcPr>
                <w:p w14:paraId="5AE3DF3F">
                  <w:pPr>
                    <w:jc w:val="center"/>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w:t>
                  </w:r>
                </w:p>
              </w:tc>
              <w:tc>
                <w:tcPr>
                  <w:tcW w:w="2024" w:type="dxa"/>
                  <w:vAlign w:val="center"/>
                </w:tcPr>
                <w:p w14:paraId="37C1104E">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w:t>
                  </w:r>
                </w:p>
              </w:tc>
            </w:tr>
            <w:tr w14:paraId="2F0C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04" w:type="dxa"/>
                  <w:vAlign w:val="center"/>
                </w:tcPr>
                <w:p w14:paraId="72908954">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搅拌罐清洗</w:t>
                  </w:r>
                </w:p>
              </w:tc>
              <w:tc>
                <w:tcPr>
                  <w:tcW w:w="1022" w:type="dxa"/>
                  <w:vAlign w:val="center"/>
                </w:tcPr>
                <w:p w14:paraId="484A6C07">
                  <w:pPr>
                    <w:jc w:val="center"/>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w:t>
                  </w:r>
                </w:p>
              </w:tc>
              <w:tc>
                <w:tcPr>
                  <w:tcW w:w="984" w:type="dxa"/>
                  <w:vAlign w:val="center"/>
                </w:tcPr>
                <w:p w14:paraId="16A7B803">
                  <w:pPr>
                    <w:jc w:val="center"/>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w:t>
                  </w:r>
                </w:p>
              </w:tc>
              <w:tc>
                <w:tcPr>
                  <w:tcW w:w="902" w:type="dxa"/>
                  <w:vAlign w:val="center"/>
                </w:tcPr>
                <w:p w14:paraId="4EE631BD">
                  <w:pPr>
                    <w:jc w:val="center"/>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w:t>
                  </w:r>
                </w:p>
              </w:tc>
              <w:tc>
                <w:tcPr>
                  <w:tcW w:w="1300" w:type="dxa"/>
                  <w:vAlign w:val="center"/>
                </w:tcPr>
                <w:p w14:paraId="42EF0C33">
                  <w:pPr>
                    <w:jc w:val="center"/>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w:t>
                  </w:r>
                </w:p>
              </w:tc>
              <w:tc>
                <w:tcPr>
                  <w:tcW w:w="2024" w:type="dxa"/>
                  <w:vAlign w:val="center"/>
                </w:tcPr>
                <w:p w14:paraId="3A550E94">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highlight w:val="none"/>
                      <w:lang w:val="en-US" w:eastAsia="zh-CN"/>
                    </w:rPr>
                    <w:t>用于混凝土搅拌</w:t>
                  </w:r>
                </w:p>
              </w:tc>
            </w:tr>
            <w:tr w14:paraId="5208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04" w:type="dxa"/>
                  <w:vAlign w:val="center"/>
                </w:tcPr>
                <w:p w14:paraId="72766D5A">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原料库抑尘</w:t>
                  </w:r>
                </w:p>
              </w:tc>
              <w:tc>
                <w:tcPr>
                  <w:tcW w:w="1022" w:type="dxa"/>
                  <w:vAlign w:val="center"/>
                </w:tcPr>
                <w:p w14:paraId="6941F0A5">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2.8</w:t>
                  </w:r>
                </w:p>
              </w:tc>
              <w:tc>
                <w:tcPr>
                  <w:tcW w:w="984" w:type="dxa"/>
                  <w:vAlign w:val="center"/>
                </w:tcPr>
                <w:p w14:paraId="2B933870">
                  <w:pPr>
                    <w:jc w:val="center"/>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w:t>
                  </w:r>
                </w:p>
              </w:tc>
              <w:tc>
                <w:tcPr>
                  <w:tcW w:w="902" w:type="dxa"/>
                  <w:vAlign w:val="center"/>
                </w:tcPr>
                <w:p w14:paraId="7B8D995E">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2.8</w:t>
                  </w:r>
                </w:p>
              </w:tc>
              <w:tc>
                <w:tcPr>
                  <w:tcW w:w="1300" w:type="dxa"/>
                  <w:vAlign w:val="center"/>
                </w:tcPr>
                <w:p w14:paraId="23E835DB">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w:t>
                  </w:r>
                </w:p>
              </w:tc>
              <w:tc>
                <w:tcPr>
                  <w:tcW w:w="2024" w:type="dxa"/>
                  <w:vAlign w:val="center"/>
                </w:tcPr>
                <w:p w14:paraId="795B321A">
                  <w:pPr>
                    <w:jc w:val="center"/>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w:t>
                  </w:r>
                </w:p>
              </w:tc>
            </w:tr>
            <w:tr w14:paraId="5346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04" w:type="dxa"/>
                  <w:vAlign w:val="center"/>
                </w:tcPr>
                <w:p w14:paraId="41A40C4C">
                  <w:pPr>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离心成型工序</w:t>
                  </w:r>
                </w:p>
              </w:tc>
              <w:tc>
                <w:tcPr>
                  <w:tcW w:w="1022" w:type="dxa"/>
                  <w:vAlign w:val="center"/>
                </w:tcPr>
                <w:p w14:paraId="0375E14F">
                  <w:pPr>
                    <w:jc w:val="center"/>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w:t>
                  </w:r>
                </w:p>
              </w:tc>
              <w:tc>
                <w:tcPr>
                  <w:tcW w:w="984" w:type="dxa"/>
                  <w:vAlign w:val="center"/>
                </w:tcPr>
                <w:p w14:paraId="2543A685">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eastAsia="宋体"/>
                      <w:b w:val="0"/>
                      <w:bCs w:val="0"/>
                      <w:color w:val="000000" w:themeColor="text1"/>
                      <w:sz w:val="21"/>
                      <w:szCs w:val="21"/>
                      <w:highlight w:val="none"/>
                      <w:vertAlign w:val="baseline"/>
                      <w:lang w:val="en-US" w:eastAsia="zh-CN"/>
                      <w14:textFill>
                        <w14:solidFill>
                          <w14:schemeClr w14:val="tx1"/>
                        </w14:solidFill>
                      </w14:textFill>
                    </w:rPr>
                    <w:t>0</w:t>
                  </w:r>
                </w:p>
              </w:tc>
              <w:tc>
                <w:tcPr>
                  <w:tcW w:w="902" w:type="dxa"/>
                  <w:vAlign w:val="center"/>
                </w:tcPr>
                <w:p w14:paraId="34920BC9">
                  <w:pPr>
                    <w:jc w:val="center"/>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w:t>
                  </w:r>
                </w:p>
              </w:tc>
              <w:tc>
                <w:tcPr>
                  <w:tcW w:w="1300" w:type="dxa"/>
                  <w:vAlign w:val="center"/>
                </w:tcPr>
                <w:p w14:paraId="60F7F32D">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2.68</w:t>
                  </w:r>
                </w:p>
              </w:tc>
              <w:tc>
                <w:tcPr>
                  <w:tcW w:w="2024" w:type="dxa"/>
                  <w:vAlign w:val="center"/>
                </w:tcPr>
                <w:p w14:paraId="07440BD0">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回用于混凝土生产</w:t>
                  </w:r>
                </w:p>
              </w:tc>
            </w:tr>
            <w:tr w14:paraId="42F8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904" w:type="dxa"/>
                  <w:vAlign w:val="center"/>
                </w:tcPr>
                <w:p w14:paraId="3376DD4F">
                  <w:pPr>
                    <w:jc w:val="center"/>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绿化</w:t>
                  </w:r>
                </w:p>
              </w:tc>
              <w:tc>
                <w:tcPr>
                  <w:tcW w:w="1022" w:type="dxa"/>
                  <w:vAlign w:val="center"/>
                </w:tcPr>
                <w:p w14:paraId="03F7C2B2">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0.33</w:t>
                  </w:r>
                </w:p>
              </w:tc>
              <w:tc>
                <w:tcPr>
                  <w:tcW w:w="984" w:type="dxa"/>
                  <w:vAlign w:val="center"/>
                </w:tcPr>
                <w:p w14:paraId="76CFD7DF">
                  <w:pPr>
                    <w:jc w:val="center"/>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w:t>
                  </w:r>
                </w:p>
              </w:tc>
              <w:tc>
                <w:tcPr>
                  <w:tcW w:w="902" w:type="dxa"/>
                  <w:vAlign w:val="center"/>
                </w:tcPr>
                <w:p w14:paraId="432F9DC7">
                  <w:pPr>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0.33</w:t>
                  </w:r>
                </w:p>
              </w:tc>
              <w:tc>
                <w:tcPr>
                  <w:tcW w:w="1300" w:type="dxa"/>
                  <w:vAlign w:val="center"/>
                </w:tcPr>
                <w:p w14:paraId="27F98EDF">
                  <w:pPr>
                    <w:jc w:val="center"/>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0</w:t>
                  </w:r>
                </w:p>
              </w:tc>
              <w:tc>
                <w:tcPr>
                  <w:tcW w:w="2024" w:type="dxa"/>
                  <w:vAlign w:val="center"/>
                </w:tcPr>
                <w:p w14:paraId="0823FDC3">
                  <w:pPr>
                    <w:jc w:val="center"/>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w:t>
                  </w:r>
                </w:p>
              </w:tc>
            </w:tr>
          </w:tbl>
          <w:p w14:paraId="71355E0E">
            <w:pPr>
              <w:adjustRightInd w:val="0"/>
              <w:snapToGrid w:val="0"/>
              <w:spacing w:line="360" w:lineRule="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项目水平衡</w:t>
            </w:r>
            <w:r>
              <w:rPr>
                <w:rFonts w:hint="eastAsia"/>
                <w:color w:val="000000" w:themeColor="text1"/>
                <w:sz w:val="24"/>
                <w:highlight w:val="none"/>
                <w:lang w:eastAsia="zh-CN"/>
                <w14:textFill>
                  <w14:solidFill>
                    <w14:schemeClr w14:val="tx1"/>
                  </w14:solidFill>
                </w14:textFill>
              </w:rPr>
              <w:t>图</w:t>
            </w:r>
            <w:r>
              <w:rPr>
                <w:color w:val="000000" w:themeColor="text1"/>
                <w:sz w:val="24"/>
                <w:highlight w:val="none"/>
                <w14:textFill>
                  <w14:solidFill>
                    <w14:schemeClr w14:val="tx1"/>
                  </w14:solidFill>
                </w14:textFill>
              </w:rPr>
              <w:t>见下图：</w:t>
            </w:r>
          </w:p>
          <w:p w14:paraId="318AA8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4"/>
                <w:highlight w:val="none"/>
                <w:lang w:eastAsia="zh-CN"/>
                <w14:textFill>
                  <w14:solidFill>
                    <w14:schemeClr w14:val="tx1"/>
                  </w14:solidFill>
                </w14:textFill>
              </w:rPr>
            </w:pPr>
            <w:r>
              <w:rPr>
                <w:rFonts w:hint="eastAsia" w:eastAsia="宋体"/>
                <w:color w:val="000000" w:themeColor="text1"/>
                <w:sz w:val="24"/>
                <w:highlight w:val="none"/>
                <w:lang w:eastAsia="zh-CN"/>
                <w14:textFill>
                  <w14:solidFill>
                    <w14:schemeClr w14:val="tx1"/>
                  </w14:solidFill>
                </w14:textFill>
              </w:rPr>
              <w:drawing>
                <wp:inline distT="0" distB="0" distL="114300" distR="114300">
                  <wp:extent cx="5151755" cy="3002915"/>
                  <wp:effectExtent l="0" t="0" r="10795" b="6985"/>
                  <wp:docPr id="2" name="图片 2" descr="E:/戴/杭锦旗管桩/水平衡图.png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戴/杭锦旗管桩/水平衡图.png水平衡图"/>
                          <pic:cNvPicPr>
                            <a:picLocks noChangeAspect="1"/>
                          </pic:cNvPicPr>
                        </pic:nvPicPr>
                        <pic:blipFill>
                          <a:blip r:embed="rId12"/>
                          <a:srcRect l="190" r="159"/>
                          <a:stretch>
                            <a:fillRect/>
                          </a:stretch>
                        </pic:blipFill>
                        <pic:spPr>
                          <a:xfrm>
                            <a:off x="0" y="0"/>
                            <a:ext cx="5151755" cy="3002915"/>
                          </a:xfrm>
                          <a:prstGeom prst="rect">
                            <a:avLst/>
                          </a:prstGeom>
                        </pic:spPr>
                      </pic:pic>
                    </a:graphicData>
                  </a:graphic>
                </wp:inline>
              </w:drawing>
            </w:r>
          </w:p>
          <w:p w14:paraId="2F74B51C">
            <w:pPr>
              <w:spacing w:line="360" w:lineRule="auto"/>
              <w:jc w:val="center"/>
              <w:rPr>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图2-1</w:t>
            </w:r>
            <w:r>
              <w:rPr>
                <w:rFonts w:hint="eastAsia"/>
                <w:b/>
                <w:bCs/>
                <w:color w:val="000000" w:themeColor="text1"/>
                <w:sz w:val="24"/>
                <w:highlight w:val="none"/>
                <w:lang w:val="en-US" w:eastAsia="zh-CN"/>
                <w14:textFill>
                  <w14:solidFill>
                    <w14:schemeClr w14:val="tx1"/>
                  </w14:solidFill>
                </w14:textFill>
              </w:rPr>
              <w:t xml:space="preserve"> </w:t>
            </w:r>
            <w:r>
              <w:rPr>
                <w:b/>
                <w:bCs/>
                <w:color w:val="000000" w:themeColor="text1"/>
                <w:sz w:val="24"/>
                <w:highlight w:val="none"/>
                <w14:textFill>
                  <w14:solidFill>
                    <w14:schemeClr w14:val="tx1"/>
                  </w14:solidFill>
                </w14:textFill>
              </w:rPr>
              <w:t>项目水平衡图</w:t>
            </w:r>
            <w:r>
              <w:rPr>
                <w:rFonts w:hint="eastAsia"/>
                <w:b/>
                <w:bCs/>
                <w:color w:val="000000" w:themeColor="text1"/>
                <w:sz w:val="24"/>
                <w:highlight w:val="none"/>
                <w14:textFill>
                  <w14:solidFill>
                    <w14:schemeClr w14:val="tx1"/>
                  </w14:solidFill>
                </w14:textFill>
              </w:rPr>
              <w:t>（</w:t>
            </w:r>
            <w:r>
              <w:rPr>
                <w:b/>
                <w:bCs/>
                <w:color w:val="000000" w:themeColor="text1"/>
                <w:sz w:val="24"/>
                <w:highlight w:val="none"/>
                <w14:textFill>
                  <w14:solidFill>
                    <w14:schemeClr w14:val="tx1"/>
                  </w14:solidFill>
                </w14:textFill>
              </w:rPr>
              <w:t>m</w:t>
            </w:r>
            <w:r>
              <w:rPr>
                <w:b/>
                <w:bCs/>
                <w:color w:val="000000" w:themeColor="text1"/>
                <w:sz w:val="24"/>
                <w:highlight w:val="none"/>
                <w:vertAlign w:val="superscript"/>
                <w14:textFill>
                  <w14:solidFill>
                    <w14:schemeClr w14:val="tx1"/>
                  </w14:solidFill>
                </w14:textFill>
              </w:rPr>
              <w:t>3</w:t>
            </w:r>
            <w:r>
              <w:rPr>
                <w:b/>
                <w:bCs/>
                <w:color w:val="000000" w:themeColor="text1"/>
                <w:sz w:val="24"/>
                <w:highlight w:val="none"/>
                <w14:textFill>
                  <w14:solidFill>
                    <w14:schemeClr w14:val="tx1"/>
                  </w14:solidFill>
                </w14:textFill>
              </w:rPr>
              <w:t>/d</w:t>
            </w:r>
            <w:r>
              <w:rPr>
                <w:rFonts w:hint="eastAsia"/>
                <w:b/>
                <w:bCs/>
                <w:color w:val="000000" w:themeColor="text1"/>
                <w:sz w:val="24"/>
                <w:highlight w:val="none"/>
                <w14:textFill>
                  <w14:solidFill>
                    <w14:schemeClr w14:val="tx1"/>
                  </w14:solidFill>
                </w14:textFill>
              </w:rPr>
              <w:t>）</w:t>
            </w:r>
          </w:p>
        </w:tc>
      </w:tr>
      <w:tr w14:paraId="680D6D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9" w:type="dxa"/>
            <w:vAlign w:val="center"/>
          </w:tcPr>
          <w:p w14:paraId="4BA452C6">
            <w:pPr>
              <w:pStyle w:val="26"/>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工艺流程和产排污环节</w:t>
            </w:r>
          </w:p>
        </w:tc>
        <w:tc>
          <w:tcPr>
            <w:tcW w:w="8301" w:type="dxa"/>
          </w:tcPr>
          <w:p w14:paraId="19A8304C">
            <w:pPr>
              <w:spacing w:line="360" w:lineRule="auto"/>
              <w:ind w:firstLine="480" w:firstLineChars="200"/>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本项目工艺流程如下</w:t>
            </w:r>
            <w:r>
              <w:rPr>
                <w:rFonts w:hint="eastAsia"/>
                <w:color w:val="000000" w:themeColor="text1"/>
                <w:sz w:val="24"/>
                <w:highlight w:val="none"/>
                <w:lang w:eastAsia="zh-CN"/>
                <w14:textFill>
                  <w14:solidFill>
                    <w14:schemeClr w14:val="tx1"/>
                  </w14:solidFill>
                </w14:textFill>
              </w:rPr>
              <w:t>：</w:t>
            </w:r>
          </w:p>
          <w:p w14:paraId="566353EB">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w:t>
            </w:r>
            <w:r>
              <w:rPr>
                <w:rFonts w:hint="eastAsia"/>
                <w:color w:val="000000" w:themeColor="text1"/>
                <w:sz w:val="24"/>
                <w:highlight w:val="none"/>
                <w:lang w:val="en-US" w:eastAsia="zh-CN"/>
                <w14:textFill>
                  <w14:solidFill>
                    <w14:schemeClr w14:val="tx1"/>
                  </w14:solidFill>
                </w14:textFill>
              </w:rPr>
              <w:t>.</w:t>
            </w:r>
            <w:r>
              <w:rPr>
                <w:rFonts w:hint="eastAsia"/>
                <w:color w:val="000000" w:themeColor="text1"/>
                <w:sz w:val="24"/>
                <w:highlight w:val="none"/>
                <w14:textFill>
                  <w14:solidFill>
                    <w14:schemeClr w14:val="tx1"/>
                  </w14:solidFill>
                </w14:textFill>
              </w:rPr>
              <w:t>混凝土制备</w:t>
            </w:r>
          </w:p>
          <w:p w14:paraId="6366AA2F">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在混凝土拌合投料过程中，首先需要投放的是水，在混凝土搅拌机中，应先注入一定量的新鲜水，并且根据设计配合比的要求进行控制</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混凝土拌合用水经计量后由混凝土拌合用水输送泵泵送至搅拌机。</w:t>
            </w:r>
          </w:p>
          <w:p w14:paraId="186A57BA">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水泥、矿粉、硅粉是混凝土的主要胶凝材料，对混凝土的强度和硬化过程起到关键作用。应该立即投放。水泥、矿粉、硅粉在料仓中由气力输送至进料斗中，在</w:t>
            </w:r>
            <w:r>
              <w:rPr>
                <w:rFonts w:hint="eastAsia"/>
                <w:color w:val="000000" w:themeColor="text1"/>
                <w:sz w:val="24"/>
                <w:highlight w:val="none"/>
                <w:lang w:eastAsia="zh-CN"/>
                <w14:textFill>
                  <w14:solidFill>
                    <w14:schemeClr w14:val="tx1"/>
                  </w14:solidFill>
                </w14:textFill>
              </w:rPr>
              <w:t>进</w:t>
            </w:r>
            <w:r>
              <w:rPr>
                <w:rFonts w:hint="eastAsia"/>
                <w:color w:val="000000" w:themeColor="text1"/>
                <w:sz w:val="24"/>
                <w:highlight w:val="none"/>
                <w14:textFill>
                  <w14:solidFill>
                    <w14:schemeClr w14:val="tx1"/>
                  </w14:solidFill>
                </w14:textFill>
              </w:rPr>
              <w:t>料斗中进行称量后由螺旋输送机送入搅拌机。</w:t>
            </w:r>
          </w:p>
          <w:p w14:paraId="320EF207">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砂、石骨料是混凝土的骨架材料，投放时要注意尽量投放均匀，投放顺序在水泥之后，经称量后，经输送带输送，由料斗进入搅拌机内。</w:t>
            </w:r>
            <w:r>
              <w:rPr>
                <w:rFonts w:hint="eastAsia"/>
                <w:color w:val="000000" w:themeColor="text1"/>
                <w:sz w:val="24"/>
                <w:highlight w:val="none"/>
                <w:lang w:val="en-US" w:eastAsia="zh-CN"/>
                <w14:textFill>
                  <w14:solidFill>
                    <w14:schemeClr w14:val="tx1"/>
                  </w14:solidFill>
                </w14:textFill>
              </w:rPr>
              <w:t>外加剂掺入生产用水中进入搅拌机。</w:t>
            </w:r>
            <w:r>
              <w:rPr>
                <w:rFonts w:hint="eastAsia"/>
                <w:color w:val="000000" w:themeColor="text1"/>
                <w:sz w:val="24"/>
                <w:highlight w:val="none"/>
                <w14:textFill>
                  <w14:solidFill>
                    <w14:schemeClr w14:val="tx1"/>
                  </w14:solidFill>
                </w14:textFill>
              </w:rPr>
              <w:t>搅拌好的混合料直接送往布料成型工序进行浇筑。</w:t>
            </w:r>
          </w:p>
          <w:p w14:paraId="683FED43">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w:t>
            </w:r>
            <w:r>
              <w:rPr>
                <w:rFonts w:hint="eastAsia"/>
                <w:color w:val="000000" w:themeColor="text1"/>
                <w:sz w:val="24"/>
                <w:highlight w:val="none"/>
                <w:lang w:val="en-US" w:eastAsia="zh-CN"/>
                <w14:textFill>
                  <w14:solidFill>
                    <w14:schemeClr w14:val="tx1"/>
                  </w14:solidFill>
                </w14:textFill>
              </w:rPr>
              <w:t>.</w:t>
            </w:r>
            <w:r>
              <w:rPr>
                <w:rFonts w:hint="eastAsia"/>
                <w:color w:val="000000" w:themeColor="text1"/>
                <w:sz w:val="24"/>
                <w:highlight w:val="none"/>
                <w14:textFill>
                  <w14:solidFill>
                    <w14:schemeClr w14:val="tx1"/>
                  </w14:solidFill>
                </w14:textFill>
              </w:rPr>
              <w:t>钢棒整形工序</w:t>
            </w:r>
          </w:p>
          <w:p w14:paraId="3BCE6891">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1</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端板、套箍</w:t>
            </w:r>
            <w:r>
              <w:rPr>
                <w:rFonts w:hint="eastAsia"/>
                <w:color w:val="000000" w:themeColor="text1"/>
                <w:sz w:val="24"/>
                <w:highlight w:val="none"/>
                <w:lang w:eastAsia="zh-CN"/>
                <w14:textFill>
                  <w14:solidFill>
                    <w14:schemeClr w14:val="tx1"/>
                  </w14:solidFill>
                </w14:textFill>
              </w:rPr>
              <w:t>等</w:t>
            </w:r>
            <w:r>
              <w:rPr>
                <w:rFonts w:hint="eastAsia"/>
                <w:color w:val="000000" w:themeColor="text1"/>
                <w:sz w:val="24"/>
                <w:highlight w:val="none"/>
                <w14:textFill>
                  <w14:solidFill>
                    <w14:schemeClr w14:val="tx1"/>
                  </w14:solidFill>
                </w14:textFill>
              </w:rPr>
              <w:t>接头</w:t>
            </w:r>
            <w:r>
              <w:rPr>
                <w:rFonts w:hint="eastAsia"/>
                <w:color w:val="000000" w:themeColor="text1"/>
                <w:sz w:val="24"/>
                <w:highlight w:val="none"/>
                <w:lang w:eastAsia="zh-CN"/>
                <w14:textFill>
                  <w14:solidFill>
                    <w14:schemeClr w14:val="tx1"/>
                  </w14:solidFill>
                </w14:textFill>
              </w:rPr>
              <w:t>的</w:t>
            </w:r>
            <w:r>
              <w:rPr>
                <w:rFonts w:hint="eastAsia"/>
                <w:color w:val="000000" w:themeColor="text1"/>
                <w:sz w:val="24"/>
                <w:highlight w:val="none"/>
                <w14:textFill>
                  <w14:solidFill>
                    <w14:schemeClr w14:val="tx1"/>
                  </w14:solidFill>
                </w14:textFill>
              </w:rPr>
              <w:t>制作</w:t>
            </w:r>
          </w:p>
          <w:p w14:paraId="6A669EFF">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接头制作要严格按照设计图纸制作，套箍板下料长度准确，弯制成长方形</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弯制成圆，其直径误差不大于1mm。</w:t>
            </w:r>
          </w:p>
          <w:p w14:paraId="32A9FE94">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滚焊网状钢筋骨架</w:t>
            </w:r>
            <w:r>
              <w:rPr>
                <w:rFonts w:hint="eastAsia"/>
                <w:color w:val="000000" w:themeColor="text1"/>
                <w:sz w:val="24"/>
                <w:highlight w:val="none"/>
                <w:lang w:eastAsia="zh-CN"/>
                <w14:textFill>
                  <w14:solidFill>
                    <w14:schemeClr w14:val="tx1"/>
                  </w14:solidFill>
                </w14:textFill>
              </w:rPr>
              <w:t>的</w:t>
            </w:r>
            <w:r>
              <w:rPr>
                <w:rFonts w:hint="eastAsia"/>
                <w:color w:val="000000" w:themeColor="text1"/>
                <w:sz w:val="24"/>
                <w:highlight w:val="none"/>
                <w14:textFill>
                  <w14:solidFill>
                    <w14:schemeClr w14:val="tx1"/>
                  </w14:solidFill>
                </w14:textFill>
              </w:rPr>
              <w:t>制作</w:t>
            </w:r>
          </w:p>
          <w:p w14:paraId="32C5AB0F">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本项目焊接工序均采用电阻焊，焊接过程无焊接烟尘、固废产生。</w:t>
            </w:r>
          </w:p>
          <w:p w14:paraId="7CAF63D4">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预应力钢材在高精度钢筋定长切断机上切断后进行预应力筋张拉（在混凝土浇筑之前），主筋和环向钢筋的焊接按照设计图纸及技术要求在钢筋骨架滚焊机上进行，其焊接点抗拉强度及屈服强度不得低于该材料强度的95%,焊点深度不得大于1mm。接头制作要严格按照设计图纸制作，套箍板下料长度准确，成长方形，弯制成圆，其直径误差不大于1mm。套箍板接口不准搭层焊接，套箍板和端头板焊缝在内侧，一切焊缝要牢固平整，不得带有夹渣缺陷。套箍板的喇叭口要用模具压圆，圆周长要适合管模尺寸。网状筋滚焊的难点是制作工艺，采用网状筋滚焊系统装置，焊接过程分两步进行，具体如下：</w:t>
            </w:r>
          </w:p>
          <w:p w14:paraId="0944A06C">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正向施焊</w:t>
            </w:r>
          </w:p>
          <w:p w14:paraId="08C1A9C3">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①将环向钢筋置于旋转式钢筋放置架内，初始状态下将钢筋滚筒焊接与辅助定向滚筒相邻</w:t>
            </w:r>
            <w:r>
              <w:rPr>
                <w:rFonts w:hint="eastAsia"/>
                <w:color w:val="000000" w:themeColor="text1"/>
                <w:sz w:val="24"/>
                <w:highlight w:val="none"/>
                <w:lang w:eastAsia="zh-CN"/>
                <w14:textFill>
                  <w14:solidFill>
                    <w14:schemeClr w14:val="tx1"/>
                  </w14:solidFill>
                </w14:textFill>
              </w:rPr>
              <w:t>并</w:t>
            </w:r>
            <w:r>
              <w:rPr>
                <w:rFonts w:hint="eastAsia"/>
                <w:color w:val="000000" w:themeColor="text1"/>
                <w:sz w:val="24"/>
                <w:highlight w:val="none"/>
                <w14:textFill>
                  <w14:solidFill>
                    <w14:schemeClr w14:val="tx1"/>
                  </w14:solidFill>
                </w14:textFill>
              </w:rPr>
              <w:t>置于同侧；</w:t>
            </w:r>
          </w:p>
          <w:p w14:paraId="50763F95">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②将同向的环向钢筋经调直后置于施焊系统的滚筒内部套管内，移动</w:t>
            </w:r>
            <w:r>
              <w:rPr>
                <w:rFonts w:hint="eastAsia"/>
                <w:color w:val="000000" w:themeColor="text1"/>
                <w:sz w:val="24"/>
                <w:highlight w:val="none"/>
                <w:lang w:eastAsia="zh-CN"/>
                <w14:textFill>
                  <w14:solidFill>
                    <w14:schemeClr w14:val="tx1"/>
                  </w14:solidFill>
                </w14:textFill>
              </w:rPr>
              <w:t>滚筒</w:t>
            </w:r>
            <w:r>
              <w:rPr>
                <w:rFonts w:hint="eastAsia"/>
                <w:color w:val="000000" w:themeColor="text1"/>
                <w:sz w:val="24"/>
                <w:highlight w:val="none"/>
                <w14:textFill>
                  <w14:solidFill>
                    <w14:schemeClr w14:val="tx1"/>
                  </w14:solidFill>
                </w14:textFill>
              </w:rPr>
              <w:t>至预定位置形成环形筋笼；</w:t>
            </w:r>
          </w:p>
          <w:p w14:paraId="183C6EFE">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③将已经下料的预应力筋两端置于端部固定盘上，打开施焊系统液压托架，将预应力筋笼置于环形筋笼内，并使端部</w:t>
            </w:r>
            <w:r>
              <w:rPr>
                <w:rFonts w:hint="eastAsia"/>
                <w:color w:val="000000" w:themeColor="text1"/>
                <w:sz w:val="24"/>
                <w:highlight w:val="none"/>
                <w:lang w:eastAsia="zh-CN"/>
                <w14:textFill>
                  <w14:solidFill>
                    <w14:schemeClr w14:val="tx1"/>
                  </w14:solidFill>
                </w14:textFill>
              </w:rPr>
              <w:t>与</w:t>
            </w:r>
            <w:r>
              <w:rPr>
                <w:rFonts w:hint="eastAsia"/>
                <w:color w:val="000000" w:themeColor="text1"/>
                <w:sz w:val="24"/>
                <w:highlight w:val="none"/>
                <w14:textFill>
                  <w14:solidFill>
                    <w14:schemeClr w14:val="tx1"/>
                  </w14:solidFill>
                </w14:textFill>
              </w:rPr>
              <w:t>初始焊接点定位；</w:t>
            </w:r>
          </w:p>
          <w:p w14:paraId="449F4EDB">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④固定预应力筋两端固定板，落下液压托架，收缩环形筋笼内径，启动多焊极钢筋滚筒开始旋转施焊，同时开启辅助定向滚筒进行旋转定位，拖车根据施焊进程向一端行驶，直至正向施焊完毕。</w:t>
            </w:r>
          </w:p>
          <w:p w14:paraId="6557B6FB">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反向施焊</w:t>
            </w:r>
          </w:p>
          <w:p w14:paraId="5B5C490D">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①重复正向施焊中②、③步；</w:t>
            </w:r>
          </w:p>
          <w:p w14:paraId="1454DE6E">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②拖车反向驶回初始位置，使环向筋与预应力筋端部初始焊接点定位好；</w:t>
            </w:r>
          </w:p>
          <w:p w14:paraId="2F60E55D">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③调整多焊极钢筋滚筒及辅助定向滚筒，反向旋转施焊及定位</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启动拖车，至反向</w:t>
            </w:r>
            <w:r>
              <w:rPr>
                <w:rFonts w:hint="eastAsia"/>
                <w:color w:val="000000" w:themeColor="text1"/>
                <w:sz w:val="24"/>
                <w:highlight w:val="none"/>
                <w:lang w:eastAsia="zh-CN"/>
                <w14:textFill>
                  <w14:solidFill>
                    <w14:schemeClr w14:val="tx1"/>
                  </w14:solidFill>
                </w14:textFill>
              </w:rPr>
              <w:t>钢</w:t>
            </w:r>
            <w:r>
              <w:rPr>
                <w:rFonts w:hint="eastAsia"/>
                <w:color w:val="000000" w:themeColor="text1"/>
                <w:sz w:val="24"/>
                <w:highlight w:val="none"/>
                <w14:textFill>
                  <w14:solidFill>
                    <w14:schemeClr w14:val="tx1"/>
                  </w14:solidFill>
                </w14:textFill>
              </w:rPr>
              <w:t>筋施焊完毕。</w:t>
            </w:r>
          </w:p>
          <w:p w14:paraId="05914782">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（3）焊接锚固筋、安装端部铁件、合模</w:t>
            </w:r>
          </w:p>
          <w:p w14:paraId="6FA80400">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在钢筋笼两端外侧套</w:t>
            </w:r>
            <w:r>
              <w:rPr>
                <w:rFonts w:hint="eastAsia"/>
                <w:color w:val="000000" w:themeColor="text1"/>
                <w:sz w:val="24"/>
                <w:highlight w:val="none"/>
                <w:lang w:eastAsia="zh-CN"/>
                <w14:textFill>
                  <w14:solidFill>
                    <w14:schemeClr w14:val="tx1"/>
                  </w14:solidFill>
                </w14:textFill>
              </w:rPr>
              <w:t>筒</w:t>
            </w:r>
            <w:r>
              <w:rPr>
                <w:rFonts w:hint="eastAsia"/>
                <w:color w:val="000000" w:themeColor="text1"/>
                <w:sz w:val="24"/>
                <w:highlight w:val="none"/>
                <w14:textFill>
                  <w14:solidFill>
                    <w14:schemeClr w14:val="tx1"/>
                  </w14:solidFill>
                </w14:textFill>
              </w:rPr>
              <w:t>长度范围内，加焊2-3</w:t>
            </w:r>
            <w:r>
              <w:rPr>
                <w:rFonts w:hint="eastAsia"/>
                <w:color w:val="000000" w:themeColor="text1"/>
                <w:sz w:val="24"/>
                <w:highlight w:val="none"/>
                <w:lang w:eastAsia="zh-CN"/>
                <w14:textFill>
                  <w14:solidFill>
                    <w14:schemeClr w14:val="tx1"/>
                  </w14:solidFill>
                </w14:textFill>
              </w:rPr>
              <w:t>根</w:t>
            </w:r>
            <w:r>
              <w:rPr>
                <w:rFonts w:hint="eastAsia"/>
                <w:color w:val="000000" w:themeColor="text1"/>
                <w:sz w:val="24"/>
                <w:highlight w:val="none"/>
                <w14:textFill>
                  <w14:solidFill>
                    <w14:schemeClr w14:val="tx1"/>
                  </w14:solidFill>
                </w14:textFill>
              </w:rPr>
              <w:t>环形钢筋以提高网状筋的端部锚固能力；预应力筋与端板连接应保证两端板锚固孔在同一直线上；合模时上下钢模端头应平直无错位，合模后对称拧紧螺栓，不得有遗漏、松动。</w:t>
            </w:r>
          </w:p>
          <w:p w14:paraId="75228197">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w:t>
            </w:r>
            <w:r>
              <w:rPr>
                <w:rFonts w:hint="eastAsia"/>
                <w:color w:val="000000" w:themeColor="text1"/>
                <w:sz w:val="24"/>
                <w:highlight w:val="none"/>
                <w14:textFill>
                  <w14:solidFill>
                    <w14:schemeClr w14:val="tx1"/>
                  </w14:solidFill>
                </w14:textFill>
              </w:rPr>
              <w:t>布料成型工序</w:t>
            </w:r>
          </w:p>
          <w:p w14:paraId="068AF2B2">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把一定量的混凝土通过输送管道，在规定时间内均匀</w:t>
            </w:r>
            <w:r>
              <w:rPr>
                <w:rFonts w:hint="eastAsia"/>
                <w:color w:val="000000" w:themeColor="text1"/>
                <w:sz w:val="24"/>
                <w:highlight w:val="none"/>
                <w:lang w:eastAsia="zh-CN"/>
                <w14:textFill>
                  <w14:solidFill>
                    <w14:schemeClr w14:val="tx1"/>
                  </w14:solidFill>
                </w14:textFill>
              </w:rPr>
              <w:t>地</w:t>
            </w:r>
            <w:r>
              <w:rPr>
                <w:rFonts w:hint="eastAsia"/>
                <w:color w:val="000000" w:themeColor="text1"/>
                <w:sz w:val="24"/>
                <w:highlight w:val="none"/>
                <w14:textFill>
                  <w14:solidFill>
                    <w14:schemeClr w14:val="tx1"/>
                  </w14:solidFill>
                </w14:textFill>
              </w:rPr>
              <w:t>输送到模具内，通过管桩泵泵送混凝土。模具在移动平车上可前后移动，泵管也可以伸出或收回。混凝土的布料情况则由称重设备通过称量模具的重量变化来控制平车或泵管的移动来达到均匀布料的目的。</w:t>
            </w:r>
          </w:p>
          <w:p w14:paraId="4E4B57A7">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管桩布料成型系统构成：管桩泵，计量平车，电控系统，输送管道。管桩布料系统布料过程：</w:t>
            </w:r>
          </w:p>
          <w:p w14:paraId="292A6817">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（1）管模就位，用行车吊机将管模吊到平车指定位置；</w:t>
            </w:r>
          </w:p>
          <w:p w14:paraId="272DFB9B">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（2）进入操作平台主界面选择管桩型号；</w:t>
            </w:r>
          </w:p>
          <w:p w14:paraId="39366CE7">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（3）启动操作平台上自动按钮，管模在平车驱动下向前运动，同时编码器开始计数，到一定位置后停止；</w:t>
            </w:r>
          </w:p>
          <w:p w14:paraId="596E7950">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（4）根据管桩的型号确定混凝土用量，启动自动泵送开始打料，随着管模内混凝土重量达到平车启动重量，平车开始后退，同时通过操作台主界面可以看到已泵</w:t>
            </w:r>
            <w:r>
              <w:rPr>
                <w:rFonts w:hint="eastAsia"/>
                <w:color w:val="000000" w:themeColor="text1"/>
                <w:sz w:val="24"/>
                <w:highlight w:val="none"/>
                <w:lang w:eastAsia="zh-CN"/>
                <w14:textFill>
                  <w14:solidFill>
                    <w14:schemeClr w14:val="tx1"/>
                  </w14:solidFill>
                </w14:textFill>
              </w:rPr>
              <w:t>送</w:t>
            </w:r>
            <w:r>
              <w:rPr>
                <w:rFonts w:hint="eastAsia"/>
                <w:color w:val="000000" w:themeColor="text1"/>
                <w:sz w:val="24"/>
                <w:highlight w:val="none"/>
                <w14:textFill>
                  <w14:solidFill>
                    <w14:schemeClr w14:val="tx1"/>
                  </w14:solidFill>
                </w14:textFill>
              </w:rPr>
              <w:t>混凝土重量和平车运行距离；</w:t>
            </w:r>
          </w:p>
          <w:p w14:paraId="20368280">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（5）当重量达到管桩需求量后，泵送停止，管泵退出模具，在端板安上阀门，混凝土浇筑完毕。</w:t>
            </w:r>
          </w:p>
          <w:p w14:paraId="41852321">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桩接头和钢筋笼在脱模区入模后，用行车将钢模吊至喂料段的平板小车上进行混凝土布料，布料应先布在中间部位，后布</w:t>
            </w:r>
            <w:r>
              <w:rPr>
                <w:rFonts w:hint="eastAsia"/>
                <w:color w:val="000000" w:themeColor="text1"/>
                <w:sz w:val="24"/>
                <w:highlight w:val="none"/>
                <w:lang w:eastAsia="zh-CN"/>
                <w14:textFill>
                  <w14:solidFill>
                    <w14:schemeClr w14:val="tx1"/>
                  </w14:solidFill>
                </w14:textFill>
              </w:rPr>
              <w:t>在</w:t>
            </w:r>
            <w:r>
              <w:rPr>
                <w:rFonts w:hint="eastAsia"/>
                <w:color w:val="000000" w:themeColor="text1"/>
                <w:sz w:val="24"/>
                <w:highlight w:val="none"/>
                <w14:textFill>
                  <w14:solidFill>
                    <w14:schemeClr w14:val="tx1"/>
                  </w14:solidFill>
                </w14:textFill>
              </w:rPr>
              <w:t>两端部位，保证两端有良好的和足够的混凝土。布料完毕后，用气动扳手合模，合模时需保证上、下桩模合缝干净，并加上防漏胶带，然后按照设计要求的张拉力，进行预应力施加，再用行车将带混凝土的桩模吊至离心工段进行离心成型。</w:t>
            </w:r>
          </w:p>
          <w:p w14:paraId="74987CE3">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4</w:t>
            </w:r>
            <w:r>
              <w:rPr>
                <w:rFonts w:hint="eastAsia"/>
                <w:color w:val="000000" w:themeColor="text1"/>
                <w:sz w:val="24"/>
                <w:highlight w:val="none"/>
                <w:lang w:val="en-US" w:eastAsia="zh-CN"/>
                <w14:textFill>
                  <w14:solidFill>
                    <w14:schemeClr w14:val="tx1"/>
                  </w14:solidFill>
                </w14:textFill>
              </w:rPr>
              <w:t>.</w:t>
            </w:r>
            <w:r>
              <w:rPr>
                <w:rFonts w:hint="eastAsia"/>
                <w:color w:val="000000" w:themeColor="text1"/>
                <w:sz w:val="24"/>
                <w:highlight w:val="none"/>
                <w14:textFill>
                  <w14:solidFill>
                    <w14:schemeClr w14:val="tx1"/>
                  </w14:solidFill>
                </w14:textFill>
              </w:rPr>
              <w:t>离心成型工序</w:t>
            </w:r>
          </w:p>
          <w:p w14:paraId="5DB5B5EC">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离心成型分为四阶段：低速、低中速、中速、高速。经过试验确定：混凝土浇筑后，以100转/min转3~5min，后加速到200~400转/min，转5~6min，后继续提速到600~800转/min</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转5~6min后逐渐减速并停止。离心成型的混凝土密实性好，空隙率小，弹性模量高，抗变形能力强，钢筋不易锈蚀，大大提高管桩的使用寿命。</w:t>
            </w:r>
          </w:p>
          <w:p w14:paraId="6D8AA12E">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5</w:t>
            </w:r>
            <w:r>
              <w:rPr>
                <w:rFonts w:hint="eastAsia"/>
                <w:color w:val="000000" w:themeColor="text1"/>
                <w:sz w:val="24"/>
                <w:highlight w:val="none"/>
                <w:lang w:val="en-US" w:eastAsia="zh-CN"/>
                <w14:textFill>
                  <w14:solidFill>
                    <w14:schemeClr w14:val="tx1"/>
                  </w14:solidFill>
                </w14:textFill>
              </w:rPr>
              <w:t>.</w:t>
            </w:r>
            <w:r>
              <w:rPr>
                <w:rFonts w:hint="eastAsia"/>
                <w:color w:val="000000" w:themeColor="text1"/>
                <w:sz w:val="24"/>
                <w:highlight w:val="none"/>
                <w14:textFill>
                  <w14:solidFill>
                    <w14:schemeClr w14:val="tx1"/>
                  </w14:solidFill>
                </w14:textFill>
              </w:rPr>
              <w:t>管桩养护工序</w:t>
            </w:r>
          </w:p>
          <w:p w14:paraId="56BB647C">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离心成型后立即排浆，然后吊入养护坑，按照蒸汽养护制度进行养护。管桩达到脱模强度后，用气动扳手进行预应力放张</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放张顺序应采用对称、相互交错的放张方法，以免在放张过程中产生过大的偏心压力，使桩发生翘曲、裂纹和预应力筋断筋等现象。</w:t>
            </w:r>
          </w:p>
          <w:p w14:paraId="2C88F5F5">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为使管桩混凝土强度等级达到C80以上，且缩短出厂时间，管桩脱模后即进入压蒸釜进行高压蒸汽养护。蒸汽外购，供汽压力为1.2MPa。</w:t>
            </w:r>
          </w:p>
          <w:p w14:paraId="4F8CFAC9">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成品按标准规定进行外观检查，并加盖商标、标志</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然后送至成品堆场，并按规定的要求堆放。</w:t>
            </w:r>
          </w:p>
          <w:p w14:paraId="329F3FBC">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（1）蒸汽养护</w:t>
            </w:r>
          </w:p>
          <w:p w14:paraId="7948EE3C">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初期养护常为普通蒸汽养护，分为四个过程：静停→升温→恒温→降温。升温和降温不宜过快，升温速度不宜大于25℃/h。为保证有足够的脱模强度，则恒温温度应该提高，一般为75℃～85℃</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而恒温时间应以保证脱模强度为依据，一般为3～4.5h，为提高脱模强度，恒温时间控制在3.5~4h。若适当提高恒温温度</w:t>
            </w:r>
            <w:r>
              <w:rPr>
                <w:rFonts w:hint="eastAsia"/>
                <w:color w:val="000000" w:themeColor="text1"/>
                <w:sz w:val="24"/>
                <w:highlight w:val="none"/>
                <w:lang w:eastAsia="zh-CN"/>
                <w14:textFill>
                  <w14:solidFill>
                    <w14:schemeClr w14:val="tx1"/>
                  </w14:solidFill>
                </w14:textFill>
              </w:rPr>
              <w:t>并</w:t>
            </w:r>
            <w:r>
              <w:rPr>
                <w:rFonts w:hint="eastAsia"/>
                <w:color w:val="000000" w:themeColor="text1"/>
                <w:sz w:val="24"/>
                <w:highlight w:val="none"/>
                <w14:textFill>
                  <w14:solidFill>
                    <w14:schemeClr w14:val="tx1"/>
                  </w14:solidFill>
                </w14:textFill>
              </w:rPr>
              <w:t>延长恒温时间，对提高混凝土的最终强度和改善内部结构是极其有利的。为减少由于降温过快引起的混凝土开裂，降温时间要求为3h。</w:t>
            </w:r>
          </w:p>
          <w:p w14:paraId="31532C3F">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（2）压蒸养护</w:t>
            </w:r>
          </w:p>
          <w:p w14:paraId="0F5D419E">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管桩脱模进入蒸压釜进行压蒸养护是PHC管桩常用的二次养护方法。压蒸养护3-7天，能明显提高混凝土的强度</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管桩经养护后至出厂前，还应有一段时间的静置期6-12h，以使混凝土强度增长到设计强度以上，并消除桩内残留的应力，保证桩的出厂质量。</w:t>
            </w:r>
          </w:p>
          <w:p w14:paraId="04575663">
            <w:pPr>
              <w:pStyle w:val="29"/>
              <w:keepNext w:val="0"/>
              <w:keepLines w:val="0"/>
              <w:pageBreakBefore w:val="0"/>
              <w:widowControl w:val="0"/>
              <w:kinsoku/>
              <w:wordWrap/>
              <w:overflowPunct/>
              <w:topLinePunct w:val="0"/>
              <w:autoSpaceDE/>
              <w:autoSpaceDN/>
              <w:bidi w:val="0"/>
              <w:adjustRightInd/>
              <w:snapToGrid w:val="0"/>
              <w:spacing w:after="0"/>
              <w:ind w:left="0" w:leftChars="0" w:firstLine="0" w:firstLineChars="0"/>
              <w:jc w:val="center"/>
              <w:textAlignment w:val="auto"/>
              <w:rPr>
                <w:color w:val="000000" w:themeColor="text1"/>
                <w:highlight w:val="none"/>
                <w14:textFill>
                  <w14:solidFill>
                    <w14:schemeClr w14:val="tx1"/>
                  </w14:solidFill>
                </w14:textFill>
              </w:rPr>
            </w:pPr>
            <w:r>
              <w:rPr>
                <w:highlight w:val="none"/>
              </w:rPr>
              <w:drawing>
                <wp:inline distT="0" distB="0" distL="0" distR="0">
                  <wp:extent cx="5158740" cy="2919095"/>
                  <wp:effectExtent l="0" t="0" r="3810" b="14605"/>
                  <wp:docPr id="871293238" name="图片 1" descr="E:/戴/杭锦旗管桩/工艺流程图.png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93238" name="图片 1" descr="E:/戴/杭锦旗管桩/工艺流程图.png工艺流程图"/>
                          <pic:cNvPicPr>
                            <a:picLocks noChangeAspect="1"/>
                          </pic:cNvPicPr>
                        </pic:nvPicPr>
                        <pic:blipFill>
                          <a:blip r:embed="rId13"/>
                          <a:srcRect l="555" r="555"/>
                          <a:stretch>
                            <a:fillRect/>
                          </a:stretch>
                        </pic:blipFill>
                        <pic:spPr>
                          <a:xfrm>
                            <a:off x="0" y="0"/>
                            <a:ext cx="5158740" cy="2919095"/>
                          </a:xfrm>
                          <a:prstGeom prst="rect">
                            <a:avLst/>
                          </a:prstGeom>
                        </pic:spPr>
                      </pic:pic>
                    </a:graphicData>
                  </a:graphic>
                </wp:inline>
              </w:drawing>
            </w:r>
          </w:p>
          <w:p w14:paraId="4152EFD1">
            <w:pPr>
              <w:bidi w:val="0"/>
              <w:jc w:val="center"/>
              <w:rPr>
                <w:rFonts w:hint="default"/>
                <w:b/>
                <w:bCs/>
                <w:sz w:val="24"/>
                <w:szCs w:val="24"/>
                <w:highlight w:val="none"/>
                <w:lang w:val="en-US" w:eastAsia="zh-CN"/>
              </w:rPr>
            </w:pPr>
            <w:r>
              <w:rPr>
                <w:rFonts w:hint="eastAsia"/>
                <w:b/>
                <w:bCs/>
                <w:sz w:val="24"/>
                <w:szCs w:val="24"/>
                <w:highlight w:val="none"/>
                <w:lang w:val="en-US" w:eastAsia="zh-CN"/>
              </w:rPr>
              <w:t>图2-2 工艺流程及产排污节点图</w:t>
            </w:r>
          </w:p>
          <w:p w14:paraId="673962E0">
            <w:pPr>
              <w:pStyle w:val="29"/>
              <w:spacing w:after="0" w:line="360" w:lineRule="auto"/>
              <w:ind w:left="0" w:leftChars="0"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工艺流程及产污环节简介如下</w:t>
            </w:r>
          </w:p>
          <w:p w14:paraId="3D26B2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highlight w:val="none"/>
              </w:rPr>
            </w:pPr>
            <w:r>
              <w:rPr>
                <w:rFonts w:hint="eastAsia"/>
                <w:sz w:val="24"/>
                <w:szCs w:val="24"/>
                <w:highlight w:val="none"/>
              </w:rPr>
              <w:t>（1）废气：项目运营期大气污染物主要有筒仓粉尘、搅拌粉尘、</w:t>
            </w:r>
            <w:r>
              <w:rPr>
                <w:rFonts w:hint="eastAsia"/>
                <w:sz w:val="24"/>
                <w:szCs w:val="24"/>
                <w:highlight w:val="none"/>
                <w:lang w:val="en-US" w:eastAsia="zh-CN"/>
              </w:rPr>
              <w:t>原料库</w:t>
            </w:r>
            <w:r>
              <w:rPr>
                <w:rFonts w:hint="eastAsia"/>
                <w:sz w:val="24"/>
                <w:szCs w:val="24"/>
                <w:highlight w:val="none"/>
              </w:rPr>
              <w:t>装卸扬尘以及运输车辆动力起尘</w:t>
            </w:r>
            <w:r>
              <w:rPr>
                <w:rFonts w:hint="eastAsia"/>
                <w:sz w:val="24"/>
                <w:szCs w:val="24"/>
                <w:highlight w:val="none"/>
                <w:lang w:eastAsia="zh-CN"/>
              </w:rPr>
              <w:t>、</w:t>
            </w:r>
            <w:r>
              <w:rPr>
                <w:rFonts w:hint="eastAsia"/>
                <w:sz w:val="24"/>
                <w:szCs w:val="24"/>
                <w:highlight w:val="none"/>
                <w:lang w:val="en-US" w:eastAsia="zh-CN"/>
              </w:rPr>
              <w:t>钢筋切割粉尘</w:t>
            </w:r>
            <w:r>
              <w:rPr>
                <w:rFonts w:hint="eastAsia"/>
                <w:sz w:val="24"/>
                <w:szCs w:val="24"/>
                <w:highlight w:val="none"/>
              </w:rPr>
              <w:t>。</w:t>
            </w:r>
            <w:r>
              <w:rPr>
                <w:rFonts w:hint="eastAsia"/>
                <w:sz w:val="24"/>
                <w:szCs w:val="24"/>
                <w:highlight w:val="none"/>
                <w:lang w:val="en-US" w:eastAsia="zh-CN"/>
              </w:rPr>
              <w:t>本项目焊接工艺采用电阻焊，无废气产生。</w:t>
            </w:r>
          </w:p>
          <w:p w14:paraId="71A8F6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highlight w:val="none"/>
              </w:rPr>
            </w:pPr>
            <w:r>
              <w:rPr>
                <w:sz w:val="24"/>
                <w:szCs w:val="24"/>
                <w:highlight w:val="none"/>
              </w:rPr>
              <w:t>（2）废水：</w:t>
            </w:r>
            <w:r>
              <w:rPr>
                <w:rFonts w:hint="eastAsia"/>
                <w:sz w:val="24"/>
                <w:szCs w:val="24"/>
                <w:highlight w:val="none"/>
              </w:rPr>
              <w:t>废水主要为</w:t>
            </w:r>
            <w:r>
              <w:rPr>
                <w:rFonts w:hint="eastAsia"/>
                <w:sz w:val="24"/>
                <w:szCs w:val="24"/>
                <w:highlight w:val="none"/>
                <w:lang w:val="en-US" w:eastAsia="zh-CN"/>
              </w:rPr>
              <w:t>离心成型废水、搅拌罐冲洗废水</w:t>
            </w:r>
            <w:r>
              <w:rPr>
                <w:rFonts w:hint="eastAsia"/>
                <w:sz w:val="24"/>
                <w:szCs w:val="24"/>
                <w:highlight w:val="none"/>
              </w:rPr>
              <w:t>和员工生活污水。</w:t>
            </w:r>
          </w:p>
          <w:p w14:paraId="0E10DD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highlight w:val="none"/>
              </w:rPr>
            </w:pPr>
            <w:r>
              <w:rPr>
                <w:sz w:val="24"/>
                <w:szCs w:val="24"/>
                <w:highlight w:val="none"/>
              </w:rPr>
              <w:t>（3）噪声：主要为</w:t>
            </w:r>
            <w:r>
              <w:rPr>
                <w:rFonts w:hint="eastAsia"/>
                <w:sz w:val="24"/>
                <w:szCs w:val="24"/>
                <w:highlight w:val="none"/>
              </w:rPr>
              <w:t>搅拌机、运输皮带、风机、空压机、运输车辆</w:t>
            </w:r>
            <w:r>
              <w:rPr>
                <w:sz w:val="24"/>
                <w:szCs w:val="24"/>
                <w:highlight w:val="none"/>
              </w:rPr>
              <w:t>等设备运行时产生的噪声，噪声源强约为75~95dB(A</w:t>
            </w:r>
            <w:r>
              <w:rPr>
                <w:rFonts w:hint="eastAsia"/>
                <w:sz w:val="24"/>
                <w:szCs w:val="24"/>
                <w:highlight w:val="none"/>
                <w:lang w:eastAsia="zh-CN"/>
              </w:rPr>
              <w:t>）</w:t>
            </w:r>
            <w:r>
              <w:rPr>
                <w:sz w:val="24"/>
                <w:szCs w:val="24"/>
                <w:highlight w:val="none"/>
              </w:rPr>
              <w:t>。</w:t>
            </w:r>
          </w:p>
          <w:p w14:paraId="2DDD4749">
            <w:pPr>
              <w:pStyle w:val="29"/>
              <w:spacing w:after="0" w:line="360" w:lineRule="auto"/>
              <w:ind w:left="0" w:leftChars="0" w:firstLine="480"/>
              <w:rPr>
                <w:color w:val="000000" w:themeColor="text1"/>
                <w:highlight w:val="none"/>
                <w14:textFill>
                  <w14:solidFill>
                    <w14:schemeClr w14:val="tx1"/>
                  </w14:solidFill>
                </w14:textFill>
              </w:rPr>
            </w:pPr>
            <w:r>
              <w:rPr>
                <w:sz w:val="24"/>
                <w:szCs w:val="24"/>
                <w:highlight w:val="none"/>
              </w:rPr>
              <w:t>（4）固废：项目固体废物主要</w:t>
            </w:r>
            <w:r>
              <w:rPr>
                <w:rFonts w:hint="eastAsia"/>
                <w:sz w:val="24"/>
                <w:szCs w:val="24"/>
                <w:highlight w:val="none"/>
                <w:lang w:eastAsia="zh-CN"/>
              </w:rPr>
              <w:t>包括</w:t>
            </w:r>
            <w:r>
              <w:rPr>
                <w:sz w:val="24"/>
                <w:szCs w:val="24"/>
                <w:highlight w:val="none"/>
              </w:rPr>
              <w:t>除尘灰、</w:t>
            </w:r>
            <w:r>
              <w:rPr>
                <w:rFonts w:hint="eastAsia"/>
                <w:sz w:val="24"/>
                <w:szCs w:val="24"/>
                <w:highlight w:val="none"/>
              </w:rPr>
              <w:t>不合格产品</w:t>
            </w:r>
            <w:r>
              <w:rPr>
                <w:rFonts w:hint="eastAsia"/>
                <w:sz w:val="24"/>
                <w:szCs w:val="24"/>
                <w:highlight w:val="none"/>
                <w:lang w:eastAsia="zh-CN"/>
              </w:rPr>
              <w:t>、</w:t>
            </w:r>
            <w:r>
              <w:rPr>
                <w:rFonts w:hint="eastAsia"/>
                <w:sz w:val="24"/>
                <w:szCs w:val="24"/>
                <w:highlight w:val="none"/>
                <w:lang w:val="en-US" w:eastAsia="zh-CN"/>
              </w:rPr>
              <w:t>切割金属渣</w:t>
            </w:r>
            <w:r>
              <w:rPr>
                <w:sz w:val="24"/>
                <w:szCs w:val="24"/>
                <w:highlight w:val="none"/>
              </w:rPr>
              <w:t>及生活垃圾。</w:t>
            </w:r>
          </w:p>
        </w:tc>
      </w:tr>
      <w:tr w14:paraId="7252CF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9" w:type="dxa"/>
            <w:vAlign w:val="center"/>
          </w:tcPr>
          <w:p w14:paraId="661DFBDE">
            <w:pPr>
              <w:pStyle w:val="26"/>
              <w:adjustRightInd w:val="0"/>
              <w:snapToGrid w:val="0"/>
              <w:spacing w:before="0" w:beforeAutospacing="0" w:after="0" w:afterAutospacing="0"/>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bCs/>
                <w:color w:val="000000" w:themeColor="text1"/>
                <w:kern w:val="2"/>
                <w:szCs w:val="24"/>
                <w:highlight w:val="none"/>
                <w14:textFill>
                  <w14:solidFill>
                    <w14:schemeClr w14:val="tx1"/>
                  </w14:solidFill>
                </w14:textFill>
              </w:rPr>
              <w:t>与项目有关的原有环境污染问题</w:t>
            </w:r>
          </w:p>
        </w:tc>
        <w:tc>
          <w:tcPr>
            <w:tcW w:w="8301" w:type="dxa"/>
          </w:tcPr>
          <w:p w14:paraId="5D53C8FF">
            <w:pPr>
              <w:adjustRightInd w:val="0"/>
              <w:snapToGrid w:val="0"/>
              <w:spacing w:line="360" w:lineRule="auto"/>
              <w:ind w:firstLine="480" w:firstLineChars="200"/>
              <w:rPr>
                <w:highlight w:val="none"/>
              </w:rPr>
            </w:pPr>
            <w:r>
              <w:rPr>
                <w:rFonts w:hint="eastAsia"/>
                <w:color w:val="auto"/>
                <w:sz w:val="24"/>
                <w:highlight w:val="none"/>
              </w:rPr>
              <w:t>本项目选址位于</w:t>
            </w:r>
            <w:r>
              <w:rPr>
                <w:color w:val="000000" w:themeColor="text1"/>
                <w:kern w:val="0"/>
                <w:sz w:val="24"/>
                <w:highlight w:val="none"/>
                <w14:textFill>
                  <w14:solidFill>
                    <w14:schemeClr w14:val="tx1"/>
                  </w14:solidFill>
                </w14:textFill>
              </w:rPr>
              <w:t>内蒙古</w:t>
            </w:r>
            <w:r>
              <w:rPr>
                <w:rFonts w:hint="eastAsia"/>
                <w:color w:val="000000" w:themeColor="text1"/>
                <w:kern w:val="0"/>
                <w:sz w:val="24"/>
                <w:highlight w:val="none"/>
                <w:lang w:val="en-US" w:eastAsia="zh-CN"/>
                <w14:textFill>
                  <w14:solidFill>
                    <w14:schemeClr w14:val="tx1"/>
                  </w14:solidFill>
                </w14:textFill>
              </w:rPr>
              <w:t>自治区</w:t>
            </w:r>
            <w:r>
              <w:rPr>
                <w:color w:val="000000" w:themeColor="text1"/>
                <w:kern w:val="0"/>
                <w:sz w:val="24"/>
                <w:highlight w:val="none"/>
                <w14:textFill>
                  <w14:solidFill>
                    <w14:schemeClr w14:val="tx1"/>
                  </w14:solidFill>
                </w14:textFill>
              </w:rPr>
              <w:t>鄂尔多斯</w:t>
            </w:r>
            <w:r>
              <w:rPr>
                <w:rFonts w:hint="eastAsia"/>
                <w:color w:val="000000" w:themeColor="text1"/>
                <w:kern w:val="0"/>
                <w:sz w:val="24"/>
                <w:highlight w:val="none"/>
                <w:lang w:val="en-US" w:eastAsia="zh-CN"/>
                <w14:textFill>
                  <w14:solidFill>
                    <w14:schemeClr w14:val="tx1"/>
                  </w14:solidFill>
                </w14:textFill>
              </w:rPr>
              <w:t>市</w:t>
            </w:r>
            <w:r>
              <w:rPr>
                <w:color w:val="000000" w:themeColor="text1"/>
                <w:kern w:val="0"/>
                <w:sz w:val="24"/>
                <w:highlight w:val="none"/>
                <w14:textFill>
                  <w14:solidFill>
                    <w14:schemeClr w14:val="tx1"/>
                  </w14:solidFill>
                </w14:textFill>
              </w:rPr>
              <w:t>杭锦</w:t>
            </w:r>
            <w:r>
              <w:rPr>
                <w:rFonts w:hint="eastAsia"/>
                <w:color w:val="000000" w:themeColor="text1"/>
                <w:kern w:val="0"/>
                <w:sz w:val="24"/>
                <w:highlight w:val="none"/>
                <w:lang w:val="en-US" w:eastAsia="zh-CN"/>
                <w14:textFill>
                  <w14:solidFill>
                    <w14:schemeClr w14:val="tx1"/>
                  </w14:solidFill>
                </w14:textFill>
              </w:rPr>
              <w:t>旗</w:t>
            </w:r>
            <w:r>
              <w:rPr>
                <w:rFonts w:hint="eastAsia"/>
                <w:color w:val="000000" w:themeColor="text1"/>
                <w:sz w:val="24"/>
                <w:highlight w:val="none"/>
                <w14:textFill>
                  <w14:solidFill>
                    <w14:schemeClr w14:val="tx1"/>
                  </w14:solidFill>
                </w14:textFill>
              </w:rPr>
              <w:t>鄂尔多斯市同圆库布其生态工业治沙股份有限公司</w:t>
            </w:r>
            <w:r>
              <w:rPr>
                <w:rFonts w:hint="eastAsia"/>
                <w:color w:val="000000" w:themeColor="text1"/>
                <w:sz w:val="24"/>
                <w:highlight w:val="none"/>
                <w:lang w:val="en-US" w:eastAsia="zh-CN"/>
                <w14:textFill>
                  <w14:solidFill>
                    <w14:schemeClr w14:val="tx1"/>
                  </w14:solidFill>
                </w14:textFill>
              </w:rPr>
              <w:t>内</w:t>
            </w:r>
            <w:r>
              <w:rPr>
                <w:rFonts w:hint="eastAsia"/>
                <w:color w:val="000000" w:themeColor="text1"/>
                <w:sz w:val="24"/>
                <w:highlight w:val="none"/>
                <w14:textFill>
                  <w14:solidFill>
                    <w14:schemeClr w14:val="tx1"/>
                  </w14:solidFill>
                </w14:textFill>
              </w:rPr>
              <w:t>现有</w:t>
            </w:r>
            <w:r>
              <w:rPr>
                <w:rFonts w:hint="eastAsia"/>
                <w:color w:val="000000" w:themeColor="text1"/>
                <w:sz w:val="24"/>
                <w:highlight w:val="none"/>
                <w:lang w:val="en-US" w:eastAsia="zh-CN"/>
                <w14:textFill>
                  <w14:solidFill>
                    <w14:schemeClr w14:val="tx1"/>
                  </w14:solidFill>
                </w14:textFill>
              </w:rPr>
              <w:t>空地</w:t>
            </w:r>
            <w:r>
              <w:rPr>
                <w:rFonts w:hint="eastAsia"/>
                <w:color w:val="000000" w:themeColor="text1"/>
                <w:sz w:val="24"/>
                <w:highlight w:val="none"/>
                <w14:textFill>
                  <w14:solidFill>
                    <w14:schemeClr w14:val="tx1"/>
                  </w14:solidFill>
                </w14:textFill>
              </w:rPr>
              <w:t>，空地未进行过其他工业生产，不存在原有环境污染问题。</w:t>
            </w:r>
          </w:p>
        </w:tc>
      </w:tr>
    </w:tbl>
    <w:p w14:paraId="054C7104">
      <w:pPr>
        <w:pStyle w:val="26"/>
        <w:jc w:val="center"/>
        <w:rPr>
          <w:rFonts w:hint="eastAsia" w:ascii="黑体" w:hAnsi="黑体" w:eastAsia="黑体"/>
          <w:snapToGrid w:val="0"/>
          <w:color w:val="000000" w:themeColor="text1"/>
          <w:sz w:val="36"/>
          <w:szCs w:val="36"/>
          <w:highlight w:val="none"/>
          <w14:textFill>
            <w14:solidFill>
              <w14:schemeClr w14:val="tx1"/>
            </w14:solidFill>
          </w14:textFill>
        </w:rPr>
        <w:sectPr>
          <w:pgSz w:w="11906" w:h="16838"/>
          <w:pgMar w:top="1701" w:right="1531" w:bottom="1701" w:left="1531" w:header="851" w:footer="851" w:gutter="0"/>
          <w:cols w:space="720" w:num="1"/>
          <w:docGrid w:linePitch="312" w:charSpace="0"/>
        </w:sectPr>
      </w:pPr>
    </w:p>
    <w:p w14:paraId="15D084B4">
      <w:pPr>
        <w:pStyle w:val="26"/>
        <w:jc w:val="center"/>
        <w:outlineLvl w:val="0"/>
        <w:rPr>
          <w:rFonts w:hint="eastAsia"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三、区域环境质量现状、环境保护目标及评价标准</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5570C8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7" w:hRule="atLeast"/>
          <w:jc w:val="center"/>
        </w:trPr>
        <w:tc>
          <w:tcPr>
            <w:tcW w:w="800" w:type="dxa"/>
            <w:vAlign w:val="center"/>
          </w:tcPr>
          <w:p w14:paraId="2D0A1B1C">
            <w:pPr>
              <w:adjustRightInd w:val="0"/>
              <w:snapToGrid w:val="0"/>
              <w:spacing w:line="360" w:lineRule="auto"/>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区域环境质量现状</w:t>
            </w:r>
          </w:p>
        </w:tc>
        <w:tc>
          <w:tcPr>
            <w:tcW w:w="8190" w:type="dxa"/>
            <w:vAlign w:val="center"/>
          </w:tcPr>
          <w:p w14:paraId="77BEC641">
            <w:pPr>
              <w:tabs>
                <w:tab w:val="left" w:pos="0"/>
              </w:tabs>
              <w:spacing w:line="360" w:lineRule="auto"/>
              <w:rPr>
                <w:b/>
                <w:bCs/>
                <w:color w:val="000000" w:themeColor="text1"/>
                <w:sz w:val="24"/>
                <w:highlight w:val="none"/>
                <w14:textFill>
                  <w14:solidFill>
                    <w14:schemeClr w14:val="tx1"/>
                  </w14:solidFill>
                </w14:textFill>
              </w:rPr>
            </w:pPr>
            <w:bookmarkStart w:id="3" w:name="_Toc23826812"/>
            <w:bookmarkStart w:id="4" w:name="_Toc23745569"/>
            <w:r>
              <w:rPr>
                <w:b/>
                <w:bCs/>
                <w:color w:val="000000" w:themeColor="text1"/>
                <w:sz w:val="24"/>
                <w:highlight w:val="none"/>
                <w14:textFill>
                  <w14:solidFill>
                    <w14:schemeClr w14:val="tx1"/>
                  </w14:solidFill>
                </w14:textFill>
              </w:rPr>
              <w:t>1</w:t>
            </w:r>
            <w:r>
              <w:rPr>
                <w:rFonts w:hint="eastAsia"/>
                <w:b/>
                <w:bCs/>
                <w:color w:val="000000" w:themeColor="text1"/>
                <w:sz w:val="24"/>
                <w:highlight w:val="none"/>
                <w:lang w:eastAsia="zh-CN"/>
                <w14:textFill>
                  <w14:solidFill>
                    <w14:schemeClr w14:val="tx1"/>
                  </w14:solidFill>
                </w14:textFill>
              </w:rPr>
              <w:t>.</w:t>
            </w:r>
            <w:r>
              <w:rPr>
                <w:b/>
                <w:bCs/>
                <w:color w:val="000000" w:themeColor="text1"/>
                <w:sz w:val="24"/>
                <w:highlight w:val="none"/>
                <w14:textFill>
                  <w14:solidFill>
                    <w14:schemeClr w14:val="tx1"/>
                  </w14:solidFill>
                </w14:textFill>
              </w:rPr>
              <w:t>大气环境</w:t>
            </w:r>
          </w:p>
          <w:p w14:paraId="15D978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基本污染物</w:t>
            </w:r>
          </w:p>
          <w:p w14:paraId="3158F0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本次评价设定的评价基准年为202</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年，根据内蒙古自治区生态环境厅于202</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年6月发布的《202</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年内蒙古自治区生态环境状况公告》</w:t>
            </w:r>
            <w:r>
              <w:rPr>
                <w:rFonts w:hint="default" w:ascii="Times New Roman" w:hAnsi="Times New Roman" w:cs="Times New Roman"/>
                <w:color w:val="auto"/>
                <w:sz w:val="24"/>
                <w:szCs w:val="24"/>
                <w:highlight w:val="none"/>
                <w:lang w:eastAsia="zh-CN"/>
              </w:rPr>
              <w:t>，2023年全区城市环境空气各项污染物年均浓度均达标。各盟市中除乌海市可吸入颗粒物不达标外</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其他盟市其他各项污染物均达标。</w:t>
            </w:r>
          </w:p>
          <w:p w14:paraId="531967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highlight w:val="none"/>
                <w:lang w:val="zh-CN"/>
                <w14:textFill>
                  <w14:solidFill>
                    <w14:schemeClr w14:val="tx1"/>
                  </w14:solidFill>
                </w14:textFill>
              </w:rPr>
            </w:pPr>
            <w:r>
              <w:rPr>
                <w:rFonts w:hint="default" w:ascii="Times New Roman" w:hAnsi="Times New Roman" w:cs="Times New Roman"/>
                <w:color w:val="auto"/>
                <w:sz w:val="24"/>
                <w:szCs w:val="24"/>
                <w:highlight w:val="none"/>
                <w:lang w:val="zh-CN"/>
              </w:rPr>
              <w:t>从</w:t>
            </w:r>
            <w:r>
              <w:rPr>
                <w:rFonts w:hint="default" w:ascii="Times New Roman" w:hAnsi="Times New Roman" w:cs="Times New Roman"/>
                <w:color w:val="auto"/>
                <w:sz w:val="24"/>
                <w:szCs w:val="24"/>
                <w:highlight w:val="none"/>
                <w:lang w:val="en-US" w:eastAsia="zh-CN"/>
              </w:rPr>
              <w:t>内蒙古自治区</w:t>
            </w:r>
            <w:r>
              <w:rPr>
                <w:rFonts w:hint="default" w:ascii="Times New Roman" w:hAnsi="Times New Roman" w:cs="Times New Roman"/>
                <w:color w:val="auto"/>
                <w:sz w:val="24"/>
                <w:szCs w:val="24"/>
                <w:highlight w:val="none"/>
              </w:rPr>
              <w:t>202</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zh-CN"/>
              </w:rPr>
              <w:t>基本污染物区域空气质量现状可知，各污染物年平均浓度均低于《环境空气质量标准》（GB3095-2012）及其修改单二级标准浓度限值要求，</w:t>
            </w:r>
            <w:r>
              <w:rPr>
                <w:rFonts w:hint="default" w:ascii="Times New Roman" w:hAnsi="Times New Roman" w:cs="Times New Roman"/>
                <w:color w:val="auto"/>
                <w:sz w:val="24"/>
                <w:szCs w:val="24"/>
                <w:highlight w:val="none"/>
                <w:lang w:val="en-US" w:eastAsia="zh-CN"/>
              </w:rPr>
              <w:t>本项目位于鄂尔多斯市</w:t>
            </w:r>
            <w:r>
              <w:rPr>
                <w:rFonts w:hint="eastAsia" w:cs="Times New Roman"/>
                <w:color w:val="auto"/>
                <w:sz w:val="24"/>
                <w:szCs w:val="24"/>
                <w:highlight w:val="none"/>
                <w:lang w:val="en-US" w:eastAsia="zh-CN"/>
              </w:rPr>
              <w:t>杭锦旗</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zh-CN"/>
              </w:rPr>
              <w:t>项目所在区域为达标区。</w:t>
            </w:r>
          </w:p>
          <w:p w14:paraId="109525A4">
            <w:pPr>
              <w:pStyle w:val="86"/>
              <w:keepNext w:val="0"/>
              <w:keepLines w:val="0"/>
              <w:pageBreakBefore w:val="0"/>
              <w:widowControl w:val="0"/>
              <w:kinsoku/>
              <w:wordWrap/>
              <w:overflowPunct/>
              <w:topLinePunct w:val="0"/>
              <w:autoSpaceDE/>
              <w:autoSpaceDN/>
              <w:bidi w:val="0"/>
              <w:adjustRightInd w:val="0"/>
              <w:snapToGrid w:val="0"/>
              <w:spacing w:before="0" w:after="0" w:line="360" w:lineRule="auto"/>
              <w:ind w:firstLine="480" w:firstLineChars="200"/>
              <w:jc w:val="both"/>
              <w:textAlignment w:val="auto"/>
              <w:outlineLvl w:val="9"/>
              <w:rPr>
                <w:rFonts w:hint="default" w:ascii="Times New Roman" w:hAnsi="Times New Roman" w:cs="Times New Roman"/>
                <w:b w:val="0"/>
                <w:bCs w:val="0"/>
                <w:color w:val="000000" w:themeColor="text1"/>
                <w:sz w:val="24"/>
                <w:szCs w:val="24"/>
                <w:highlight w:val="none"/>
                <w:lang w:val="en-US"/>
                <w14:textFill>
                  <w14:solidFill>
                    <w14:schemeClr w14:val="tx1"/>
                  </w14:solidFill>
                </w14:textFill>
              </w:rPr>
            </w:pPr>
            <w:r>
              <w:rPr>
                <w:rFonts w:hint="default" w:ascii="Times New Roman" w:hAnsi="Times New Roman" w:cs="Times New Roman"/>
                <w:b w:val="0"/>
                <w:bCs w:val="0"/>
                <w:color w:val="000000" w:themeColor="text1"/>
                <w:sz w:val="24"/>
                <w:szCs w:val="24"/>
                <w:highlight w:val="none"/>
                <w14:textFill>
                  <w14:solidFill>
                    <w14:schemeClr w14:val="tx1"/>
                  </w14:solidFill>
                </w14:textFill>
              </w:rPr>
              <w:t>（</w:t>
            </w:r>
            <w:r>
              <w:rPr>
                <w:rFonts w:hint="default" w:ascii="Times New Roman" w:hAnsi="Times New Roman" w:cs="Times New Roman"/>
                <w:b w:val="0"/>
                <w:bCs w:val="0"/>
                <w:color w:val="000000" w:themeColor="text1"/>
                <w:sz w:val="24"/>
                <w:szCs w:val="24"/>
                <w:highlight w:val="none"/>
                <w:lang w:val="en-US"/>
                <w14:textFill>
                  <w14:solidFill>
                    <w14:schemeClr w14:val="tx1"/>
                  </w14:solidFill>
                </w14:textFill>
              </w:rPr>
              <w:t>2</w:t>
            </w:r>
            <w:r>
              <w:rPr>
                <w:rFonts w:hint="default" w:ascii="Times New Roman" w:hAnsi="Times New Roman" w:cs="Times New Roman"/>
                <w:b w:val="0"/>
                <w:bCs w:val="0"/>
                <w:color w:val="000000" w:themeColor="text1"/>
                <w:sz w:val="24"/>
                <w:szCs w:val="24"/>
                <w:highlight w:val="none"/>
                <w14:textFill>
                  <w14:solidFill>
                    <w14:schemeClr w14:val="tx1"/>
                  </w14:solidFill>
                </w14:textFill>
              </w:rPr>
              <w:t>）</w:t>
            </w:r>
            <w:r>
              <w:rPr>
                <w:rFonts w:hint="default" w:ascii="Times New Roman" w:hAnsi="Times New Roman" w:cs="Times New Roman"/>
                <w:b w:val="0"/>
                <w:bCs w:val="0"/>
                <w:color w:val="000000" w:themeColor="text1"/>
                <w:sz w:val="24"/>
                <w:szCs w:val="24"/>
                <w:highlight w:val="none"/>
                <w:lang w:val="en-US"/>
                <w14:textFill>
                  <w14:solidFill>
                    <w14:schemeClr w14:val="tx1"/>
                  </w14:solidFill>
                </w14:textFill>
              </w:rPr>
              <w:t>其</w:t>
            </w:r>
            <w:r>
              <w:rPr>
                <w:rFonts w:hint="eastAsia" w:cs="Times New Roman"/>
                <w:b w:val="0"/>
                <w:bCs w:val="0"/>
                <w:color w:val="000000" w:themeColor="text1"/>
                <w:sz w:val="24"/>
                <w:szCs w:val="24"/>
                <w:highlight w:val="none"/>
                <w:lang w:val="en-US" w:eastAsia="zh-CN"/>
                <w14:textFill>
                  <w14:solidFill>
                    <w14:schemeClr w14:val="tx1"/>
                  </w14:solidFill>
                </w14:textFill>
              </w:rPr>
              <w:t>他</w:t>
            </w:r>
            <w:r>
              <w:rPr>
                <w:rFonts w:hint="default" w:ascii="Times New Roman" w:hAnsi="Times New Roman" w:cs="Times New Roman"/>
                <w:b w:val="0"/>
                <w:bCs w:val="0"/>
                <w:color w:val="000000" w:themeColor="text1"/>
                <w:sz w:val="24"/>
                <w:szCs w:val="24"/>
                <w:highlight w:val="none"/>
                <w:lang w:val="en-US"/>
                <w14:textFill>
                  <w14:solidFill>
                    <w14:schemeClr w14:val="tx1"/>
                  </w14:solidFill>
                </w14:textFill>
              </w:rPr>
              <w:t>污染物</w:t>
            </w:r>
          </w:p>
          <w:p w14:paraId="44D1CC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本项目排放的其他污染物为T</w:t>
            </w:r>
            <w:r>
              <w:rPr>
                <w:color w:val="000000" w:themeColor="text1"/>
                <w:sz w:val="24"/>
                <w:highlight w:val="none"/>
                <w14:textFill>
                  <w14:solidFill>
                    <w14:schemeClr w14:val="tx1"/>
                  </w14:solidFill>
                </w14:textFill>
              </w:rPr>
              <w:t>SP</w:t>
            </w:r>
            <w:r>
              <w:rPr>
                <w:rFonts w:hint="eastAsia"/>
                <w:color w:val="000000" w:themeColor="text1"/>
                <w:sz w:val="24"/>
                <w:highlight w:val="none"/>
                <w14:textFill>
                  <w14:solidFill>
                    <w14:schemeClr w14:val="tx1"/>
                  </w14:solidFill>
                </w14:textFill>
              </w:rPr>
              <w:t>，</w:t>
            </w:r>
            <w:r>
              <w:rPr>
                <w:rFonts w:hint="eastAsia"/>
                <w:color w:val="000000" w:themeColor="text1"/>
                <w:kern w:val="0"/>
                <w:sz w:val="24"/>
                <w:highlight w:val="none"/>
                <w14:textFill>
                  <w14:solidFill>
                    <w14:schemeClr w14:val="tx1"/>
                  </w14:solidFill>
                </w14:textFill>
              </w:rPr>
              <w:t>TSP</w:t>
            </w:r>
            <w:r>
              <w:rPr>
                <w:color w:val="000000" w:themeColor="text1"/>
                <w:kern w:val="0"/>
                <w:sz w:val="24"/>
                <w:highlight w:val="none"/>
                <w14:textFill>
                  <w14:solidFill>
                    <w14:schemeClr w14:val="tx1"/>
                  </w14:solidFill>
                </w14:textFill>
              </w:rPr>
              <w:t>监测由</w:t>
            </w:r>
            <w:r>
              <w:rPr>
                <w:rFonts w:hint="eastAsia"/>
                <w:bCs/>
                <w:color w:val="000000" w:themeColor="text1"/>
                <w:sz w:val="24"/>
                <w:highlight w:val="none"/>
                <w14:textFill>
                  <w14:solidFill>
                    <w14:schemeClr w14:val="tx1"/>
                  </w14:solidFill>
                </w14:textFill>
              </w:rPr>
              <w:t>内蒙古皓天环境检测有限责任公司</w:t>
            </w:r>
            <w:r>
              <w:rPr>
                <w:bCs/>
                <w:color w:val="000000" w:themeColor="text1"/>
                <w:kern w:val="0"/>
                <w:sz w:val="24"/>
                <w:highlight w:val="none"/>
                <w14:textFill>
                  <w14:solidFill>
                    <w14:schemeClr w14:val="tx1"/>
                  </w14:solidFill>
                </w14:textFill>
              </w:rPr>
              <w:t>于202</w:t>
            </w:r>
            <w:r>
              <w:rPr>
                <w:rFonts w:hint="eastAsia"/>
                <w:bCs/>
                <w:color w:val="000000" w:themeColor="text1"/>
                <w:kern w:val="0"/>
                <w:sz w:val="24"/>
                <w:highlight w:val="none"/>
                <w14:textFill>
                  <w14:solidFill>
                    <w14:schemeClr w14:val="tx1"/>
                  </w14:solidFill>
                </w14:textFill>
              </w:rPr>
              <w:t>4</w:t>
            </w:r>
            <w:r>
              <w:rPr>
                <w:rFonts w:hint="eastAsia"/>
                <w:bCs/>
                <w:color w:val="000000" w:themeColor="text1"/>
                <w:sz w:val="24"/>
                <w:highlight w:val="none"/>
                <w14:textFill>
                  <w14:solidFill>
                    <w14:schemeClr w14:val="tx1"/>
                  </w14:solidFill>
                </w14:textFill>
              </w:rPr>
              <w:t>年7月19日至</w:t>
            </w:r>
            <w:r>
              <w:rPr>
                <w:bCs/>
                <w:color w:val="000000" w:themeColor="text1"/>
                <w:sz w:val="24"/>
                <w:highlight w:val="none"/>
                <w14:textFill>
                  <w14:solidFill>
                    <w14:schemeClr w14:val="tx1"/>
                  </w14:solidFill>
                </w14:textFill>
              </w:rPr>
              <w:t>202</w:t>
            </w:r>
            <w:r>
              <w:rPr>
                <w:rFonts w:hint="eastAsia"/>
                <w:bCs/>
                <w:color w:val="000000" w:themeColor="text1"/>
                <w:sz w:val="24"/>
                <w:highlight w:val="none"/>
                <w14:textFill>
                  <w14:solidFill>
                    <w14:schemeClr w14:val="tx1"/>
                  </w14:solidFill>
                </w14:textFill>
              </w:rPr>
              <w:t>4年7月21日</w:t>
            </w:r>
            <w:r>
              <w:rPr>
                <w:bCs/>
                <w:color w:val="000000" w:themeColor="text1"/>
                <w:kern w:val="0"/>
                <w:sz w:val="24"/>
                <w:highlight w:val="none"/>
                <w14:textFill>
                  <w14:solidFill>
                    <w14:schemeClr w14:val="tx1"/>
                  </w14:solidFill>
                </w14:textFill>
              </w:rPr>
              <w:t>进行监测</w:t>
            </w:r>
            <w:r>
              <w:rPr>
                <w:rFonts w:hint="eastAsia"/>
                <w:bCs/>
                <w:color w:val="000000" w:themeColor="text1"/>
                <w:kern w:val="0"/>
                <w:sz w:val="24"/>
                <w:highlight w:val="none"/>
                <w14:textFill>
                  <w14:solidFill>
                    <w14:schemeClr w14:val="tx1"/>
                  </w14:solidFill>
                </w14:textFill>
              </w:rPr>
              <w:t>，检测点位于本项目厂址范围内</w:t>
            </w:r>
            <w:r>
              <w:rPr>
                <w:color w:val="000000" w:themeColor="text1"/>
                <w:kern w:val="0"/>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监测点位情况见表3-</w:t>
            </w:r>
            <w:r>
              <w:rPr>
                <w:rFonts w:hint="eastAsia"/>
                <w:color w:val="000000" w:themeColor="text1"/>
                <w:sz w:val="24"/>
                <w:highlight w:val="none"/>
                <w:lang w:val="en-US" w:eastAsia="zh-CN"/>
                <w14:textFill>
                  <w14:solidFill>
                    <w14:schemeClr w14:val="tx1"/>
                  </w14:solidFill>
                </w14:textFill>
              </w:rPr>
              <w:t>1</w:t>
            </w:r>
            <w:r>
              <w:rPr>
                <w:rFonts w:hint="eastAsia"/>
                <w:color w:val="000000" w:themeColor="text1"/>
                <w:sz w:val="24"/>
                <w:highlight w:val="none"/>
                <w14:textFill>
                  <w14:solidFill>
                    <w14:schemeClr w14:val="tx1"/>
                  </w14:solidFill>
                </w14:textFill>
              </w:rPr>
              <w:t>，</w:t>
            </w:r>
            <w:r>
              <w:rPr>
                <w:color w:val="000000" w:themeColor="text1"/>
                <w:kern w:val="0"/>
                <w:sz w:val="24"/>
                <w:highlight w:val="none"/>
                <w14:textFill>
                  <w14:solidFill>
                    <w14:schemeClr w14:val="tx1"/>
                  </w14:solidFill>
                </w14:textFill>
              </w:rPr>
              <w:t>监测结果见表3-</w:t>
            </w:r>
            <w:r>
              <w:rPr>
                <w:rFonts w:hint="eastAsia"/>
                <w:color w:val="000000" w:themeColor="text1"/>
                <w:kern w:val="0"/>
                <w:sz w:val="24"/>
                <w:highlight w:val="none"/>
                <w:lang w:val="en-US" w:eastAsia="zh-CN"/>
                <w14:textFill>
                  <w14:solidFill>
                    <w14:schemeClr w14:val="tx1"/>
                  </w14:solidFill>
                </w14:textFill>
              </w:rPr>
              <w:t>2</w:t>
            </w:r>
            <w:r>
              <w:rPr>
                <w:color w:val="000000" w:themeColor="text1"/>
                <w:kern w:val="0"/>
                <w:sz w:val="24"/>
                <w:highlight w:val="none"/>
                <w14:textFill>
                  <w14:solidFill>
                    <w14:schemeClr w14:val="tx1"/>
                  </w14:solidFill>
                </w14:textFill>
              </w:rPr>
              <w:t>。</w:t>
            </w:r>
          </w:p>
          <w:p w14:paraId="3F93FFF8">
            <w:pPr>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表 3-</w:t>
            </w:r>
            <w:r>
              <w:rPr>
                <w:rFonts w:hint="eastAsia"/>
                <w:b/>
                <w:bCs/>
                <w:color w:val="000000" w:themeColor="text1"/>
                <w:highlight w:val="none"/>
                <w:lang w:val="en-US" w:eastAsia="zh-CN"/>
                <w14:textFill>
                  <w14:solidFill>
                    <w14:schemeClr w14:val="tx1"/>
                  </w14:solidFill>
                </w14:textFill>
              </w:rPr>
              <w:t xml:space="preserve">1  </w:t>
            </w:r>
            <w:r>
              <w:rPr>
                <w:rFonts w:hint="eastAsia"/>
                <w:b/>
                <w:bCs/>
                <w:color w:val="000000" w:themeColor="text1"/>
                <w:highlight w:val="none"/>
                <w14:textFill>
                  <w14:solidFill>
                    <w14:schemeClr w14:val="tx1"/>
                  </w14:solidFill>
                </w14:textFill>
              </w:rPr>
              <w:t>环境空气质量现状</w:t>
            </w:r>
            <w:r>
              <w:rPr>
                <w:rFonts w:hint="eastAsia"/>
                <w:b/>
                <w:bCs/>
                <w:color w:val="000000" w:themeColor="text1"/>
                <w:highlight w:val="none"/>
                <w:lang w:eastAsia="zh-CN"/>
                <w14:textFill>
                  <w14:solidFill>
                    <w14:schemeClr w14:val="tx1"/>
                  </w14:solidFill>
                </w14:textFill>
              </w:rPr>
              <w:t>监</w:t>
            </w:r>
            <w:r>
              <w:rPr>
                <w:rFonts w:hint="eastAsia"/>
                <w:b/>
                <w:bCs/>
                <w:color w:val="000000" w:themeColor="text1"/>
                <w:highlight w:val="none"/>
                <w14:textFill>
                  <w14:solidFill>
                    <w14:schemeClr w14:val="tx1"/>
                  </w14:solidFill>
                </w14:textFill>
              </w:rPr>
              <w:t>测点位</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2067"/>
              <w:gridCol w:w="2418"/>
              <w:gridCol w:w="2586"/>
            </w:tblGrid>
            <w:tr w14:paraId="65ED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9" w:type="pct"/>
                  <w:noWrap/>
                  <w:vAlign w:val="center"/>
                </w:tcPr>
                <w:p w14:paraId="2BCFAA75">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序号</w:t>
                  </w:r>
                </w:p>
              </w:tc>
              <w:tc>
                <w:tcPr>
                  <w:tcW w:w="1298" w:type="pct"/>
                  <w:noWrap/>
                  <w:vAlign w:val="center"/>
                </w:tcPr>
                <w:p w14:paraId="58CB0A6B">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监测点</w:t>
                  </w:r>
                </w:p>
              </w:tc>
              <w:tc>
                <w:tcPr>
                  <w:tcW w:w="1518" w:type="pct"/>
                  <w:noWrap/>
                  <w:vAlign w:val="center"/>
                </w:tcPr>
                <w:p w14:paraId="005B8264">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经度</w:t>
                  </w:r>
                </w:p>
              </w:tc>
              <w:tc>
                <w:tcPr>
                  <w:tcW w:w="1623" w:type="pct"/>
                  <w:noWrap/>
                  <w:vAlign w:val="center"/>
                </w:tcPr>
                <w:p w14:paraId="51A5EFCC">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纬度</w:t>
                  </w:r>
                </w:p>
              </w:tc>
            </w:tr>
            <w:tr w14:paraId="0224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9" w:type="pct"/>
                  <w:noWrap/>
                  <w:vAlign w:val="center"/>
                </w:tcPr>
                <w:p w14:paraId="5B695B41">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298" w:type="pct"/>
                  <w:noWrap/>
                  <w:vAlign w:val="center"/>
                </w:tcPr>
                <w:p w14:paraId="73DEB403">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本项目厂区内</w:t>
                  </w:r>
                </w:p>
              </w:tc>
              <w:tc>
                <w:tcPr>
                  <w:tcW w:w="1518" w:type="pct"/>
                  <w:noWrap/>
                  <w:vAlign w:val="center"/>
                </w:tcPr>
                <w:p w14:paraId="41ACCA68">
                  <w:pPr>
                    <w:widowControl/>
                    <w:jc w:val="center"/>
                    <w:rPr>
                      <w:color w:val="000000" w:themeColor="text1"/>
                      <w:highlight w:val="none"/>
                      <w14:textFill>
                        <w14:solidFill>
                          <w14:schemeClr w14:val="tx1"/>
                        </w14:solidFill>
                      </w14:textFill>
                    </w:rPr>
                  </w:pPr>
                  <w:r>
                    <w:rPr>
                      <w:rFonts w:hint="eastAsia" w:eastAsia="仿宋"/>
                      <w:szCs w:val="21"/>
                      <w:highlight w:val="none"/>
                    </w:rPr>
                    <w:t>107.49918</w:t>
                  </w:r>
                </w:p>
              </w:tc>
              <w:tc>
                <w:tcPr>
                  <w:tcW w:w="1623" w:type="pct"/>
                  <w:noWrap/>
                  <w:vAlign w:val="center"/>
                </w:tcPr>
                <w:p w14:paraId="1CDDC03D">
                  <w:pPr>
                    <w:widowControl/>
                    <w:jc w:val="center"/>
                    <w:rPr>
                      <w:color w:val="000000" w:themeColor="text1"/>
                      <w:highlight w:val="none"/>
                      <w14:textFill>
                        <w14:solidFill>
                          <w14:schemeClr w14:val="tx1"/>
                        </w14:solidFill>
                      </w14:textFill>
                    </w:rPr>
                  </w:pPr>
                  <w:r>
                    <w:rPr>
                      <w:rFonts w:hint="eastAsia" w:eastAsia="仿宋"/>
                      <w:szCs w:val="21"/>
                      <w:highlight w:val="none"/>
                    </w:rPr>
                    <w:t>38.20824812</w:t>
                  </w:r>
                </w:p>
              </w:tc>
            </w:tr>
          </w:tbl>
          <w:p w14:paraId="54918F14">
            <w:pPr>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表3-</w:t>
            </w:r>
            <w:r>
              <w:rPr>
                <w:rFonts w:hint="eastAsia"/>
                <w:b/>
                <w:bCs/>
                <w:color w:val="000000" w:themeColor="text1"/>
                <w:szCs w:val="21"/>
                <w:highlight w:val="none"/>
                <w:lang w:val="en-US" w:eastAsia="zh-CN"/>
                <w14:textFill>
                  <w14:solidFill>
                    <w14:schemeClr w14:val="tx1"/>
                  </w14:solidFill>
                </w14:textFill>
              </w:rPr>
              <w:t xml:space="preserve">2 </w:t>
            </w:r>
            <w:r>
              <w:rPr>
                <w:b/>
                <w:bCs/>
                <w:color w:val="000000" w:themeColor="text1"/>
                <w:szCs w:val="21"/>
                <w:highlight w:val="none"/>
                <w14:textFill>
                  <w14:solidFill>
                    <w14:schemeClr w14:val="tx1"/>
                  </w14:solidFill>
                </w14:textFill>
              </w:rPr>
              <w:t>补充监测统计结果一览表        单位：μg/m</w:t>
            </w:r>
            <w:r>
              <w:rPr>
                <w:b/>
                <w:bCs/>
                <w:color w:val="000000" w:themeColor="text1"/>
                <w:szCs w:val="21"/>
                <w:highlight w:val="none"/>
                <w:vertAlign w:val="superscript"/>
                <w14:textFill>
                  <w14:solidFill>
                    <w14:schemeClr w14:val="tx1"/>
                  </w14:solidFill>
                </w14:textFill>
              </w:rPr>
              <w:t>3</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6"/>
              <w:gridCol w:w="5266"/>
            </w:tblGrid>
            <w:tr w14:paraId="3C7F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pct"/>
                  <w:vAlign w:val="center"/>
                </w:tcPr>
                <w:p w14:paraId="6F2ADCAA">
                  <w:pPr>
                    <w:pStyle w:val="93"/>
                    <w:rPr>
                      <w:rFonts w:eastAsiaTheme="minorEastAsia"/>
                      <w:b w:val="0"/>
                      <w:bCs/>
                      <w:sz w:val="21"/>
                      <w:szCs w:val="21"/>
                      <w:highlight w:val="none"/>
                    </w:rPr>
                  </w:pPr>
                  <w:r>
                    <w:rPr>
                      <w:rFonts w:eastAsiaTheme="minorEastAsia"/>
                      <w:b w:val="0"/>
                      <w:bCs/>
                      <w:sz w:val="21"/>
                      <w:szCs w:val="21"/>
                      <w:highlight w:val="none"/>
                    </w:rPr>
                    <w:t>检测项目</w:t>
                  </w:r>
                </w:p>
              </w:tc>
              <w:tc>
                <w:tcPr>
                  <w:tcW w:w="3307" w:type="pct"/>
                  <w:vAlign w:val="center"/>
                </w:tcPr>
                <w:p w14:paraId="5A6053E7">
                  <w:pPr>
                    <w:pStyle w:val="93"/>
                    <w:rPr>
                      <w:rFonts w:eastAsiaTheme="minorEastAsia"/>
                      <w:b w:val="0"/>
                      <w:bCs/>
                      <w:sz w:val="21"/>
                      <w:szCs w:val="21"/>
                      <w:highlight w:val="none"/>
                    </w:rPr>
                  </w:pPr>
                  <w:r>
                    <w:rPr>
                      <w:rFonts w:eastAsiaTheme="minorEastAsia"/>
                      <w:b w:val="0"/>
                      <w:bCs/>
                      <w:sz w:val="21"/>
                      <w:szCs w:val="21"/>
                      <w:highlight w:val="none"/>
                    </w:rPr>
                    <w:t>TSP（µg/m</w:t>
                  </w:r>
                  <w:r>
                    <w:rPr>
                      <w:rFonts w:eastAsiaTheme="minorEastAsia"/>
                      <w:b w:val="0"/>
                      <w:bCs/>
                      <w:sz w:val="21"/>
                      <w:szCs w:val="21"/>
                      <w:highlight w:val="none"/>
                      <w:vertAlign w:val="superscript"/>
                    </w:rPr>
                    <w:t>3</w:t>
                  </w:r>
                  <w:r>
                    <w:rPr>
                      <w:rFonts w:eastAsiaTheme="minorEastAsia"/>
                      <w:b w:val="0"/>
                      <w:bCs/>
                      <w:sz w:val="21"/>
                      <w:szCs w:val="21"/>
                      <w:highlight w:val="none"/>
                    </w:rPr>
                    <w:t>）</w:t>
                  </w:r>
                </w:p>
              </w:tc>
            </w:tr>
            <w:tr w14:paraId="7BAB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93" w:type="pct"/>
                  <w:tcBorders>
                    <w:tl2br w:val="single" w:color="auto" w:sz="4" w:space="0"/>
                  </w:tcBorders>
                  <w:vAlign w:val="center"/>
                </w:tcPr>
                <w:p w14:paraId="0711491E">
                  <w:pPr>
                    <w:pStyle w:val="93"/>
                    <w:jc w:val="right"/>
                    <w:rPr>
                      <w:rFonts w:eastAsiaTheme="minorEastAsia"/>
                      <w:b w:val="0"/>
                      <w:bCs/>
                      <w:sz w:val="21"/>
                      <w:szCs w:val="21"/>
                      <w:highlight w:val="none"/>
                    </w:rPr>
                  </w:pPr>
                  <w:r>
                    <w:rPr>
                      <w:rFonts w:eastAsiaTheme="minorEastAsia"/>
                      <w:b w:val="0"/>
                      <w:bCs/>
                      <w:sz w:val="21"/>
                      <w:szCs w:val="21"/>
                      <w:highlight w:val="none"/>
                    </w:rPr>
                    <w:t>检测点位</w:t>
                  </w:r>
                </w:p>
                <w:p w14:paraId="3D2EBC52">
                  <w:pPr>
                    <w:pStyle w:val="93"/>
                    <w:jc w:val="left"/>
                    <w:rPr>
                      <w:rFonts w:eastAsiaTheme="minorEastAsia"/>
                      <w:b w:val="0"/>
                      <w:bCs/>
                      <w:sz w:val="21"/>
                      <w:szCs w:val="21"/>
                      <w:highlight w:val="none"/>
                    </w:rPr>
                  </w:pPr>
                  <w:r>
                    <w:rPr>
                      <w:rFonts w:eastAsiaTheme="minorEastAsia"/>
                      <w:b w:val="0"/>
                      <w:bCs/>
                      <w:sz w:val="21"/>
                      <w:szCs w:val="21"/>
                      <w:highlight w:val="none"/>
                    </w:rPr>
                    <w:t>采样日期</w:t>
                  </w:r>
                </w:p>
              </w:tc>
              <w:tc>
                <w:tcPr>
                  <w:tcW w:w="3307" w:type="pct"/>
                  <w:vAlign w:val="center"/>
                </w:tcPr>
                <w:p w14:paraId="44FB6703">
                  <w:pPr>
                    <w:pStyle w:val="93"/>
                    <w:rPr>
                      <w:rFonts w:eastAsiaTheme="minorEastAsia"/>
                      <w:b w:val="0"/>
                      <w:bCs/>
                      <w:sz w:val="21"/>
                      <w:szCs w:val="21"/>
                      <w:highlight w:val="none"/>
                    </w:rPr>
                  </w:pPr>
                  <w:r>
                    <w:rPr>
                      <w:rFonts w:eastAsiaTheme="minorEastAsia"/>
                      <w:b w:val="0"/>
                      <w:bCs/>
                      <w:sz w:val="21"/>
                      <w:szCs w:val="21"/>
                      <w:highlight w:val="none"/>
                    </w:rPr>
                    <w:t>拟建厂址内</w:t>
                  </w:r>
                </w:p>
              </w:tc>
            </w:tr>
            <w:tr w14:paraId="7DE93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pct"/>
                  <w:vAlign w:val="center"/>
                </w:tcPr>
                <w:p w14:paraId="05267DDD">
                  <w:pPr>
                    <w:pStyle w:val="93"/>
                    <w:rPr>
                      <w:rFonts w:eastAsiaTheme="minorEastAsia"/>
                      <w:b w:val="0"/>
                      <w:bCs/>
                      <w:sz w:val="21"/>
                      <w:szCs w:val="21"/>
                      <w:highlight w:val="none"/>
                    </w:rPr>
                  </w:pPr>
                  <w:r>
                    <w:rPr>
                      <w:rFonts w:eastAsiaTheme="minorEastAsia"/>
                      <w:b w:val="0"/>
                      <w:bCs/>
                      <w:sz w:val="21"/>
                      <w:szCs w:val="21"/>
                      <w:highlight w:val="none"/>
                    </w:rPr>
                    <w:t>20</w:t>
                  </w:r>
                  <w:r>
                    <w:rPr>
                      <w:rFonts w:hint="eastAsia" w:eastAsiaTheme="minorEastAsia"/>
                      <w:b w:val="0"/>
                      <w:bCs/>
                      <w:sz w:val="21"/>
                      <w:szCs w:val="21"/>
                      <w:highlight w:val="none"/>
                    </w:rPr>
                    <w:t>24</w:t>
                  </w:r>
                  <w:r>
                    <w:rPr>
                      <w:rFonts w:eastAsiaTheme="minorEastAsia"/>
                      <w:b w:val="0"/>
                      <w:bCs/>
                      <w:sz w:val="21"/>
                      <w:szCs w:val="21"/>
                      <w:highlight w:val="none"/>
                    </w:rPr>
                    <w:t>年07月</w:t>
                  </w:r>
                  <w:r>
                    <w:rPr>
                      <w:rFonts w:hint="eastAsia" w:eastAsiaTheme="minorEastAsia"/>
                      <w:b w:val="0"/>
                      <w:bCs/>
                      <w:sz w:val="21"/>
                      <w:szCs w:val="21"/>
                      <w:highlight w:val="none"/>
                    </w:rPr>
                    <w:t>19</w:t>
                  </w:r>
                  <w:r>
                    <w:rPr>
                      <w:rFonts w:eastAsiaTheme="minorEastAsia"/>
                      <w:b w:val="0"/>
                      <w:bCs/>
                      <w:sz w:val="21"/>
                      <w:szCs w:val="21"/>
                      <w:highlight w:val="none"/>
                    </w:rPr>
                    <w:t>日</w:t>
                  </w:r>
                </w:p>
              </w:tc>
              <w:tc>
                <w:tcPr>
                  <w:tcW w:w="3307" w:type="pct"/>
                  <w:vAlign w:val="center"/>
                </w:tcPr>
                <w:p w14:paraId="30B72A94">
                  <w:pPr>
                    <w:pStyle w:val="93"/>
                    <w:rPr>
                      <w:rFonts w:eastAsiaTheme="minorEastAsia"/>
                      <w:b w:val="0"/>
                      <w:bCs/>
                      <w:sz w:val="21"/>
                      <w:szCs w:val="21"/>
                      <w:highlight w:val="none"/>
                    </w:rPr>
                  </w:pPr>
                  <w:r>
                    <w:rPr>
                      <w:b w:val="0"/>
                      <w:bCs/>
                      <w:sz w:val="21"/>
                      <w:szCs w:val="21"/>
                      <w:highlight w:val="none"/>
                    </w:rPr>
                    <w:t>81</w:t>
                  </w:r>
                </w:p>
              </w:tc>
            </w:tr>
            <w:tr w14:paraId="08BC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pct"/>
                  <w:vAlign w:val="center"/>
                </w:tcPr>
                <w:p w14:paraId="77274E98">
                  <w:pPr>
                    <w:pStyle w:val="93"/>
                    <w:rPr>
                      <w:rFonts w:eastAsiaTheme="minorEastAsia"/>
                      <w:b w:val="0"/>
                      <w:bCs/>
                      <w:sz w:val="21"/>
                      <w:szCs w:val="21"/>
                      <w:highlight w:val="none"/>
                    </w:rPr>
                  </w:pPr>
                  <w:r>
                    <w:rPr>
                      <w:rFonts w:eastAsiaTheme="minorEastAsia"/>
                      <w:b w:val="0"/>
                      <w:bCs/>
                      <w:sz w:val="21"/>
                      <w:szCs w:val="21"/>
                      <w:highlight w:val="none"/>
                    </w:rPr>
                    <w:t>202</w:t>
                  </w:r>
                  <w:r>
                    <w:rPr>
                      <w:rFonts w:hint="eastAsia" w:eastAsiaTheme="minorEastAsia"/>
                      <w:b w:val="0"/>
                      <w:bCs/>
                      <w:sz w:val="21"/>
                      <w:szCs w:val="21"/>
                      <w:highlight w:val="none"/>
                    </w:rPr>
                    <w:t>4</w:t>
                  </w:r>
                  <w:r>
                    <w:rPr>
                      <w:rFonts w:eastAsiaTheme="minorEastAsia"/>
                      <w:b w:val="0"/>
                      <w:bCs/>
                      <w:sz w:val="21"/>
                      <w:szCs w:val="21"/>
                      <w:highlight w:val="none"/>
                    </w:rPr>
                    <w:t>年07月</w:t>
                  </w:r>
                  <w:r>
                    <w:rPr>
                      <w:rFonts w:hint="eastAsia" w:eastAsiaTheme="minorEastAsia"/>
                      <w:b w:val="0"/>
                      <w:bCs/>
                      <w:sz w:val="21"/>
                      <w:szCs w:val="21"/>
                      <w:highlight w:val="none"/>
                    </w:rPr>
                    <w:t>20</w:t>
                  </w:r>
                  <w:r>
                    <w:rPr>
                      <w:rFonts w:eastAsiaTheme="minorEastAsia"/>
                      <w:b w:val="0"/>
                      <w:bCs/>
                      <w:sz w:val="21"/>
                      <w:szCs w:val="21"/>
                      <w:highlight w:val="none"/>
                    </w:rPr>
                    <w:t>日</w:t>
                  </w:r>
                </w:p>
              </w:tc>
              <w:tc>
                <w:tcPr>
                  <w:tcW w:w="3307" w:type="pct"/>
                  <w:vAlign w:val="center"/>
                </w:tcPr>
                <w:p w14:paraId="39FF0DB0">
                  <w:pPr>
                    <w:pStyle w:val="93"/>
                    <w:rPr>
                      <w:rFonts w:eastAsiaTheme="minorEastAsia"/>
                      <w:b w:val="0"/>
                      <w:bCs/>
                      <w:sz w:val="21"/>
                      <w:szCs w:val="21"/>
                      <w:highlight w:val="none"/>
                    </w:rPr>
                  </w:pPr>
                  <w:r>
                    <w:rPr>
                      <w:b w:val="0"/>
                      <w:bCs/>
                      <w:sz w:val="21"/>
                      <w:szCs w:val="21"/>
                      <w:highlight w:val="none"/>
                    </w:rPr>
                    <w:t>85</w:t>
                  </w:r>
                </w:p>
              </w:tc>
            </w:tr>
            <w:tr w14:paraId="354D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pct"/>
                  <w:vAlign w:val="center"/>
                </w:tcPr>
                <w:p w14:paraId="51AF6580">
                  <w:pPr>
                    <w:pStyle w:val="93"/>
                    <w:rPr>
                      <w:rFonts w:eastAsiaTheme="minorEastAsia"/>
                      <w:b w:val="0"/>
                      <w:bCs/>
                      <w:sz w:val="21"/>
                      <w:szCs w:val="21"/>
                      <w:highlight w:val="none"/>
                    </w:rPr>
                  </w:pPr>
                  <w:r>
                    <w:rPr>
                      <w:rFonts w:eastAsiaTheme="minorEastAsia"/>
                      <w:b w:val="0"/>
                      <w:bCs/>
                      <w:sz w:val="21"/>
                      <w:szCs w:val="21"/>
                      <w:highlight w:val="none"/>
                    </w:rPr>
                    <w:t>202</w:t>
                  </w:r>
                  <w:r>
                    <w:rPr>
                      <w:rFonts w:hint="eastAsia" w:eastAsiaTheme="minorEastAsia"/>
                      <w:b w:val="0"/>
                      <w:bCs/>
                      <w:sz w:val="21"/>
                      <w:szCs w:val="21"/>
                      <w:highlight w:val="none"/>
                    </w:rPr>
                    <w:t>4</w:t>
                  </w:r>
                  <w:r>
                    <w:rPr>
                      <w:rFonts w:eastAsiaTheme="minorEastAsia"/>
                      <w:b w:val="0"/>
                      <w:bCs/>
                      <w:sz w:val="21"/>
                      <w:szCs w:val="21"/>
                      <w:highlight w:val="none"/>
                    </w:rPr>
                    <w:t>年07月</w:t>
                  </w:r>
                  <w:r>
                    <w:rPr>
                      <w:rFonts w:hint="eastAsia" w:eastAsiaTheme="minorEastAsia"/>
                      <w:b w:val="0"/>
                      <w:bCs/>
                      <w:sz w:val="21"/>
                      <w:szCs w:val="21"/>
                      <w:highlight w:val="none"/>
                    </w:rPr>
                    <w:t>21</w:t>
                  </w:r>
                  <w:r>
                    <w:rPr>
                      <w:rFonts w:eastAsiaTheme="minorEastAsia"/>
                      <w:b w:val="0"/>
                      <w:bCs/>
                      <w:sz w:val="21"/>
                      <w:szCs w:val="21"/>
                      <w:highlight w:val="none"/>
                    </w:rPr>
                    <w:t>日</w:t>
                  </w:r>
                </w:p>
              </w:tc>
              <w:tc>
                <w:tcPr>
                  <w:tcW w:w="3307" w:type="pct"/>
                  <w:vAlign w:val="center"/>
                </w:tcPr>
                <w:p w14:paraId="50D5CE05">
                  <w:pPr>
                    <w:pStyle w:val="93"/>
                    <w:rPr>
                      <w:rFonts w:eastAsiaTheme="minorEastAsia"/>
                      <w:b w:val="0"/>
                      <w:bCs/>
                      <w:sz w:val="21"/>
                      <w:szCs w:val="21"/>
                      <w:highlight w:val="none"/>
                    </w:rPr>
                  </w:pPr>
                  <w:r>
                    <w:rPr>
                      <w:b w:val="0"/>
                      <w:bCs/>
                      <w:sz w:val="21"/>
                      <w:szCs w:val="21"/>
                      <w:highlight w:val="none"/>
                    </w:rPr>
                    <w:t>101</w:t>
                  </w:r>
                </w:p>
              </w:tc>
            </w:tr>
          </w:tbl>
          <w:p w14:paraId="2A58D1B1">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检测</w:t>
            </w:r>
            <w:r>
              <w:rPr>
                <w:color w:val="000000" w:themeColor="text1"/>
                <w:sz w:val="24"/>
                <w:highlight w:val="none"/>
                <w14:textFill>
                  <w14:solidFill>
                    <w14:schemeClr w14:val="tx1"/>
                  </w14:solidFill>
                </w14:textFill>
              </w:rPr>
              <w:t>结果表明，监测区域TSP24</w:t>
            </w:r>
            <w:r>
              <w:rPr>
                <w:color w:val="000000" w:themeColor="text1"/>
                <w:sz w:val="24"/>
                <w:highlight w:val="none"/>
                <w:lang w:eastAsia="zh-Hans"/>
                <w14:textFill>
                  <w14:solidFill>
                    <w14:schemeClr w14:val="tx1"/>
                  </w14:solidFill>
                </w14:textFill>
              </w:rPr>
              <w:t>小时平均</w:t>
            </w:r>
            <w:r>
              <w:rPr>
                <w:color w:val="000000" w:themeColor="text1"/>
                <w:sz w:val="24"/>
                <w:highlight w:val="none"/>
                <w14:textFill>
                  <w14:solidFill>
                    <w14:schemeClr w14:val="tx1"/>
                  </w14:solidFill>
                </w14:textFill>
              </w:rPr>
              <w:t>浓度满足《环境空气质量标准》（GB3095-2012）中二级标准。</w:t>
            </w:r>
          </w:p>
          <w:p w14:paraId="2C714D84">
            <w:pPr>
              <w:pStyle w:val="29"/>
              <w:spacing w:after="0" w:line="360" w:lineRule="auto"/>
              <w:ind w:left="0" w:leftChars="0" w:firstLine="0" w:firstLineChars="0"/>
              <w:rPr>
                <w:b/>
                <w:bCs/>
                <w:color w:val="000000" w:themeColor="text1"/>
                <w:szCs w:val="24"/>
                <w:highlight w:val="none"/>
                <w14:textFill>
                  <w14:solidFill>
                    <w14:schemeClr w14:val="tx1"/>
                  </w14:solidFill>
                </w14:textFill>
              </w:rPr>
            </w:pPr>
            <w:r>
              <w:rPr>
                <w:b/>
                <w:bCs/>
                <w:color w:val="000000" w:themeColor="text1"/>
                <w:szCs w:val="24"/>
                <w:highlight w:val="none"/>
                <w14:textFill>
                  <w14:solidFill>
                    <w14:schemeClr w14:val="tx1"/>
                  </w14:solidFill>
                </w14:textFill>
              </w:rPr>
              <w:t>2</w:t>
            </w:r>
            <w:bookmarkEnd w:id="3"/>
            <w:bookmarkEnd w:id="4"/>
            <w:r>
              <w:rPr>
                <w:rFonts w:hint="eastAsia"/>
                <w:b/>
                <w:bCs/>
                <w:color w:val="000000" w:themeColor="text1"/>
                <w:szCs w:val="24"/>
                <w:highlight w:val="none"/>
                <w:lang w:eastAsia="zh-CN"/>
                <w14:textFill>
                  <w14:solidFill>
                    <w14:schemeClr w14:val="tx1"/>
                  </w14:solidFill>
                </w14:textFill>
              </w:rPr>
              <w:t>.</w:t>
            </w:r>
            <w:r>
              <w:rPr>
                <w:b/>
                <w:bCs/>
                <w:color w:val="000000" w:themeColor="text1"/>
                <w:szCs w:val="24"/>
                <w:highlight w:val="none"/>
                <w14:textFill>
                  <w14:solidFill>
                    <w14:schemeClr w14:val="tx1"/>
                  </w14:solidFill>
                </w14:textFill>
              </w:rPr>
              <w:t>声环境质量现状</w:t>
            </w:r>
          </w:p>
          <w:p w14:paraId="0478D435">
            <w:pPr>
              <w:pStyle w:val="9"/>
              <w:spacing w:before="0" w:after="0" w:line="360" w:lineRule="auto"/>
              <w:ind w:right="0" w:firstLine="480" w:firstLineChars="200"/>
              <w:rPr>
                <w:color w:val="000000" w:themeColor="text1"/>
                <w:sz w:val="24"/>
                <w:highlight w:val="none"/>
                <w14:textFill>
                  <w14:solidFill>
                    <w14:schemeClr w14:val="tx1"/>
                  </w14:solidFill>
                </w14:textFill>
              </w:rPr>
            </w:pPr>
            <w:r>
              <w:rPr>
                <w:color w:val="000000" w:themeColor="text1"/>
                <w:kern w:val="2"/>
                <w:sz w:val="24"/>
                <w:szCs w:val="24"/>
                <w:highlight w:val="none"/>
                <w14:textFill>
                  <w14:solidFill>
                    <w14:schemeClr w14:val="tx1"/>
                  </w14:solidFill>
                </w14:textFill>
              </w:rPr>
              <w:t>根据《建设项目环境影响评价报告表编制技术指南（污染影响类）试行》，项目厂界外50m范围内不存在声环境保护目标，因此不开展声环境现状监测。</w:t>
            </w:r>
          </w:p>
          <w:p w14:paraId="146954A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lang w:val="en-US" w:eastAsia="zh-CN"/>
              </w:rPr>
              <w:t>3</w:t>
            </w:r>
            <w:r>
              <w:rPr>
                <w:rFonts w:hint="eastAsia" w:cs="Times New Roman"/>
                <w:b/>
                <w:bCs/>
                <w:sz w:val="24"/>
                <w:szCs w:val="24"/>
                <w:highlight w:val="none"/>
                <w:lang w:val="en-US" w:eastAsia="zh-CN"/>
              </w:rPr>
              <w:t>.</w:t>
            </w:r>
            <w:r>
              <w:rPr>
                <w:rFonts w:hint="default" w:ascii="Times New Roman" w:hAnsi="Times New Roman" w:eastAsia="宋体" w:cs="Times New Roman"/>
                <w:b/>
                <w:bCs/>
                <w:sz w:val="24"/>
                <w:szCs w:val="24"/>
                <w:highlight w:val="none"/>
              </w:rPr>
              <w:t>地下水</w:t>
            </w:r>
            <w:r>
              <w:rPr>
                <w:rFonts w:hint="eastAsia" w:cs="Times New Roman"/>
                <w:b/>
                <w:bCs/>
                <w:sz w:val="24"/>
                <w:szCs w:val="24"/>
                <w:highlight w:val="none"/>
                <w:lang w:eastAsia="zh-CN"/>
              </w:rPr>
              <w:t>环境及</w:t>
            </w:r>
            <w:r>
              <w:rPr>
                <w:rFonts w:hint="default" w:ascii="Times New Roman" w:hAnsi="Times New Roman" w:eastAsia="宋体" w:cs="Times New Roman"/>
                <w:b/>
                <w:bCs/>
                <w:sz w:val="24"/>
                <w:szCs w:val="24"/>
                <w:highlight w:val="none"/>
              </w:rPr>
              <w:t>土壤环境</w:t>
            </w:r>
          </w:p>
          <w:p w14:paraId="13EF4A3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根据《建设项目环境影响报告表编制技术指南（污染影响类）（试行）》中要求，地下水、土壤环境原则上不开展环境质量现状调查。本项目</w:t>
            </w:r>
            <w:r>
              <w:rPr>
                <w:rFonts w:hint="eastAsia" w:cs="Times New Roman"/>
                <w:sz w:val="24"/>
                <w:szCs w:val="24"/>
                <w:highlight w:val="none"/>
                <w:lang w:val="en-US" w:eastAsia="zh-CN"/>
              </w:rPr>
              <w:t>生产运营过程中不存在地下水及土壤污染源</w:t>
            </w:r>
            <w:r>
              <w:rPr>
                <w:rFonts w:hint="default" w:ascii="Times New Roman" w:hAnsi="Times New Roman" w:eastAsia="宋体" w:cs="Times New Roman"/>
                <w:sz w:val="24"/>
                <w:szCs w:val="24"/>
                <w:highlight w:val="none"/>
                <w:lang w:val="en-US" w:eastAsia="zh-CN"/>
              </w:rPr>
              <w:t>，同时</w:t>
            </w:r>
            <w:r>
              <w:rPr>
                <w:rFonts w:hint="eastAsia" w:cs="Times New Roman"/>
                <w:sz w:val="24"/>
                <w:szCs w:val="24"/>
                <w:highlight w:val="none"/>
                <w:lang w:val="en-US" w:eastAsia="zh-CN"/>
              </w:rPr>
              <w:t>对</w:t>
            </w:r>
            <w:r>
              <w:rPr>
                <w:rFonts w:hint="default" w:ascii="Times New Roman" w:hAnsi="Times New Roman" w:eastAsia="宋体" w:cs="Times New Roman"/>
                <w:sz w:val="24"/>
                <w:szCs w:val="24"/>
                <w:highlight w:val="none"/>
                <w:lang w:val="en-US" w:eastAsia="zh-CN"/>
              </w:rPr>
              <w:t>地面进行硬化处理，不会对地下水和土壤造成污染。</w:t>
            </w:r>
          </w:p>
          <w:p w14:paraId="27CBEDD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color w:val="000000" w:themeColor="text1"/>
                <w:sz w:val="24"/>
                <w:highlight w:val="none"/>
                <w14:textFill>
                  <w14:solidFill>
                    <w14:schemeClr w14:val="tx1"/>
                  </w14:solidFill>
                </w14:textFill>
              </w:rPr>
            </w:pPr>
            <w:r>
              <w:rPr>
                <w:rFonts w:hint="default" w:ascii="Times New Roman" w:hAnsi="Times New Roman" w:eastAsia="宋体" w:cs="Times New Roman"/>
                <w:sz w:val="24"/>
                <w:szCs w:val="24"/>
                <w:highlight w:val="none"/>
                <w:lang w:val="en-US" w:eastAsia="zh-CN"/>
              </w:rPr>
              <w:t>本项目采取相应的环保措施后，对项目评价范围内地下水及土壤影响极小</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因此本次环境影响评价不对地下水及土壤环境质量现状进行调查。</w:t>
            </w:r>
          </w:p>
        </w:tc>
      </w:tr>
      <w:tr w14:paraId="718D8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67CA6BBB">
            <w:pPr>
              <w:adjustRightInd w:val="0"/>
              <w:snapToGrid w:val="0"/>
              <w:spacing w:line="360" w:lineRule="auto"/>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环境保护目标</w:t>
            </w:r>
          </w:p>
        </w:tc>
        <w:tc>
          <w:tcPr>
            <w:tcW w:w="8190" w:type="dxa"/>
          </w:tcPr>
          <w:p w14:paraId="5B93C06B">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w:t>
            </w:r>
            <w:r>
              <w:rPr>
                <w:rFonts w:hint="eastAsia"/>
                <w:color w:val="000000" w:themeColor="text1"/>
                <w:sz w:val="24"/>
                <w:highlight w:val="none"/>
                <w14:textFill>
                  <w14:solidFill>
                    <w14:schemeClr w14:val="tx1"/>
                  </w14:solidFill>
                </w14:textFill>
              </w:rPr>
              <w:t>位于</w:t>
            </w:r>
            <w:r>
              <w:rPr>
                <w:rFonts w:ascii="Times New Roman" w:hAnsi="Times New Roman"/>
                <w:color w:val="000000" w:themeColor="text1"/>
                <w:sz w:val="24"/>
                <w:highlight w:val="none"/>
                <w14:textFill>
                  <w14:solidFill>
                    <w14:schemeClr w14:val="tx1"/>
                  </w14:solidFill>
                </w14:textFill>
              </w:rPr>
              <w:t>内蒙古自治区鄂尔多斯市杭锦旗锡尼镇</w:t>
            </w:r>
            <w:r>
              <w:rPr>
                <w:rFonts w:hint="eastAsia"/>
                <w:color w:val="000000" w:themeColor="text1"/>
                <w:sz w:val="24"/>
                <w:highlight w:val="none"/>
                <w14:textFill>
                  <w14:solidFill>
                    <w14:schemeClr w14:val="tx1"/>
                  </w14:solidFill>
                </w14:textFill>
              </w:rPr>
              <w:t>，鄂尔多斯市同圆库布其生态工业治沙股份有限公司现有工业场地内空地，</w:t>
            </w:r>
            <w:r>
              <w:rPr>
                <w:color w:val="000000" w:themeColor="text1"/>
                <w:sz w:val="24"/>
                <w:highlight w:val="none"/>
                <w14:textFill>
                  <w14:solidFill>
                    <w14:schemeClr w14:val="tx1"/>
                  </w14:solidFill>
                </w14:textFill>
              </w:rPr>
              <w:t>不在自然保护区、风景名胜区、饮用水源保护区范围内及</w:t>
            </w:r>
            <w:r>
              <w:rPr>
                <w:rFonts w:hint="eastAsia"/>
                <w:color w:val="000000" w:themeColor="text1"/>
                <w:sz w:val="24"/>
                <w:highlight w:val="none"/>
                <w:lang w:eastAsia="zh-CN"/>
                <w14:textFill>
                  <w14:solidFill>
                    <w14:schemeClr w14:val="tx1"/>
                  </w14:solidFill>
                </w14:textFill>
              </w:rPr>
              <w:t>其他</w:t>
            </w:r>
            <w:r>
              <w:rPr>
                <w:color w:val="000000" w:themeColor="text1"/>
                <w:sz w:val="24"/>
                <w:highlight w:val="none"/>
                <w14:textFill>
                  <w14:solidFill>
                    <w14:schemeClr w14:val="tx1"/>
                  </w14:solidFill>
                </w14:textFill>
              </w:rPr>
              <w:t>需要特别保护的生态功能区域内，该区域内没有珍稀动植物资源、饮用水源保护区、自然保护区、重点文物等重点保护目标</w:t>
            </w:r>
            <w:r>
              <w:rPr>
                <w:rFonts w:hint="eastAsia"/>
                <w:color w:val="000000" w:themeColor="text1"/>
                <w:sz w:val="24"/>
                <w:highlight w:val="none"/>
                <w14:textFill>
                  <w14:solidFill>
                    <w14:schemeClr w14:val="tx1"/>
                  </w14:solidFill>
                </w14:textFill>
              </w:rPr>
              <w:t>；厂界外500米范围内</w:t>
            </w:r>
            <w:r>
              <w:rPr>
                <w:color w:val="000000" w:themeColor="text1"/>
                <w:sz w:val="24"/>
                <w:highlight w:val="none"/>
                <w14:textFill>
                  <w14:solidFill>
                    <w14:schemeClr w14:val="tx1"/>
                  </w14:solidFill>
                </w14:textFill>
              </w:rPr>
              <w:t>无</w:t>
            </w:r>
            <w:r>
              <w:rPr>
                <w:rFonts w:hint="eastAsia"/>
                <w:color w:val="000000" w:themeColor="text1"/>
                <w:sz w:val="24"/>
                <w:highlight w:val="none"/>
                <w14:textFill>
                  <w14:solidFill>
                    <w14:schemeClr w14:val="tx1"/>
                  </w14:solidFill>
                </w14:textFill>
              </w:rPr>
              <w:t>地下水集中式饮用水水源和热水、矿泉水、温泉</w:t>
            </w:r>
            <w:r>
              <w:rPr>
                <w:rFonts w:hint="eastAsia"/>
                <w:color w:val="000000" w:themeColor="text1"/>
                <w:sz w:val="24"/>
                <w:highlight w:val="none"/>
                <w:lang w:eastAsia="zh-CN"/>
                <w14:textFill>
                  <w14:solidFill>
                    <w14:schemeClr w14:val="tx1"/>
                  </w14:solidFill>
                </w14:textFill>
              </w:rPr>
              <w:t>水</w:t>
            </w:r>
            <w:r>
              <w:rPr>
                <w:rFonts w:hint="eastAsia"/>
                <w:color w:val="000000" w:themeColor="text1"/>
                <w:sz w:val="24"/>
                <w:highlight w:val="none"/>
                <w14:textFill>
                  <w14:solidFill>
                    <w14:schemeClr w14:val="tx1"/>
                  </w14:solidFill>
                </w14:textFill>
              </w:rPr>
              <w:t>等特殊地下水资源。</w:t>
            </w:r>
            <w:r>
              <w:rPr>
                <w:color w:val="000000" w:themeColor="text1"/>
                <w:sz w:val="24"/>
                <w:highlight w:val="none"/>
                <w14:textFill>
                  <w14:solidFill>
                    <w14:schemeClr w14:val="tx1"/>
                  </w14:solidFill>
                </w14:textFill>
              </w:rPr>
              <w:t>本项目环境保护目标见表3-</w:t>
            </w:r>
            <w:r>
              <w:rPr>
                <w:rFonts w:hint="eastAsia"/>
                <w:color w:val="000000" w:themeColor="text1"/>
                <w:sz w:val="24"/>
                <w:highlight w:val="none"/>
                <w:lang w:val="en-US" w:eastAsia="zh-CN"/>
                <w14:textFill>
                  <w14:solidFill>
                    <w14:schemeClr w14:val="tx1"/>
                  </w14:solidFill>
                </w14:textFill>
              </w:rPr>
              <w:t>3</w:t>
            </w:r>
            <w:r>
              <w:rPr>
                <w:color w:val="000000" w:themeColor="text1"/>
                <w:sz w:val="24"/>
                <w:highlight w:val="none"/>
                <w14:textFill>
                  <w14:solidFill>
                    <w14:schemeClr w14:val="tx1"/>
                  </w14:solidFill>
                </w14:textFill>
              </w:rPr>
              <w:t>。</w:t>
            </w:r>
          </w:p>
          <w:p w14:paraId="4E49C0C1">
            <w:pPr>
              <w:tabs>
                <w:tab w:val="left" w:pos="0"/>
              </w:tabs>
              <w:adjustRightInd w:val="0"/>
              <w:jc w:val="center"/>
              <w:textAlignment w:val="baseline"/>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表3-</w:t>
            </w:r>
            <w:r>
              <w:rPr>
                <w:rFonts w:hint="eastAsia"/>
                <w:b/>
                <w:bCs/>
                <w:color w:val="000000" w:themeColor="text1"/>
                <w:szCs w:val="21"/>
                <w:highlight w:val="none"/>
                <w:lang w:val="en-US" w:eastAsia="zh-CN"/>
                <w14:textFill>
                  <w14:solidFill>
                    <w14:schemeClr w14:val="tx1"/>
                  </w14:solidFill>
                </w14:textFill>
              </w:rPr>
              <w:t>3</w:t>
            </w:r>
            <w:r>
              <w:rPr>
                <w:rFonts w:hint="eastAsia"/>
                <w:b/>
                <w:bCs/>
                <w:color w:val="000000" w:themeColor="text1"/>
                <w:szCs w:val="21"/>
                <w:highlight w:val="none"/>
                <w14:textFill>
                  <w14:solidFill>
                    <w14:schemeClr w14:val="tx1"/>
                  </w14:solidFill>
                </w14:textFill>
              </w:rPr>
              <w:t xml:space="preserve">    </w:t>
            </w:r>
            <w:r>
              <w:rPr>
                <w:b/>
                <w:bCs/>
                <w:color w:val="000000" w:themeColor="text1"/>
                <w:szCs w:val="21"/>
                <w:highlight w:val="none"/>
                <w14:textFill>
                  <w14:solidFill>
                    <w14:schemeClr w14:val="tx1"/>
                  </w14:solidFill>
                </w14:textFill>
              </w:rPr>
              <w:t>环境保护对象及</w:t>
            </w:r>
            <w:r>
              <w:rPr>
                <w:rFonts w:hint="eastAsia"/>
                <w:b/>
                <w:bCs/>
                <w:color w:val="000000" w:themeColor="text1"/>
                <w:szCs w:val="21"/>
                <w:highlight w:val="none"/>
                <w:lang w:eastAsia="zh-CN"/>
                <w14:textFill>
                  <w14:solidFill>
                    <w14:schemeClr w14:val="tx1"/>
                  </w14:solidFill>
                </w14:textFill>
              </w:rPr>
              <w:t>环境</w:t>
            </w:r>
            <w:r>
              <w:rPr>
                <w:b/>
                <w:bCs/>
                <w:color w:val="000000" w:themeColor="text1"/>
                <w:szCs w:val="21"/>
                <w:highlight w:val="none"/>
                <w14:textFill>
                  <w14:solidFill>
                    <w14:schemeClr w14:val="tx1"/>
                  </w14:solidFill>
                </w14:textFill>
              </w:rPr>
              <w:t>保护目标一览表</w:t>
            </w:r>
          </w:p>
          <w:tbl>
            <w:tblPr>
              <w:tblStyle w:val="30"/>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7"/>
              <w:gridCol w:w="1276"/>
              <w:gridCol w:w="716"/>
              <w:gridCol w:w="859"/>
              <w:gridCol w:w="889"/>
              <w:gridCol w:w="3159"/>
            </w:tblGrid>
            <w:tr w14:paraId="07DF6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jc w:val="center"/>
              </w:trPr>
              <w:tc>
                <w:tcPr>
                  <w:tcW w:w="664" w:type="pct"/>
                  <w:vMerge w:val="restart"/>
                  <w:tcBorders>
                    <w:tl2br w:val="nil"/>
                    <w:tr2bl w:val="nil"/>
                  </w:tcBorders>
                  <w:vAlign w:val="center"/>
                </w:tcPr>
                <w:p w14:paraId="7E749DED">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环境要素</w:t>
                  </w:r>
                </w:p>
              </w:tc>
              <w:tc>
                <w:tcPr>
                  <w:tcW w:w="802" w:type="pct"/>
                  <w:vMerge w:val="restart"/>
                  <w:tcBorders>
                    <w:tl2br w:val="nil"/>
                    <w:tr2bl w:val="nil"/>
                  </w:tcBorders>
                  <w:vAlign w:val="center"/>
                </w:tcPr>
                <w:p w14:paraId="5ADB89ED">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保护目标</w:t>
                  </w:r>
                </w:p>
              </w:tc>
              <w:tc>
                <w:tcPr>
                  <w:tcW w:w="990" w:type="pct"/>
                  <w:gridSpan w:val="2"/>
                  <w:tcBorders>
                    <w:tl2br w:val="nil"/>
                    <w:tr2bl w:val="nil"/>
                  </w:tcBorders>
                  <w:vAlign w:val="center"/>
                </w:tcPr>
                <w:p w14:paraId="33473A9D">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相对厂址</w:t>
                  </w:r>
                </w:p>
              </w:tc>
              <w:tc>
                <w:tcPr>
                  <w:tcW w:w="558" w:type="pct"/>
                  <w:vMerge w:val="restart"/>
                  <w:tcBorders>
                    <w:tl2br w:val="nil"/>
                    <w:tr2bl w:val="nil"/>
                  </w:tcBorders>
                  <w:vAlign w:val="center"/>
                </w:tcPr>
                <w:p w14:paraId="4EA079FE">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人数</w:t>
                  </w:r>
                </w:p>
              </w:tc>
              <w:tc>
                <w:tcPr>
                  <w:tcW w:w="1986" w:type="pct"/>
                  <w:vMerge w:val="restart"/>
                  <w:tcBorders>
                    <w:tl2br w:val="nil"/>
                    <w:tr2bl w:val="nil"/>
                  </w:tcBorders>
                  <w:vAlign w:val="center"/>
                </w:tcPr>
                <w:p w14:paraId="7D74E0C2">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保护级别</w:t>
                  </w:r>
                </w:p>
              </w:tc>
            </w:tr>
            <w:tr w14:paraId="1CDC4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jc w:val="center"/>
              </w:trPr>
              <w:tc>
                <w:tcPr>
                  <w:tcW w:w="664" w:type="pct"/>
                  <w:vMerge w:val="continue"/>
                  <w:tcBorders>
                    <w:tl2br w:val="nil"/>
                    <w:tr2bl w:val="nil"/>
                  </w:tcBorders>
                  <w:vAlign w:val="center"/>
                </w:tcPr>
                <w:p w14:paraId="21003D3D">
                  <w:pPr>
                    <w:jc w:val="center"/>
                    <w:rPr>
                      <w:color w:val="000000" w:themeColor="text1"/>
                      <w:szCs w:val="21"/>
                      <w:highlight w:val="none"/>
                      <w14:textFill>
                        <w14:solidFill>
                          <w14:schemeClr w14:val="tx1"/>
                        </w14:solidFill>
                      </w14:textFill>
                    </w:rPr>
                  </w:pPr>
                </w:p>
              </w:tc>
              <w:tc>
                <w:tcPr>
                  <w:tcW w:w="802" w:type="pct"/>
                  <w:vMerge w:val="continue"/>
                  <w:tcBorders>
                    <w:tl2br w:val="nil"/>
                    <w:tr2bl w:val="nil"/>
                  </w:tcBorders>
                  <w:vAlign w:val="center"/>
                </w:tcPr>
                <w:p w14:paraId="213A23A1">
                  <w:pPr>
                    <w:jc w:val="center"/>
                    <w:rPr>
                      <w:color w:val="000000" w:themeColor="text1"/>
                      <w:szCs w:val="21"/>
                      <w:highlight w:val="none"/>
                      <w14:textFill>
                        <w14:solidFill>
                          <w14:schemeClr w14:val="tx1"/>
                        </w14:solidFill>
                      </w14:textFill>
                    </w:rPr>
                  </w:pPr>
                </w:p>
              </w:tc>
              <w:tc>
                <w:tcPr>
                  <w:tcW w:w="450" w:type="pct"/>
                  <w:tcBorders>
                    <w:tl2br w:val="nil"/>
                    <w:tr2bl w:val="nil"/>
                  </w:tcBorders>
                  <w:vAlign w:val="center"/>
                </w:tcPr>
                <w:p w14:paraId="4E75A27E">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方位</w:t>
                  </w:r>
                </w:p>
              </w:tc>
              <w:tc>
                <w:tcPr>
                  <w:tcW w:w="540" w:type="pct"/>
                  <w:tcBorders>
                    <w:tl2br w:val="nil"/>
                    <w:tr2bl w:val="nil"/>
                  </w:tcBorders>
                  <w:vAlign w:val="center"/>
                </w:tcPr>
                <w:p w14:paraId="11E78ECC">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距离（m）</w:t>
                  </w:r>
                </w:p>
              </w:tc>
              <w:tc>
                <w:tcPr>
                  <w:tcW w:w="558" w:type="pct"/>
                  <w:vMerge w:val="continue"/>
                  <w:tcBorders>
                    <w:tl2br w:val="nil"/>
                    <w:tr2bl w:val="nil"/>
                  </w:tcBorders>
                  <w:vAlign w:val="center"/>
                </w:tcPr>
                <w:p w14:paraId="7B5DE579">
                  <w:pPr>
                    <w:jc w:val="center"/>
                    <w:rPr>
                      <w:color w:val="000000" w:themeColor="text1"/>
                      <w:szCs w:val="21"/>
                      <w:highlight w:val="none"/>
                      <w14:textFill>
                        <w14:solidFill>
                          <w14:schemeClr w14:val="tx1"/>
                        </w14:solidFill>
                      </w14:textFill>
                    </w:rPr>
                  </w:pPr>
                </w:p>
              </w:tc>
              <w:tc>
                <w:tcPr>
                  <w:tcW w:w="1986" w:type="pct"/>
                  <w:vMerge w:val="continue"/>
                  <w:tcBorders>
                    <w:tl2br w:val="nil"/>
                    <w:tr2bl w:val="nil"/>
                  </w:tcBorders>
                  <w:vAlign w:val="center"/>
                </w:tcPr>
                <w:p w14:paraId="5C394A17">
                  <w:pPr>
                    <w:jc w:val="center"/>
                    <w:rPr>
                      <w:color w:val="000000" w:themeColor="text1"/>
                      <w:szCs w:val="21"/>
                      <w:highlight w:val="none"/>
                      <w14:textFill>
                        <w14:solidFill>
                          <w14:schemeClr w14:val="tx1"/>
                        </w14:solidFill>
                      </w14:textFill>
                    </w:rPr>
                  </w:pPr>
                </w:p>
              </w:tc>
            </w:tr>
            <w:tr w14:paraId="09E0D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8" w:hRule="atLeast"/>
                <w:jc w:val="center"/>
              </w:trPr>
              <w:tc>
                <w:tcPr>
                  <w:tcW w:w="664" w:type="pct"/>
                  <w:tcBorders>
                    <w:tl2br w:val="nil"/>
                    <w:tr2bl w:val="nil"/>
                  </w:tcBorders>
                  <w:vAlign w:val="center"/>
                </w:tcPr>
                <w:p w14:paraId="4A90D009">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环境空气</w:t>
                  </w:r>
                </w:p>
              </w:tc>
              <w:tc>
                <w:tcPr>
                  <w:tcW w:w="2351" w:type="pct"/>
                  <w:gridSpan w:val="4"/>
                  <w:tcBorders>
                    <w:tl2br w:val="nil"/>
                    <w:tr2bl w:val="nil"/>
                  </w:tcBorders>
                  <w:vAlign w:val="center"/>
                </w:tcPr>
                <w:p w14:paraId="05482A6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项目厂界周边500m范围内无环境空气敏感目标</w:t>
                  </w:r>
                </w:p>
              </w:tc>
              <w:tc>
                <w:tcPr>
                  <w:tcW w:w="1986" w:type="pct"/>
                  <w:tcBorders>
                    <w:tl2br w:val="nil"/>
                    <w:tr2bl w:val="nil"/>
                  </w:tcBorders>
                  <w:vAlign w:val="center"/>
                </w:tcPr>
                <w:p w14:paraId="3C8E6B62">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《环境空气质量标准》</w:t>
                  </w:r>
                </w:p>
                <w:p w14:paraId="3EBA6585">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（GB 3095-2012）</w:t>
                  </w:r>
                </w:p>
                <w:p w14:paraId="0FD56DC5">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二级标准</w:t>
                  </w:r>
                </w:p>
              </w:tc>
            </w:tr>
            <w:tr w14:paraId="4F6EC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1" w:hRule="atLeast"/>
                <w:jc w:val="center"/>
              </w:trPr>
              <w:tc>
                <w:tcPr>
                  <w:tcW w:w="664" w:type="pct"/>
                  <w:tcBorders>
                    <w:tl2br w:val="nil"/>
                    <w:tr2bl w:val="nil"/>
                  </w:tcBorders>
                  <w:vAlign w:val="center"/>
                </w:tcPr>
                <w:p w14:paraId="11EC55E7">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声环境</w:t>
                  </w:r>
                </w:p>
              </w:tc>
              <w:tc>
                <w:tcPr>
                  <w:tcW w:w="2351" w:type="pct"/>
                  <w:gridSpan w:val="4"/>
                  <w:tcBorders>
                    <w:tl2br w:val="nil"/>
                    <w:tr2bl w:val="nil"/>
                  </w:tcBorders>
                  <w:vAlign w:val="center"/>
                </w:tcPr>
                <w:p w14:paraId="32A83A90">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项目周边50m范围内无居民区、医院、学校、机关、科研单位、住宅等需要保持安静的建筑物</w:t>
                  </w:r>
                </w:p>
              </w:tc>
              <w:tc>
                <w:tcPr>
                  <w:tcW w:w="1986" w:type="pct"/>
                  <w:tcBorders>
                    <w:tl2br w:val="nil"/>
                    <w:tr2bl w:val="nil"/>
                  </w:tcBorders>
                  <w:vAlign w:val="center"/>
                </w:tcPr>
                <w:p w14:paraId="7ADB7043">
                  <w:pPr>
                    <w:jc w:val="center"/>
                    <w:rPr>
                      <w:rFonts w:hint="eastAsia" w:eastAsia="宋体"/>
                      <w:color w:val="000000" w:themeColor="text1"/>
                      <w:szCs w:val="21"/>
                      <w:highlight w:val="none"/>
                      <w:lang w:eastAsia="zh-CN"/>
                      <w14:textFill>
                        <w14:solidFill>
                          <w14:schemeClr w14:val="tx1"/>
                        </w14:solidFill>
                      </w14:textFill>
                    </w:rPr>
                  </w:pPr>
                  <w:r>
                    <w:rPr>
                      <w:color w:val="000000" w:themeColor="text1"/>
                      <w:szCs w:val="21"/>
                      <w:highlight w:val="none"/>
                      <w14:textFill>
                        <w14:solidFill>
                          <w14:schemeClr w14:val="tx1"/>
                        </w14:solidFill>
                      </w14:textFill>
                    </w:rPr>
                    <w:t>《声环境质量标准》（GB 3096-2008）</w:t>
                  </w: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类标准</w:t>
                  </w:r>
                  <w:r>
                    <w:rPr>
                      <w:rFonts w:hint="eastAsia"/>
                      <w:color w:val="000000" w:themeColor="text1"/>
                      <w:szCs w:val="21"/>
                      <w:highlight w:val="none"/>
                      <w:lang w:eastAsia="zh-CN"/>
                      <w14:textFill>
                        <w14:solidFill>
                          <w14:schemeClr w14:val="tx1"/>
                        </w14:solidFill>
                      </w14:textFill>
                    </w:rPr>
                    <w:t>。</w:t>
                  </w:r>
                </w:p>
              </w:tc>
            </w:tr>
          </w:tbl>
          <w:p w14:paraId="599C7E94">
            <w:pPr>
              <w:rPr>
                <w:highlight w:val="none"/>
              </w:rPr>
            </w:pPr>
            <w:r>
              <w:rPr>
                <w:color w:val="FFFF00"/>
                <w:highlight w:val="none"/>
              </w:rPr>
              <mc:AlternateContent>
                <mc:Choice Requires="wps">
                  <w:drawing>
                    <wp:anchor distT="0" distB="0" distL="114300" distR="114300" simplePos="0" relativeHeight="251661312" behindDoc="0" locked="0" layoutInCell="1" allowOverlap="1">
                      <wp:simplePos x="0" y="0"/>
                      <wp:positionH relativeFrom="column">
                        <wp:posOffset>3810635</wp:posOffset>
                      </wp:positionH>
                      <wp:positionV relativeFrom="paragraph">
                        <wp:posOffset>4250055</wp:posOffset>
                      </wp:positionV>
                      <wp:extent cx="271780" cy="3175"/>
                      <wp:effectExtent l="0" t="0" r="33020" b="34925"/>
                      <wp:wrapNone/>
                      <wp:docPr id="124" name="直接连接符 124"/>
                      <wp:cNvGraphicFramePr/>
                      <a:graphic xmlns:a="http://schemas.openxmlformats.org/drawingml/2006/main">
                        <a:graphicData uri="http://schemas.microsoft.com/office/word/2010/wordprocessingShape">
                          <wps:wsp>
                            <wps:cNvCnPr/>
                            <wps:spPr>
                              <a:xfrm flipV="1">
                                <a:off x="0" y="0"/>
                                <a:ext cx="271780" cy="3175"/>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00.05pt;margin-top:334.65pt;height:0.25pt;width:21.4pt;z-index:251661312;mso-width-relative:page;mso-height-relative:page;" filled="f" stroked="t" coordsize="21600,21600" o:gfxdata="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4q2+NoA&#10;AAALAQAADwAAAAAAAAABACAAAAAiAAAAZHJzL2Rvd25yZXYueG1sUEsBAhQAFAAAAAgAh07iQOyK&#10;9orkAQAAqwMAAA4AAAAAAAAAAQAgAAAAKQEAAGRycy9lMm9Eb2MueG1sUEsFBgAAAAAGAAYAWQEA&#10;AH8FAAAAAA==&#10;">
                      <v:fill on="f" focussize="0,0"/>
                      <v:stroke weight="1pt" color="#FFFF00 [3204]" joinstyle="round"/>
                      <v:imagedata o:title=""/>
                      <o:lock v:ext="edit" aspectratio="f"/>
                    </v:line>
                  </w:pict>
                </mc:Fallback>
              </mc:AlternateContent>
            </w:r>
            <w:r>
              <w:rPr>
                <w:color w:val="000000" w:themeColor="text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3789680</wp:posOffset>
                      </wp:positionH>
                      <wp:positionV relativeFrom="paragraph">
                        <wp:posOffset>4017010</wp:posOffset>
                      </wp:positionV>
                      <wp:extent cx="288925" cy="1905"/>
                      <wp:effectExtent l="0" t="0" r="0" b="0"/>
                      <wp:wrapNone/>
                      <wp:docPr id="123" name="直接连接符 123"/>
                      <wp:cNvGraphicFramePr/>
                      <a:graphic xmlns:a="http://schemas.openxmlformats.org/drawingml/2006/main">
                        <a:graphicData uri="http://schemas.microsoft.com/office/word/2010/wordprocessingShape">
                          <wps:wsp>
                            <wps:cNvCnPr/>
                            <wps:spPr>
                              <a:xfrm flipV="1">
                                <a:off x="0" y="0"/>
                                <a:ext cx="288925" cy="190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98.4pt;margin-top:316.3pt;height:0.15pt;width:22.75pt;z-index:251660288;mso-width-relative:page;mso-height-relative:page;" filled="f" stroked="t" coordsize="21600,21600" o:gfxdata="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ylGIp&#10;3AAAAAsBAAAPAAAAAAAAAAEAIAAAACIAAABkcnMvZG93bnJldi54bWxQSwECFAAUAAAACACHTuJA&#10;OMTbAeQBAACrAwAADgAAAAAAAAABACAAAAArAQAAZHJzL2Uyb0RvYy54bWxQSwUGAAAAAAYABgBZ&#10;AQAAgQUAAAAA&#10;">
                      <v:fill on="f" focussize="0,0"/>
                      <v:stroke weight="1pt" color="#C00000 [3204]" joinstyle="round"/>
                      <v:imagedata o:title=""/>
                      <o:lock v:ext="edit" aspectratio="f"/>
                    </v:line>
                  </w:pict>
                </mc:Fallback>
              </mc:AlternateContent>
            </w:r>
            <w:r>
              <w:rPr>
                <w:color w:val="000000" w:themeColor="text1"/>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3722370</wp:posOffset>
                      </wp:positionH>
                      <wp:positionV relativeFrom="paragraph">
                        <wp:posOffset>3653155</wp:posOffset>
                      </wp:positionV>
                      <wp:extent cx="1524000" cy="777240"/>
                      <wp:effectExtent l="0" t="0" r="19050" b="22860"/>
                      <wp:wrapNone/>
                      <wp:docPr id="122" name="文本框 122"/>
                      <wp:cNvGraphicFramePr/>
                      <a:graphic xmlns:a="http://schemas.openxmlformats.org/drawingml/2006/main">
                        <a:graphicData uri="http://schemas.microsoft.com/office/word/2010/wordprocessingShape">
                          <wps:wsp>
                            <wps:cNvSpPr txBox="1"/>
                            <wps:spPr>
                              <a:xfrm>
                                <a:off x="0" y="0"/>
                                <a:ext cx="1524000" cy="777240"/>
                              </a:xfrm>
                              <a:prstGeom prst="rect">
                                <a:avLst/>
                              </a:prstGeom>
                              <a:solidFill>
                                <a:srgbClr val="FFFFFF">
                                  <a:alpha val="50000"/>
                                </a:srgb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7167BD">
                                  <w:pPr>
                                    <w:jc w:val="center"/>
                                  </w:pPr>
                                  <w:r>
                                    <w:rPr>
                                      <w:rFonts w:hint="eastAsia"/>
                                    </w:rPr>
                                    <w:t>图例</w:t>
                                  </w:r>
                                </w:p>
                                <w:p w14:paraId="5EA563DF">
                                  <w:pPr>
                                    <w:pStyle w:val="28"/>
                                    <w:ind w:firstLine="180"/>
                                  </w:pPr>
                                  <w:r>
                                    <w:rPr>
                                      <w:rFonts w:hint="eastAsia"/>
                                    </w:rPr>
                                    <w:t xml:space="preserve">        大气环境评价范围</w:t>
                                  </w:r>
                                </w:p>
                                <w:p w14:paraId="09F55448">
                                  <w:r>
                                    <w:rPr>
                                      <w:rFonts w:hint="eastAsia"/>
                                    </w:rPr>
                                    <w:t xml:space="preserve">           声环境评价范围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1pt;margin-top:287.65pt;height:61.2pt;width:120pt;z-index:251659264;mso-width-relative:page;mso-height-relative:page;" fillcolor="#FFFFFF" filled="t" stroked="t" coordsize="21600,21600" o:gfxdata="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1MXBfZAAAACwEAAA8AAAAAAAAAAQAgAAAAIgAAAGRycy9kb3ducmV2LnhtbFBL&#10;AQIUABQAAAAIAIdO4kBPVvRxZwIAANwEAAAOAAAAAAAAAAEAIAAAACgBAABkcnMvZTJvRG9jLnht&#10;bFBLBQYAAAAABgAGAFkBAAABBgAAAAA=&#10;">
                      <v:fill on="t" opacity="32768f" focussize="0,0"/>
                      <v:stroke weight="0.5pt" color="#000000 [3204]" joinstyle="round"/>
                      <v:imagedata o:title=""/>
                      <o:lock v:ext="edit" aspectratio="f"/>
                      <v:textbox>
                        <w:txbxContent>
                          <w:p w14:paraId="097167BD">
                            <w:pPr>
                              <w:jc w:val="center"/>
                            </w:pPr>
                            <w:r>
                              <w:rPr>
                                <w:rFonts w:hint="eastAsia"/>
                              </w:rPr>
                              <w:t>图例</w:t>
                            </w:r>
                          </w:p>
                          <w:p w14:paraId="5EA563DF">
                            <w:pPr>
                              <w:pStyle w:val="28"/>
                              <w:ind w:firstLine="180"/>
                            </w:pPr>
                            <w:r>
                              <w:rPr>
                                <w:rFonts w:hint="eastAsia"/>
                              </w:rPr>
                              <w:t xml:space="preserve">        大气环境评价范围</w:t>
                            </w:r>
                          </w:p>
                          <w:p w14:paraId="09F55448">
                            <w:r>
                              <w:rPr>
                                <w:rFonts w:hint="eastAsia"/>
                              </w:rPr>
                              <w:t xml:space="preserve">           声环境评价范围</w:t>
                            </w:r>
                          </w:p>
                        </w:txbxContent>
                      </v:textbox>
                    </v:shape>
                  </w:pict>
                </mc:Fallback>
              </mc:AlternateContent>
            </w:r>
            <w:r>
              <w:rPr>
                <w:highlight w:val="none"/>
              </w:rPr>
              <w:drawing>
                <wp:inline distT="0" distB="0" distL="0" distR="0">
                  <wp:extent cx="5231130" cy="4425950"/>
                  <wp:effectExtent l="0" t="0" r="7620" b="0"/>
                  <wp:docPr id="1115070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70134" name="图片 1"/>
                          <pic:cNvPicPr>
                            <a:picLocks noChangeAspect="1"/>
                          </pic:cNvPicPr>
                        </pic:nvPicPr>
                        <pic:blipFill>
                          <a:blip r:embed="rId14"/>
                          <a:stretch>
                            <a:fillRect/>
                          </a:stretch>
                        </pic:blipFill>
                        <pic:spPr>
                          <a:xfrm>
                            <a:off x="0" y="0"/>
                            <a:ext cx="5237583" cy="4431072"/>
                          </a:xfrm>
                          <a:prstGeom prst="rect">
                            <a:avLst/>
                          </a:prstGeom>
                        </pic:spPr>
                      </pic:pic>
                    </a:graphicData>
                  </a:graphic>
                </wp:inline>
              </w:drawing>
            </w:r>
          </w:p>
          <w:p w14:paraId="679245D2">
            <w:pPr>
              <w:pStyle w:val="29"/>
              <w:spacing w:after="0"/>
              <w:ind w:left="0" w:leftChars="0" w:firstLine="0" w:firstLineChars="0"/>
              <w:jc w:val="center"/>
              <w:rPr>
                <w:color w:val="000000" w:themeColor="text1"/>
                <w:szCs w:val="24"/>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图3-1</w:t>
            </w:r>
            <w:r>
              <w:rPr>
                <w:rFonts w:hint="eastAsia"/>
                <w:b/>
                <w:bCs/>
                <w:color w:val="000000" w:themeColor="text1"/>
                <w:sz w:val="21"/>
                <w:szCs w:val="21"/>
                <w:highlight w:val="none"/>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环境保护目标图</w:t>
            </w:r>
          </w:p>
        </w:tc>
      </w:tr>
      <w:tr w14:paraId="55A077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00" w:type="dxa"/>
            <w:tcMar>
              <w:left w:w="28" w:type="dxa"/>
              <w:right w:w="28" w:type="dxa"/>
            </w:tcMar>
            <w:vAlign w:val="center"/>
          </w:tcPr>
          <w:p w14:paraId="794DC852">
            <w:pPr>
              <w:adjustRightInd w:val="0"/>
              <w:snapToGrid w:val="0"/>
              <w:spacing w:line="360" w:lineRule="auto"/>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污染物排放控制标准</w:t>
            </w:r>
          </w:p>
        </w:tc>
        <w:tc>
          <w:tcPr>
            <w:tcW w:w="8190" w:type="dxa"/>
            <w:vAlign w:val="center"/>
          </w:tcPr>
          <w:p w14:paraId="380AEC26">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w:t>
            </w:r>
            <w:r>
              <w:rPr>
                <w:rFonts w:hint="eastAsia"/>
                <w:color w:val="000000" w:themeColor="text1"/>
                <w:sz w:val="24"/>
                <w:highlight w:val="none"/>
                <w:lang w:val="en-US" w:eastAsia="zh-CN"/>
                <w14:textFill>
                  <w14:solidFill>
                    <w14:schemeClr w14:val="tx1"/>
                  </w14:solidFill>
                </w14:textFill>
              </w:rPr>
              <w:t>.</w:t>
            </w:r>
            <w:r>
              <w:rPr>
                <w:color w:val="000000" w:themeColor="text1"/>
                <w:sz w:val="24"/>
                <w:highlight w:val="none"/>
                <w14:textFill>
                  <w14:solidFill>
                    <w14:schemeClr w14:val="tx1"/>
                  </w14:solidFill>
                </w14:textFill>
              </w:rPr>
              <w:t>大气污染物排放标准</w:t>
            </w:r>
          </w:p>
          <w:p w14:paraId="1612391C">
            <w:pPr>
              <w:spacing w:line="360" w:lineRule="auto"/>
              <w:ind w:firstLine="480" w:firstLineChars="200"/>
              <w:rPr>
                <w:color w:val="000000" w:themeColor="text1"/>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施工扬尘排放执行《大气污染物综合排放标准》(GB16297-1996</w:t>
            </w:r>
            <w:r>
              <w:rPr>
                <w:color w:val="000000" w:themeColor="text1"/>
                <w:sz w:val="24"/>
                <w:highlight w:val="none"/>
                <w14:textFill>
                  <w14:solidFill>
                    <w14:schemeClr w14:val="tx1"/>
                  </w14:solidFill>
                </w14:textFill>
              </w:rPr>
              <w:t>）</w:t>
            </w:r>
            <w:r>
              <w:rPr>
                <w:color w:val="000000" w:themeColor="text1"/>
                <w:kern w:val="0"/>
                <w:sz w:val="24"/>
                <w:highlight w:val="none"/>
                <w14:textFill>
                  <w14:solidFill>
                    <w14:schemeClr w14:val="tx1"/>
                  </w14:solidFill>
                </w14:textFill>
              </w:rPr>
              <w:t>表2中无组织排放监控浓度限值；运营期</w:t>
            </w:r>
            <w:r>
              <w:rPr>
                <w:rFonts w:hint="eastAsia"/>
                <w:color w:val="000000" w:themeColor="text1"/>
                <w:kern w:val="0"/>
                <w:sz w:val="24"/>
                <w:highlight w:val="none"/>
                <w14:textFill>
                  <w14:solidFill>
                    <w14:schemeClr w14:val="tx1"/>
                  </w14:solidFill>
                </w14:textFill>
              </w:rPr>
              <w:t>有组织颗粒物</w:t>
            </w:r>
            <w:r>
              <w:rPr>
                <w:color w:val="000000" w:themeColor="text1"/>
                <w:sz w:val="24"/>
                <w:highlight w:val="none"/>
                <w:lang w:eastAsia="zh-Hans"/>
                <w14:textFill>
                  <w14:solidFill>
                    <w14:schemeClr w14:val="tx1"/>
                  </w14:solidFill>
                </w14:textFill>
              </w:rPr>
              <w:t>执行</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水泥工业大气污染物排放标准</w:t>
            </w:r>
            <w:r>
              <w:rPr>
                <w:color w:val="000000" w:themeColor="text1"/>
                <w:sz w:val="24"/>
                <w:highlight w:val="none"/>
                <w14:textFill>
                  <w14:solidFill>
                    <w14:schemeClr w14:val="tx1"/>
                  </w14:solidFill>
                </w14:textFill>
              </w:rPr>
              <w:t>》（GB</w:t>
            </w:r>
            <w:r>
              <w:rPr>
                <w:rFonts w:hint="eastAsia"/>
                <w:color w:val="000000" w:themeColor="text1"/>
                <w:sz w:val="24"/>
                <w:highlight w:val="none"/>
                <w14:textFill>
                  <w14:solidFill>
                    <w14:schemeClr w14:val="tx1"/>
                  </w14:solidFill>
                </w14:textFill>
              </w:rPr>
              <w:t>4915-2013</w:t>
            </w:r>
            <w:r>
              <w:rPr>
                <w:color w:val="000000" w:themeColor="text1"/>
                <w:sz w:val="24"/>
                <w:highlight w:val="none"/>
                <w14:textFill>
                  <w14:solidFill>
                    <w14:schemeClr w14:val="tx1"/>
                  </w14:solidFill>
                </w14:textFill>
              </w:rPr>
              <w:t>）中</w:t>
            </w:r>
            <w:r>
              <w:rPr>
                <w:rFonts w:hint="eastAsia"/>
                <w:color w:val="000000" w:themeColor="text1"/>
                <w:sz w:val="24"/>
                <w:highlight w:val="none"/>
                <w14:textFill>
                  <w14:solidFill>
                    <w14:schemeClr w14:val="tx1"/>
                  </w14:solidFill>
                </w14:textFill>
              </w:rPr>
              <w:t>表</w:t>
            </w:r>
            <w:r>
              <w:rPr>
                <w:rFonts w:hint="eastAsia"/>
                <w:color w:val="000000" w:themeColor="text1"/>
                <w:sz w:val="24"/>
                <w:highlight w:val="none"/>
                <w:lang w:val="en-US" w:eastAsia="zh-CN"/>
                <w14:textFill>
                  <w14:solidFill>
                    <w14:schemeClr w14:val="tx1"/>
                  </w14:solidFill>
                </w14:textFill>
              </w:rPr>
              <w:t>1</w:t>
            </w:r>
            <w:r>
              <w:rPr>
                <w:color w:val="000000" w:themeColor="text1"/>
                <w:sz w:val="24"/>
                <w:highlight w:val="none"/>
                <w14:textFill>
                  <w14:solidFill>
                    <w14:schemeClr w14:val="tx1"/>
                  </w14:solidFill>
                </w14:textFill>
              </w:rPr>
              <w:t>的排放限值</w:t>
            </w:r>
            <w:r>
              <w:rPr>
                <w:rFonts w:hint="eastAsia"/>
                <w:color w:val="000000" w:themeColor="text1"/>
                <w:sz w:val="24"/>
                <w:highlight w:val="none"/>
                <w14:textFill>
                  <w14:solidFill>
                    <w14:schemeClr w14:val="tx1"/>
                  </w14:solidFill>
                </w14:textFill>
              </w:rPr>
              <w:t>，无组织颗粒物执行</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水泥工业大气污染物排放标准</w:t>
            </w:r>
            <w:r>
              <w:rPr>
                <w:color w:val="000000" w:themeColor="text1"/>
                <w:sz w:val="24"/>
                <w:highlight w:val="none"/>
                <w14:textFill>
                  <w14:solidFill>
                    <w14:schemeClr w14:val="tx1"/>
                  </w14:solidFill>
                </w14:textFill>
              </w:rPr>
              <w:t>》（GB</w:t>
            </w:r>
            <w:r>
              <w:rPr>
                <w:rFonts w:hint="eastAsia"/>
                <w:color w:val="000000" w:themeColor="text1"/>
                <w:sz w:val="24"/>
                <w:highlight w:val="none"/>
                <w14:textFill>
                  <w14:solidFill>
                    <w14:schemeClr w14:val="tx1"/>
                  </w14:solidFill>
                </w14:textFill>
              </w:rPr>
              <w:t>4915-2013</w:t>
            </w:r>
            <w:r>
              <w:rPr>
                <w:color w:val="000000" w:themeColor="text1"/>
                <w:sz w:val="24"/>
                <w:highlight w:val="none"/>
                <w14:textFill>
                  <w14:solidFill>
                    <w14:schemeClr w14:val="tx1"/>
                  </w14:solidFill>
                </w14:textFill>
              </w:rPr>
              <w:t>）中</w:t>
            </w:r>
            <w:r>
              <w:rPr>
                <w:rFonts w:hint="eastAsia"/>
                <w:color w:val="000000" w:themeColor="text1"/>
                <w:sz w:val="24"/>
                <w:highlight w:val="none"/>
                <w14:textFill>
                  <w14:solidFill>
                    <w14:schemeClr w14:val="tx1"/>
                  </w14:solidFill>
                </w14:textFill>
              </w:rPr>
              <w:t>表3</w:t>
            </w:r>
            <w:r>
              <w:rPr>
                <w:color w:val="000000" w:themeColor="text1"/>
                <w:sz w:val="24"/>
                <w:highlight w:val="none"/>
                <w14:textFill>
                  <w14:solidFill>
                    <w14:schemeClr w14:val="tx1"/>
                  </w14:solidFill>
                </w14:textFill>
              </w:rPr>
              <w:t>的</w:t>
            </w:r>
            <w:r>
              <w:rPr>
                <w:rFonts w:hint="eastAsia"/>
                <w:color w:val="000000" w:themeColor="text1"/>
                <w:sz w:val="24"/>
                <w:highlight w:val="none"/>
                <w14:textFill>
                  <w14:solidFill>
                    <w14:schemeClr w14:val="tx1"/>
                  </w14:solidFill>
                </w14:textFill>
              </w:rPr>
              <w:t>无组织</w:t>
            </w:r>
            <w:r>
              <w:rPr>
                <w:color w:val="000000" w:themeColor="text1"/>
                <w:sz w:val="24"/>
                <w:highlight w:val="none"/>
                <w14:textFill>
                  <w14:solidFill>
                    <w14:schemeClr w14:val="tx1"/>
                  </w14:solidFill>
                </w14:textFill>
              </w:rPr>
              <w:t>排放限值</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具体标准见下表。</w:t>
            </w:r>
          </w:p>
          <w:p w14:paraId="5425AFB4">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表3-</w:t>
            </w:r>
            <w:r>
              <w:rPr>
                <w:rFonts w:hint="eastAsia"/>
                <w:b/>
                <w:color w:val="000000" w:themeColor="text1"/>
                <w:szCs w:val="21"/>
                <w:highlight w:val="none"/>
                <w:lang w:val="en-US" w:eastAsia="zh-CN"/>
                <w14:textFill>
                  <w14:solidFill>
                    <w14:schemeClr w14:val="tx1"/>
                  </w14:solidFill>
                </w14:textFill>
              </w:rPr>
              <w:t>4</w:t>
            </w:r>
            <w:r>
              <w:rPr>
                <w:b/>
                <w:color w:val="000000" w:themeColor="text1"/>
                <w:szCs w:val="21"/>
                <w:highlight w:val="none"/>
                <w14:textFill>
                  <w14:solidFill>
                    <w14:schemeClr w14:val="tx1"/>
                  </w14:solidFill>
                </w14:textFill>
              </w:rPr>
              <w:t xml:space="preserve">    大气污染物排放标准一览表</w:t>
            </w:r>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62"/>
              <w:gridCol w:w="915"/>
              <w:gridCol w:w="689"/>
              <w:gridCol w:w="990"/>
              <w:gridCol w:w="4495"/>
            </w:tblGrid>
            <w:tr w14:paraId="2B2AED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4" w:hRule="atLeast"/>
                <w:jc w:val="center"/>
              </w:trPr>
              <w:tc>
                <w:tcPr>
                  <w:tcW w:w="542" w:type="pct"/>
                  <w:shd w:val="clear" w:color="auto" w:fill="auto"/>
                  <w:vAlign w:val="center"/>
                </w:tcPr>
                <w:p w14:paraId="44D25FA3">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时期</w:t>
                  </w:r>
                </w:p>
              </w:tc>
              <w:tc>
                <w:tcPr>
                  <w:tcW w:w="575" w:type="pct"/>
                  <w:shd w:val="clear" w:color="auto" w:fill="auto"/>
                  <w:vAlign w:val="center"/>
                </w:tcPr>
                <w:p w14:paraId="55ABC27C">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污染物</w:t>
                  </w:r>
                </w:p>
              </w:tc>
              <w:tc>
                <w:tcPr>
                  <w:tcW w:w="433" w:type="pct"/>
                  <w:shd w:val="clear" w:color="auto" w:fill="auto"/>
                  <w:vAlign w:val="center"/>
                </w:tcPr>
                <w:p w14:paraId="3950F9D2">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限值</w:t>
                  </w:r>
                </w:p>
              </w:tc>
              <w:tc>
                <w:tcPr>
                  <w:tcW w:w="622" w:type="pct"/>
                  <w:shd w:val="clear" w:color="auto" w:fill="auto"/>
                  <w:vAlign w:val="center"/>
                </w:tcPr>
                <w:p w14:paraId="728CC0E8">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单位</w:t>
                  </w:r>
                </w:p>
              </w:tc>
              <w:tc>
                <w:tcPr>
                  <w:tcW w:w="2825" w:type="pct"/>
                  <w:shd w:val="clear" w:color="auto" w:fill="auto"/>
                  <w:vAlign w:val="center"/>
                </w:tcPr>
                <w:p w14:paraId="1CD17966">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标准来源</w:t>
                  </w:r>
                </w:p>
              </w:tc>
            </w:tr>
            <w:tr w14:paraId="0F0717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4" w:hRule="atLeast"/>
                <w:jc w:val="center"/>
              </w:trPr>
              <w:tc>
                <w:tcPr>
                  <w:tcW w:w="542" w:type="pct"/>
                  <w:shd w:val="clear" w:color="auto" w:fill="auto"/>
                  <w:vAlign w:val="center"/>
                </w:tcPr>
                <w:p w14:paraId="28F6C64A">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施工期</w:t>
                  </w:r>
                </w:p>
              </w:tc>
              <w:tc>
                <w:tcPr>
                  <w:tcW w:w="575" w:type="pct"/>
                  <w:shd w:val="clear" w:color="auto" w:fill="auto"/>
                  <w:vAlign w:val="center"/>
                </w:tcPr>
                <w:p w14:paraId="1E21BDE8">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颗粒物</w:t>
                  </w:r>
                </w:p>
              </w:tc>
              <w:tc>
                <w:tcPr>
                  <w:tcW w:w="433" w:type="pct"/>
                  <w:shd w:val="clear" w:color="auto" w:fill="auto"/>
                  <w:vAlign w:val="center"/>
                </w:tcPr>
                <w:p w14:paraId="0F7F2987">
                  <w:pPr>
                    <w:jc w:val="center"/>
                    <w:rPr>
                      <w:bCs/>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w:t>
                  </w:r>
                </w:p>
              </w:tc>
              <w:tc>
                <w:tcPr>
                  <w:tcW w:w="622" w:type="pct"/>
                  <w:shd w:val="clear" w:color="auto" w:fill="auto"/>
                  <w:vAlign w:val="center"/>
                </w:tcPr>
                <w:p w14:paraId="1C68D505">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mg/m</w:t>
                  </w:r>
                  <w:r>
                    <w:rPr>
                      <w:bCs/>
                      <w:color w:val="000000" w:themeColor="text1"/>
                      <w:szCs w:val="21"/>
                      <w:highlight w:val="none"/>
                      <w:vertAlign w:val="superscript"/>
                      <w14:textFill>
                        <w14:solidFill>
                          <w14:schemeClr w14:val="tx1"/>
                        </w14:solidFill>
                      </w14:textFill>
                    </w:rPr>
                    <w:t>3</w:t>
                  </w:r>
                </w:p>
              </w:tc>
              <w:tc>
                <w:tcPr>
                  <w:tcW w:w="2825" w:type="pct"/>
                  <w:shd w:val="clear" w:color="auto" w:fill="auto"/>
                  <w:vAlign w:val="center"/>
                </w:tcPr>
                <w:p w14:paraId="7CC0E466">
                  <w:pPr>
                    <w:jc w:val="center"/>
                    <w:rPr>
                      <w:rFonts w:hint="eastAsia" w:eastAsia="宋体"/>
                      <w:bCs/>
                      <w:color w:val="000000" w:themeColor="text1"/>
                      <w:szCs w:val="21"/>
                      <w:highlight w:val="none"/>
                      <w:lang w:eastAsia="zh-CN"/>
                      <w14:textFill>
                        <w14:solidFill>
                          <w14:schemeClr w14:val="tx1"/>
                        </w14:solidFill>
                      </w14:textFill>
                    </w:rPr>
                  </w:pPr>
                  <w:r>
                    <w:rPr>
                      <w:bCs/>
                      <w:color w:val="000000" w:themeColor="text1"/>
                      <w:szCs w:val="21"/>
                      <w:highlight w:val="none"/>
                      <w14:textFill>
                        <w14:solidFill>
                          <w14:schemeClr w14:val="tx1"/>
                        </w14:solidFill>
                      </w14:textFill>
                    </w:rPr>
                    <w:t>《大气污染物综合排放标准》（GB16297-1996）表2无组织排放监控浓度限值</w:t>
                  </w:r>
                  <w:r>
                    <w:rPr>
                      <w:rFonts w:hint="eastAsia"/>
                      <w:bCs/>
                      <w:color w:val="000000" w:themeColor="text1"/>
                      <w:szCs w:val="21"/>
                      <w:highlight w:val="none"/>
                      <w:lang w:eastAsia="zh-CN"/>
                      <w14:textFill>
                        <w14:solidFill>
                          <w14:schemeClr w14:val="tx1"/>
                        </w14:solidFill>
                      </w14:textFill>
                    </w:rPr>
                    <w:t>。</w:t>
                  </w:r>
                </w:p>
              </w:tc>
            </w:tr>
          </w:tbl>
          <w:p w14:paraId="1E0E8955">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表</w:t>
            </w:r>
            <w:r>
              <w:rPr>
                <w:rFonts w:hint="eastAsia"/>
                <w:b/>
                <w:color w:val="000000" w:themeColor="text1"/>
                <w:szCs w:val="21"/>
                <w:highlight w:val="none"/>
                <w14:textFill>
                  <w14:solidFill>
                    <w14:schemeClr w14:val="tx1"/>
                  </w14:solidFill>
                </w14:textFill>
              </w:rPr>
              <w:t>3-</w:t>
            </w:r>
            <w:r>
              <w:rPr>
                <w:rFonts w:hint="eastAsia"/>
                <w:b/>
                <w:color w:val="000000" w:themeColor="text1"/>
                <w:szCs w:val="21"/>
                <w:highlight w:val="none"/>
                <w:lang w:val="en-US" w:eastAsia="zh-CN"/>
                <w14:textFill>
                  <w14:solidFill>
                    <w14:schemeClr w14:val="tx1"/>
                  </w14:solidFill>
                </w14:textFill>
              </w:rPr>
              <w:t>5</w:t>
            </w:r>
            <w:r>
              <w:rPr>
                <w:rFonts w:hint="eastAsia"/>
                <w:b/>
                <w:color w:val="000000" w:themeColor="text1"/>
                <w:szCs w:val="21"/>
                <w:highlight w:val="none"/>
                <w14:textFill>
                  <w14:solidFill>
                    <w14:schemeClr w14:val="tx1"/>
                  </w14:solidFill>
                </w14:textFill>
              </w:rPr>
              <w:t xml:space="preserve">     《水泥工业大气污染物排放标准》（GB4915-2013）</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691"/>
              <w:gridCol w:w="1074"/>
              <w:gridCol w:w="779"/>
              <w:gridCol w:w="1840"/>
              <w:gridCol w:w="1677"/>
            </w:tblGrid>
            <w:tr w14:paraId="1255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566" w:type="pct"/>
                  <w:vMerge w:val="restart"/>
                  <w:vAlign w:val="center"/>
                </w:tcPr>
                <w:p w14:paraId="2EB73488">
                  <w:pPr>
                    <w:pStyle w:val="6"/>
                    <w:tabs>
                      <w:tab w:val="left" w:pos="0"/>
                    </w:tabs>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w:t>
                  </w:r>
                </w:p>
              </w:tc>
              <w:tc>
                <w:tcPr>
                  <w:tcW w:w="1061" w:type="pct"/>
                  <w:vMerge w:val="restart"/>
                  <w:vAlign w:val="center"/>
                </w:tcPr>
                <w:p w14:paraId="45671727">
                  <w:pPr>
                    <w:pStyle w:val="6"/>
                    <w:tabs>
                      <w:tab w:val="left" w:pos="0"/>
                    </w:tabs>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生产过程</w:t>
                  </w:r>
                </w:p>
              </w:tc>
              <w:tc>
                <w:tcPr>
                  <w:tcW w:w="674" w:type="pct"/>
                  <w:vMerge w:val="restart"/>
                  <w:vAlign w:val="center"/>
                </w:tcPr>
                <w:p w14:paraId="1EF01387">
                  <w:pPr>
                    <w:pStyle w:val="6"/>
                    <w:tabs>
                      <w:tab w:val="left" w:pos="0"/>
                    </w:tabs>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排放浓度</w:t>
                  </w:r>
                </w:p>
              </w:tc>
              <w:tc>
                <w:tcPr>
                  <w:tcW w:w="2697" w:type="pct"/>
                  <w:gridSpan w:val="3"/>
                  <w:vAlign w:val="center"/>
                </w:tcPr>
                <w:p w14:paraId="7B29EC25">
                  <w:pPr>
                    <w:pStyle w:val="6"/>
                    <w:tabs>
                      <w:tab w:val="left" w:pos="0"/>
                    </w:tabs>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无组织排放监控浓度限</w:t>
                  </w:r>
                  <w:r>
                    <w:rPr>
                      <w:rFonts w:hint="eastAsia"/>
                      <w:color w:val="000000" w:themeColor="text1"/>
                      <w:szCs w:val="21"/>
                      <w:highlight w:val="none"/>
                      <w:lang w:eastAsia="zh-CN"/>
                      <w14:textFill>
                        <w14:solidFill>
                          <w14:schemeClr w14:val="tx1"/>
                        </w14:solidFill>
                      </w14:textFill>
                    </w:rPr>
                    <w:t>值</w:t>
                  </w:r>
                  <w:r>
                    <w:rPr>
                      <w:rFonts w:hint="eastAsia"/>
                      <w:color w:val="000000" w:themeColor="text1"/>
                      <w:szCs w:val="21"/>
                      <w:highlight w:val="none"/>
                      <w14:textFill>
                        <w14:solidFill>
                          <w14:schemeClr w14:val="tx1"/>
                        </w14:solidFill>
                      </w14:textFill>
                    </w:rPr>
                    <w:t>（mg/m³）</w:t>
                  </w:r>
                </w:p>
              </w:tc>
            </w:tr>
            <w:tr w14:paraId="4356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566" w:type="pct"/>
                  <w:vMerge w:val="continue"/>
                  <w:vAlign w:val="center"/>
                </w:tcPr>
                <w:p w14:paraId="6A9C4E47">
                  <w:pPr>
                    <w:pStyle w:val="6"/>
                    <w:tabs>
                      <w:tab w:val="left" w:pos="0"/>
                    </w:tabs>
                    <w:ind w:firstLine="0" w:firstLineChars="0"/>
                    <w:jc w:val="center"/>
                    <w:rPr>
                      <w:color w:val="000000" w:themeColor="text1"/>
                      <w:szCs w:val="21"/>
                      <w:highlight w:val="none"/>
                      <w14:textFill>
                        <w14:solidFill>
                          <w14:schemeClr w14:val="tx1"/>
                        </w14:solidFill>
                      </w14:textFill>
                    </w:rPr>
                  </w:pPr>
                </w:p>
              </w:tc>
              <w:tc>
                <w:tcPr>
                  <w:tcW w:w="1061" w:type="pct"/>
                  <w:vMerge w:val="continue"/>
                  <w:vAlign w:val="center"/>
                </w:tcPr>
                <w:p w14:paraId="0973EC70">
                  <w:pPr>
                    <w:pStyle w:val="6"/>
                    <w:tabs>
                      <w:tab w:val="left" w:pos="0"/>
                    </w:tabs>
                    <w:ind w:firstLine="0" w:firstLineChars="0"/>
                    <w:jc w:val="center"/>
                    <w:rPr>
                      <w:color w:val="000000" w:themeColor="text1"/>
                      <w:szCs w:val="21"/>
                      <w:highlight w:val="none"/>
                      <w14:textFill>
                        <w14:solidFill>
                          <w14:schemeClr w14:val="tx1"/>
                        </w14:solidFill>
                      </w14:textFill>
                    </w:rPr>
                  </w:pPr>
                </w:p>
              </w:tc>
              <w:tc>
                <w:tcPr>
                  <w:tcW w:w="674" w:type="pct"/>
                  <w:vMerge w:val="continue"/>
                  <w:vAlign w:val="center"/>
                </w:tcPr>
                <w:p w14:paraId="3F4234B8">
                  <w:pPr>
                    <w:pStyle w:val="6"/>
                    <w:tabs>
                      <w:tab w:val="left" w:pos="0"/>
                    </w:tabs>
                    <w:ind w:firstLine="0" w:firstLineChars="0"/>
                    <w:jc w:val="center"/>
                    <w:rPr>
                      <w:color w:val="000000" w:themeColor="text1"/>
                      <w:szCs w:val="21"/>
                      <w:highlight w:val="none"/>
                      <w14:textFill>
                        <w14:solidFill>
                          <w14:schemeClr w14:val="tx1"/>
                        </w14:solidFill>
                      </w14:textFill>
                    </w:rPr>
                  </w:pPr>
                </w:p>
              </w:tc>
              <w:tc>
                <w:tcPr>
                  <w:tcW w:w="489" w:type="pct"/>
                  <w:vAlign w:val="center"/>
                </w:tcPr>
                <w:p w14:paraId="69ED3AE0">
                  <w:pPr>
                    <w:pStyle w:val="6"/>
                    <w:tabs>
                      <w:tab w:val="left" w:pos="0"/>
                    </w:tabs>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限值</w:t>
                  </w:r>
                </w:p>
              </w:tc>
              <w:tc>
                <w:tcPr>
                  <w:tcW w:w="1155" w:type="pct"/>
                  <w:vAlign w:val="center"/>
                </w:tcPr>
                <w:p w14:paraId="4CF8A0E1">
                  <w:pPr>
                    <w:pStyle w:val="6"/>
                    <w:tabs>
                      <w:tab w:val="left" w:pos="0"/>
                    </w:tabs>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限值含义</w:t>
                  </w:r>
                </w:p>
              </w:tc>
              <w:tc>
                <w:tcPr>
                  <w:tcW w:w="1052" w:type="pct"/>
                  <w:vAlign w:val="center"/>
                </w:tcPr>
                <w:p w14:paraId="7940BB17">
                  <w:pPr>
                    <w:pStyle w:val="6"/>
                    <w:tabs>
                      <w:tab w:val="left" w:pos="0"/>
                    </w:tabs>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无组织排放监控位置</w:t>
                  </w:r>
                </w:p>
              </w:tc>
            </w:tr>
            <w:tr w14:paraId="7F2E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6" w:type="pct"/>
                  <w:vAlign w:val="center"/>
                </w:tcPr>
                <w:p w14:paraId="6314C644">
                  <w:pPr>
                    <w:pStyle w:val="6"/>
                    <w:tabs>
                      <w:tab w:val="left" w:pos="0"/>
                    </w:tabs>
                    <w:ind w:firstLine="0" w:firstLineChars="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颗粒物</w:t>
                  </w:r>
                </w:p>
              </w:tc>
              <w:tc>
                <w:tcPr>
                  <w:tcW w:w="1061" w:type="pct"/>
                  <w:vAlign w:val="center"/>
                </w:tcPr>
                <w:p w14:paraId="2F06FD1D">
                  <w:pPr>
                    <w:pStyle w:val="6"/>
                    <w:tabs>
                      <w:tab w:val="left" w:pos="0"/>
                    </w:tabs>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散装水泥中转站及水泥制品生产</w:t>
                  </w:r>
                </w:p>
              </w:tc>
              <w:tc>
                <w:tcPr>
                  <w:tcW w:w="674" w:type="pct"/>
                  <w:vAlign w:val="center"/>
                </w:tcPr>
                <w:p w14:paraId="3A291648">
                  <w:pPr>
                    <w:pStyle w:val="6"/>
                    <w:tabs>
                      <w:tab w:val="left" w:pos="0"/>
                    </w:tabs>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w:t>
                  </w:r>
                  <w:r>
                    <w:rPr>
                      <w:rFonts w:hint="eastAsia"/>
                      <w:color w:val="000000" w:themeColor="text1"/>
                      <w:szCs w:val="21"/>
                      <w:highlight w:val="none"/>
                      <w14:textFill>
                        <w14:solidFill>
                          <w14:schemeClr w14:val="tx1"/>
                        </w14:solidFill>
                      </w14:textFill>
                    </w:rPr>
                    <w:t>0mg/m³</w:t>
                  </w:r>
                </w:p>
              </w:tc>
              <w:tc>
                <w:tcPr>
                  <w:tcW w:w="489" w:type="pct"/>
                  <w:vAlign w:val="center"/>
                </w:tcPr>
                <w:p w14:paraId="55488C57">
                  <w:pPr>
                    <w:pStyle w:val="6"/>
                    <w:tabs>
                      <w:tab w:val="left" w:pos="0"/>
                    </w:tabs>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0.5</w:t>
                  </w:r>
                </w:p>
              </w:tc>
              <w:tc>
                <w:tcPr>
                  <w:tcW w:w="1155" w:type="pct"/>
                  <w:vAlign w:val="center"/>
                </w:tcPr>
                <w:p w14:paraId="5B3CCAAF">
                  <w:pPr>
                    <w:pStyle w:val="6"/>
                    <w:tabs>
                      <w:tab w:val="left" w:pos="0"/>
                    </w:tabs>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监控点与参照点总悬浮物（TSP）1小时浓度的差值</w:t>
                  </w:r>
                </w:p>
              </w:tc>
              <w:tc>
                <w:tcPr>
                  <w:tcW w:w="1052" w:type="pct"/>
                  <w:vAlign w:val="center"/>
                </w:tcPr>
                <w:p w14:paraId="463876B0">
                  <w:pPr>
                    <w:pStyle w:val="6"/>
                    <w:tabs>
                      <w:tab w:val="left" w:pos="0"/>
                    </w:tabs>
                    <w:ind w:firstLine="0" w:firstLineChars="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厂界外20m处上风向设置参照点，下风向设监控点</w:t>
                  </w:r>
                  <w:r>
                    <w:rPr>
                      <w:rFonts w:hint="eastAsia"/>
                      <w:color w:val="000000" w:themeColor="text1"/>
                      <w:szCs w:val="21"/>
                      <w:highlight w:val="none"/>
                      <w:lang w:eastAsia="zh-CN"/>
                      <w14:textFill>
                        <w14:solidFill>
                          <w14:schemeClr w14:val="tx1"/>
                        </w14:solidFill>
                      </w14:textFill>
                    </w:rPr>
                    <w:t>。</w:t>
                  </w:r>
                </w:p>
              </w:tc>
            </w:tr>
          </w:tbl>
          <w:p w14:paraId="259B073E">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w:t>
            </w:r>
            <w:r>
              <w:rPr>
                <w:rFonts w:hint="eastAsia"/>
                <w:color w:val="000000" w:themeColor="text1"/>
                <w:sz w:val="24"/>
                <w:highlight w:val="none"/>
                <w:lang w:val="en-US" w:eastAsia="zh-CN"/>
                <w14:textFill>
                  <w14:solidFill>
                    <w14:schemeClr w14:val="tx1"/>
                  </w14:solidFill>
                </w14:textFill>
              </w:rPr>
              <w:t>.</w:t>
            </w:r>
            <w:r>
              <w:rPr>
                <w:color w:val="000000" w:themeColor="text1"/>
                <w:sz w:val="24"/>
                <w:highlight w:val="none"/>
                <w14:textFill>
                  <w14:solidFill>
                    <w14:schemeClr w14:val="tx1"/>
                  </w14:solidFill>
                </w14:textFill>
              </w:rPr>
              <w:t>噪声排放标准</w:t>
            </w:r>
          </w:p>
          <w:p w14:paraId="4771AA44">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（1）施工期</w:t>
            </w:r>
          </w:p>
          <w:p w14:paraId="6E9DDD40">
            <w:pPr>
              <w:spacing w:line="360" w:lineRule="auto"/>
              <w:ind w:firstLine="480" w:firstLineChars="200"/>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项目施工期噪声排放执行《建筑施工场界环境噪声排放标准》（GB12523-2011），详见表3-</w:t>
            </w:r>
            <w:r>
              <w:rPr>
                <w:rFonts w:hint="eastAsia"/>
                <w:color w:val="000000" w:themeColor="text1"/>
                <w:kern w:val="0"/>
                <w:sz w:val="24"/>
                <w:highlight w:val="none"/>
                <w:lang w:val="en-US" w:eastAsia="zh-CN"/>
                <w14:textFill>
                  <w14:solidFill>
                    <w14:schemeClr w14:val="tx1"/>
                  </w14:solidFill>
                </w14:textFill>
              </w:rPr>
              <w:t>6</w:t>
            </w:r>
            <w:r>
              <w:rPr>
                <w:color w:val="000000" w:themeColor="text1"/>
                <w:kern w:val="0"/>
                <w:sz w:val="24"/>
                <w:highlight w:val="none"/>
                <w14:textFill>
                  <w14:solidFill>
                    <w14:schemeClr w14:val="tx1"/>
                  </w14:solidFill>
                </w14:textFill>
              </w:rPr>
              <w:t>。</w:t>
            </w:r>
          </w:p>
          <w:p w14:paraId="393DC554">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表3-</w:t>
            </w:r>
            <w:r>
              <w:rPr>
                <w:rFonts w:hint="eastAsia"/>
                <w:b/>
                <w:color w:val="000000" w:themeColor="text1"/>
                <w:szCs w:val="21"/>
                <w:highlight w:val="none"/>
                <w:lang w:val="en-US" w:eastAsia="zh-CN"/>
                <w14:textFill>
                  <w14:solidFill>
                    <w14:schemeClr w14:val="tx1"/>
                  </w14:solidFill>
                </w14:textFill>
              </w:rPr>
              <w:t>6</w:t>
            </w:r>
            <w:r>
              <w:rPr>
                <w:rFonts w:hint="eastAsia"/>
                <w:b/>
                <w:color w:val="000000" w:themeColor="text1"/>
                <w:szCs w:val="21"/>
                <w:highlight w:val="none"/>
                <w14:textFill>
                  <w14:solidFill>
                    <w14:schemeClr w14:val="tx1"/>
                  </w14:solidFill>
                </w14:textFill>
              </w:rPr>
              <w:t xml:space="preserve">    </w:t>
            </w:r>
            <w:r>
              <w:rPr>
                <w:b/>
                <w:color w:val="000000" w:themeColor="text1"/>
                <w:szCs w:val="21"/>
                <w:highlight w:val="none"/>
                <w14:textFill>
                  <w14:solidFill>
                    <w14:schemeClr w14:val="tx1"/>
                  </w14:solidFill>
                </w14:textFill>
              </w:rPr>
              <w:t xml:space="preserve"> 建筑施工场界环境噪声排放标准单位：dB（A）</w:t>
            </w:r>
          </w:p>
          <w:tbl>
            <w:tblPr>
              <w:tblStyle w:val="30"/>
              <w:tblW w:w="49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73"/>
              <w:gridCol w:w="3210"/>
              <w:gridCol w:w="3261"/>
              <w:gridCol w:w="8"/>
            </w:tblGrid>
            <w:tr w14:paraId="7FB63E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4" w:hRule="exact"/>
                <w:jc w:val="center"/>
              </w:trPr>
              <w:tc>
                <w:tcPr>
                  <w:tcW w:w="926" w:type="pct"/>
                  <w:vAlign w:val="center"/>
                </w:tcPr>
                <w:p w14:paraId="11C802B5">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序号</w:t>
                  </w:r>
                </w:p>
              </w:tc>
              <w:tc>
                <w:tcPr>
                  <w:tcW w:w="4073" w:type="pct"/>
                  <w:gridSpan w:val="3"/>
                  <w:vAlign w:val="center"/>
                </w:tcPr>
                <w:p w14:paraId="411C8F67">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噪声限值</w:t>
                  </w:r>
                </w:p>
              </w:tc>
            </w:tr>
            <w:tr w14:paraId="25BE70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4" w:type="pct"/>
                <w:trHeight w:val="284" w:hRule="exact"/>
                <w:jc w:val="center"/>
              </w:trPr>
              <w:tc>
                <w:tcPr>
                  <w:tcW w:w="926" w:type="pct"/>
                  <w:vAlign w:val="center"/>
                </w:tcPr>
                <w:p w14:paraId="0D82FE08">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2018" w:type="pct"/>
                  <w:vAlign w:val="center"/>
                </w:tcPr>
                <w:p w14:paraId="75582BC8">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昼间</w:t>
                  </w:r>
                </w:p>
              </w:tc>
              <w:tc>
                <w:tcPr>
                  <w:tcW w:w="2050" w:type="pct"/>
                  <w:vAlign w:val="center"/>
                </w:tcPr>
                <w:p w14:paraId="52947E4F">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夜间</w:t>
                  </w:r>
                </w:p>
              </w:tc>
            </w:tr>
            <w:tr w14:paraId="2104AB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4" w:type="pct"/>
                <w:trHeight w:val="284" w:hRule="exact"/>
                <w:jc w:val="center"/>
              </w:trPr>
              <w:tc>
                <w:tcPr>
                  <w:tcW w:w="926" w:type="pct"/>
                  <w:vAlign w:val="center"/>
                </w:tcPr>
                <w:p w14:paraId="15FBE7A3">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p>
              </w:tc>
              <w:tc>
                <w:tcPr>
                  <w:tcW w:w="2018" w:type="pct"/>
                  <w:vAlign w:val="center"/>
                </w:tcPr>
                <w:p w14:paraId="7BF21188">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70</w:t>
                  </w:r>
                </w:p>
              </w:tc>
              <w:tc>
                <w:tcPr>
                  <w:tcW w:w="2050" w:type="pct"/>
                  <w:vAlign w:val="center"/>
                </w:tcPr>
                <w:p w14:paraId="10978CE3">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55</w:t>
                  </w:r>
                </w:p>
              </w:tc>
            </w:tr>
          </w:tbl>
          <w:p w14:paraId="4B2D2DDF">
            <w:pPr>
              <w:spacing w:line="360" w:lineRule="auto"/>
              <w:ind w:firstLine="480" w:firstLineChars="200"/>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（2）运营期</w:t>
            </w:r>
          </w:p>
          <w:p w14:paraId="1F45AFFC">
            <w:pPr>
              <w:spacing w:line="360" w:lineRule="auto"/>
              <w:ind w:firstLine="480" w:firstLineChars="200"/>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项目运营期噪声排放执行《工业企业厂界环境噪声排放标准》（GB12348-2008）</w:t>
            </w:r>
            <w:r>
              <w:rPr>
                <w:rFonts w:hint="eastAsia"/>
                <w:color w:val="000000" w:themeColor="text1"/>
                <w:kern w:val="0"/>
                <w:sz w:val="24"/>
                <w:highlight w:val="none"/>
                <w:lang w:val="en-US" w:eastAsia="zh-CN"/>
                <w14:textFill>
                  <w14:solidFill>
                    <w14:schemeClr w14:val="tx1"/>
                  </w14:solidFill>
                </w14:textFill>
              </w:rPr>
              <w:t>2</w:t>
            </w:r>
            <w:r>
              <w:rPr>
                <w:color w:val="000000" w:themeColor="text1"/>
                <w:kern w:val="0"/>
                <w:sz w:val="24"/>
                <w:highlight w:val="none"/>
                <w14:textFill>
                  <w14:solidFill>
                    <w14:schemeClr w14:val="tx1"/>
                  </w14:solidFill>
                </w14:textFill>
              </w:rPr>
              <w:t>类标准，详见表3-</w:t>
            </w:r>
            <w:r>
              <w:rPr>
                <w:rFonts w:hint="eastAsia"/>
                <w:color w:val="000000" w:themeColor="text1"/>
                <w:kern w:val="0"/>
                <w:sz w:val="24"/>
                <w:highlight w:val="none"/>
                <w:lang w:val="en-US" w:eastAsia="zh-CN"/>
                <w14:textFill>
                  <w14:solidFill>
                    <w14:schemeClr w14:val="tx1"/>
                  </w14:solidFill>
                </w14:textFill>
              </w:rPr>
              <w:t>7</w:t>
            </w:r>
            <w:r>
              <w:rPr>
                <w:color w:val="000000" w:themeColor="text1"/>
                <w:kern w:val="0"/>
                <w:sz w:val="24"/>
                <w:highlight w:val="none"/>
                <w14:textFill>
                  <w14:solidFill>
                    <w14:schemeClr w14:val="tx1"/>
                  </w14:solidFill>
                </w14:textFill>
              </w:rPr>
              <w:t>。</w:t>
            </w:r>
          </w:p>
          <w:p w14:paraId="4F7D2692">
            <w:pPr>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表3-</w:t>
            </w:r>
            <w:r>
              <w:rPr>
                <w:rFonts w:hint="eastAsia"/>
                <w:b/>
                <w:color w:val="000000" w:themeColor="text1"/>
                <w:szCs w:val="21"/>
                <w:highlight w:val="none"/>
                <w:lang w:val="en-US" w:eastAsia="zh-CN"/>
                <w14:textFill>
                  <w14:solidFill>
                    <w14:schemeClr w14:val="tx1"/>
                  </w14:solidFill>
                </w14:textFill>
              </w:rPr>
              <w:t>7</w:t>
            </w:r>
            <w:r>
              <w:rPr>
                <w:rFonts w:hint="eastAsia"/>
                <w:b/>
                <w:color w:val="000000" w:themeColor="text1"/>
                <w:szCs w:val="21"/>
                <w:highlight w:val="none"/>
                <w14:textFill>
                  <w14:solidFill>
                    <w14:schemeClr w14:val="tx1"/>
                  </w14:solidFill>
                </w14:textFill>
              </w:rPr>
              <w:t xml:space="preserve">  </w:t>
            </w:r>
            <w:r>
              <w:rPr>
                <w:b/>
                <w:color w:val="000000" w:themeColor="text1"/>
                <w:szCs w:val="21"/>
                <w:highlight w:val="none"/>
                <w14:textFill>
                  <w14:solidFill>
                    <w14:schemeClr w14:val="tx1"/>
                  </w14:solidFill>
                </w14:textFill>
              </w:rPr>
              <w:t>工业企业厂界环境噪声排放标准 单位：dB（A）</w:t>
            </w:r>
          </w:p>
          <w:tbl>
            <w:tblPr>
              <w:tblStyle w:val="30"/>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26"/>
              <w:gridCol w:w="1769"/>
              <w:gridCol w:w="2316"/>
              <w:gridCol w:w="2140"/>
            </w:tblGrid>
            <w:tr w14:paraId="5DC037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4" w:hRule="exact"/>
              </w:trPr>
              <w:tc>
                <w:tcPr>
                  <w:tcW w:w="1085" w:type="pct"/>
                  <w:vAlign w:val="center"/>
                </w:tcPr>
                <w:p w14:paraId="0F3D8895">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序号</w:t>
                  </w:r>
                </w:p>
              </w:tc>
              <w:tc>
                <w:tcPr>
                  <w:tcW w:w="1112" w:type="pct"/>
                  <w:vAlign w:val="center"/>
                </w:tcPr>
                <w:p w14:paraId="46AD71ED">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类别</w:t>
                  </w:r>
                </w:p>
              </w:tc>
              <w:tc>
                <w:tcPr>
                  <w:tcW w:w="1456" w:type="pct"/>
                  <w:vAlign w:val="center"/>
                </w:tcPr>
                <w:p w14:paraId="06F87AFA">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昼间</w:t>
                  </w:r>
                </w:p>
              </w:tc>
              <w:tc>
                <w:tcPr>
                  <w:tcW w:w="1345" w:type="pct"/>
                  <w:vAlign w:val="center"/>
                </w:tcPr>
                <w:p w14:paraId="05926F30">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夜间</w:t>
                  </w:r>
                </w:p>
              </w:tc>
            </w:tr>
            <w:tr w14:paraId="3C6B90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4" w:hRule="exact"/>
              </w:trPr>
              <w:tc>
                <w:tcPr>
                  <w:tcW w:w="1085" w:type="pct"/>
                  <w:vAlign w:val="center"/>
                </w:tcPr>
                <w:p w14:paraId="322DDDAE">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1112" w:type="pct"/>
                  <w:vAlign w:val="center"/>
                </w:tcPr>
                <w:p w14:paraId="249E359A">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类</w:t>
                  </w:r>
                </w:p>
              </w:tc>
              <w:tc>
                <w:tcPr>
                  <w:tcW w:w="1456" w:type="pct"/>
                  <w:vAlign w:val="center"/>
                </w:tcPr>
                <w:p w14:paraId="647B232B">
                  <w:pPr>
                    <w:jc w:val="center"/>
                    <w:rPr>
                      <w:rFonts w:hint="eastAsia" w:eastAsia="宋体"/>
                      <w:color w:val="000000" w:themeColor="text1"/>
                      <w:szCs w:val="21"/>
                      <w:highlight w:val="none"/>
                      <w:lang w:val="en-US" w:eastAsia="zh-CN"/>
                      <w14:textFill>
                        <w14:solidFill>
                          <w14:schemeClr w14:val="tx1"/>
                        </w14:solidFill>
                      </w14:textFill>
                    </w:rPr>
                  </w:pPr>
                  <w:r>
                    <w:rPr>
                      <w:color w:val="000000" w:themeColor="text1"/>
                      <w:szCs w:val="21"/>
                      <w:highlight w:val="none"/>
                      <w14:textFill>
                        <w14:solidFill>
                          <w14:schemeClr w14:val="tx1"/>
                        </w14:solidFill>
                      </w14:textFill>
                    </w:rPr>
                    <w:t>6</w:t>
                  </w:r>
                  <w:r>
                    <w:rPr>
                      <w:rFonts w:hint="eastAsia"/>
                      <w:color w:val="000000" w:themeColor="text1"/>
                      <w:szCs w:val="21"/>
                      <w:highlight w:val="none"/>
                      <w:lang w:val="en-US" w:eastAsia="zh-CN"/>
                      <w14:textFill>
                        <w14:solidFill>
                          <w14:schemeClr w14:val="tx1"/>
                        </w14:solidFill>
                      </w14:textFill>
                    </w:rPr>
                    <w:t>0</w:t>
                  </w:r>
                </w:p>
              </w:tc>
              <w:tc>
                <w:tcPr>
                  <w:tcW w:w="1345" w:type="pct"/>
                  <w:vAlign w:val="center"/>
                </w:tcPr>
                <w:p w14:paraId="63011ABC">
                  <w:pPr>
                    <w:jc w:val="center"/>
                    <w:rPr>
                      <w:rFonts w:hint="eastAsia" w:eastAsia="宋体"/>
                      <w:color w:val="000000" w:themeColor="text1"/>
                      <w:szCs w:val="21"/>
                      <w:highlight w:val="none"/>
                      <w:lang w:eastAsia="zh-CN"/>
                      <w14:textFill>
                        <w14:solidFill>
                          <w14:schemeClr w14:val="tx1"/>
                        </w14:solidFill>
                      </w14:textFill>
                    </w:rPr>
                  </w:pPr>
                  <w:r>
                    <w:rPr>
                      <w:color w:val="000000" w:themeColor="text1"/>
                      <w:szCs w:val="21"/>
                      <w:highlight w:val="none"/>
                      <w14:textFill>
                        <w14:solidFill>
                          <w14:schemeClr w14:val="tx1"/>
                        </w14:solidFill>
                      </w14:textFill>
                    </w:rPr>
                    <w:t>5</w:t>
                  </w:r>
                  <w:r>
                    <w:rPr>
                      <w:rFonts w:hint="eastAsia"/>
                      <w:color w:val="000000" w:themeColor="text1"/>
                      <w:szCs w:val="21"/>
                      <w:highlight w:val="none"/>
                      <w:lang w:val="en-US" w:eastAsia="zh-CN"/>
                      <w14:textFill>
                        <w14:solidFill>
                          <w14:schemeClr w14:val="tx1"/>
                        </w14:solidFill>
                      </w14:textFill>
                    </w:rPr>
                    <w:t>0</w:t>
                  </w:r>
                </w:p>
              </w:tc>
            </w:tr>
          </w:tbl>
          <w:p w14:paraId="05989E1A">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w:t>
            </w:r>
            <w:r>
              <w:rPr>
                <w:color w:val="000000" w:themeColor="text1"/>
                <w:sz w:val="24"/>
                <w:highlight w:val="none"/>
                <w14:textFill>
                  <w14:solidFill>
                    <w14:schemeClr w14:val="tx1"/>
                  </w14:solidFill>
                </w14:textFill>
              </w:rPr>
              <w:t>固体废物</w:t>
            </w:r>
          </w:p>
          <w:p w14:paraId="4AF5F99A">
            <w:pPr>
              <w:adjustRightInd w:val="0"/>
              <w:snapToGrid w:val="0"/>
              <w:spacing w:line="360" w:lineRule="auto"/>
              <w:ind w:firstLine="480" w:firstLineChars="200"/>
              <w:rPr>
                <w:color w:val="000000" w:themeColor="text1"/>
                <w:kern w:val="0"/>
                <w:sz w:val="24"/>
                <w:highlight w:val="none"/>
                <w14:textFill>
                  <w14:solidFill>
                    <w14:schemeClr w14:val="tx1"/>
                  </w14:solidFill>
                </w14:textFill>
              </w:rPr>
            </w:pPr>
            <w:r>
              <w:rPr>
                <w:color w:val="000000" w:themeColor="text1"/>
                <w:sz w:val="24"/>
                <w:highlight w:val="none"/>
                <w14:textFill>
                  <w14:solidFill>
                    <w14:schemeClr w14:val="tx1"/>
                  </w14:solidFill>
                </w14:textFill>
              </w:rPr>
              <w:t>一般固废排放执行《一般工业固体废物贮存和填埋污染控制标准》(GB18599-2020</w:t>
            </w:r>
            <w:r>
              <w:rPr>
                <w:rFonts w:hint="eastAsia"/>
                <w:color w:val="000000" w:themeColor="text1"/>
                <w:sz w:val="24"/>
                <w:highlight w:val="none"/>
                <w:lang w:eastAsia="zh-CN"/>
                <w14:textFill>
                  <w14:solidFill>
                    <w14:schemeClr w14:val="tx1"/>
                  </w14:solidFill>
                </w14:textFill>
              </w:rPr>
              <w:t>）</w:t>
            </w:r>
            <w:r>
              <w:rPr>
                <w:color w:val="000000" w:themeColor="text1"/>
                <w:kern w:val="0"/>
                <w:sz w:val="24"/>
                <w:highlight w:val="none"/>
                <w14:textFill>
                  <w14:solidFill>
                    <w14:schemeClr w14:val="tx1"/>
                  </w14:solidFill>
                </w14:textFill>
              </w:rPr>
              <w:t>。</w:t>
            </w:r>
          </w:p>
          <w:p w14:paraId="59755E96">
            <w:pPr>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4</w:t>
            </w:r>
            <w:r>
              <w:rPr>
                <w:rFonts w:hint="eastAsia"/>
                <w:color w:val="000000" w:themeColor="text1"/>
                <w:sz w:val="24"/>
                <w:highlight w:val="none"/>
                <w:lang w:val="en-US" w:eastAsia="zh-CN"/>
                <w14:textFill>
                  <w14:solidFill>
                    <w14:schemeClr w14:val="tx1"/>
                  </w14:solidFill>
                </w14:textFill>
              </w:rPr>
              <w:t>.</w:t>
            </w:r>
            <w:r>
              <w:rPr>
                <w:rFonts w:hint="eastAsia"/>
                <w:color w:val="000000" w:themeColor="text1"/>
                <w:sz w:val="24"/>
                <w:highlight w:val="none"/>
                <w14:textFill>
                  <w14:solidFill>
                    <w14:schemeClr w14:val="tx1"/>
                  </w14:solidFill>
                </w14:textFill>
              </w:rPr>
              <w:t>废水排放标准</w:t>
            </w:r>
          </w:p>
          <w:p w14:paraId="06BA91F0">
            <w:pPr>
              <w:spacing w:line="360" w:lineRule="auto"/>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本项目废水包括厂区员工生活污水。生活污水经化粪池处理后排放至园区污水管网，污水</w:t>
            </w:r>
            <w:r>
              <w:rPr>
                <w:rFonts w:hint="eastAsia"/>
                <w:color w:val="000000" w:themeColor="text1"/>
                <w:sz w:val="24"/>
                <w:highlight w:val="none"/>
                <w:lang w:eastAsia="zh-CN"/>
                <w14:textFill>
                  <w14:solidFill>
                    <w14:schemeClr w14:val="tx1"/>
                  </w14:solidFill>
                </w14:textFill>
              </w:rPr>
              <w:t>排放</w:t>
            </w:r>
            <w:r>
              <w:rPr>
                <w:rFonts w:hint="eastAsia"/>
                <w:color w:val="000000" w:themeColor="text1"/>
                <w:sz w:val="24"/>
                <w:highlight w:val="none"/>
                <w14:textFill>
                  <w14:solidFill>
                    <w14:schemeClr w14:val="tx1"/>
                  </w14:solidFill>
                </w14:textFill>
              </w:rPr>
              <w:t>标准执行《污水综合排放标准》（GB8978-1996）三级标准；</w:t>
            </w:r>
          </w:p>
          <w:p w14:paraId="7351477B">
            <w:pPr>
              <w:bidi w:val="0"/>
              <w:jc w:val="center"/>
              <w:rPr>
                <w:rFonts w:hint="default"/>
                <w:b/>
                <w:bCs/>
                <w:sz w:val="24"/>
                <w:szCs w:val="24"/>
                <w:highlight w:val="none"/>
                <w:lang w:val="en-US" w:eastAsia="zh-CN"/>
              </w:rPr>
            </w:pPr>
            <w:r>
              <w:rPr>
                <w:rFonts w:hint="eastAsia"/>
                <w:b/>
                <w:bCs/>
                <w:sz w:val="24"/>
                <w:szCs w:val="24"/>
                <w:highlight w:val="none"/>
                <w:lang w:val="en-US" w:eastAsia="zh-CN"/>
              </w:rPr>
              <w:t>表3-8 《污水综合排放标准》</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1650"/>
              <w:gridCol w:w="1650"/>
              <w:gridCol w:w="1650"/>
              <w:gridCol w:w="1650"/>
            </w:tblGrid>
            <w:tr w14:paraId="33AE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0" w:type="dxa"/>
                </w:tcPr>
                <w:p w14:paraId="374ED939">
                  <w:pPr>
                    <w:bidi w:val="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标准值</w:t>
                  </w:r>
                </w:p>
              </w:tc>
              <w:tc>
                <w:tcPr>
                  <w:tcW w:w="1650" w:type="dxa"/>
                </w:tcPr>
                <w:p w14:paraId="4AD6308B">
                  <w:pPr>
                    <w:bidi w:val="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pH</w:t>
                  </w:r>
                </w:p>
              </w:tc>
              <w:tc>
                <w:tcPr>
                  <w:tcW w:w="1650" w:type="dxa"/>
                </w:tcPr>
                <w:p w14:paraId="5F31A903">
                  <w:pPr>
                    <w:bidi w:val="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SS</w:t>
                  </w:r>
                </w:p>
              </w:tc>
              <w:tc>
                <w:tcPr>
                  <w:tcW w:w="1650" w:type="dxa"/>
                </w:tcPr>
                <w:p w14:paraId="7C75CECD">
                  <w:pPr>
                    <w:bidi w:val="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COD</w:t>
                  </w:r>
                </w:p>
              </w:tc>
              <w:tc>
                <w:tcPr>
                  <w:tcW w:w="1650" w:type="dxa"/>
                </w:tcPr>
                <w:p w14:paraId="7CD1A570">
                  <w:pPr>
                    <w:bidi w:val="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氨氮</w:t>
                  </w:r>
                </w:p>
              </w:tc>
            </w:tr>
            <w:tr w14:paraId="24AB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0" w:type="dxa"/>
                </w:tcPr>
                <w:p w14:paraId="3D6275C6">
                  <w:pPr>
                    <w:bidi w:val="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三级标准</w:t>
                  </w:r>
                </w:p>
              </w:tc>
              <w:tc>
                <w:tcPr>
                  <w:tcW w:w="1650" w:type="dxa"/>
                </w:tcPr>
                <w:p w14:paraId="4251B0CF">
                  <w:pPr>
                    <w:bidi w:val="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6-9</w:t>
                  </w:r>
                </w:p>
              </w:tc>
              <w:tc>
                <w:tcPr>
                  <w:tcW w:w="1650" w:type="dxa"/>
                </w:tcPr>
                <w:p w14:paraId="40A472A9">
                  <w:pPr>
                    <w:bidi w:val="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400</w:t>
                  </w:r>
                  <w:r>
                    <w:rPr>
                      <w:rFonts w:hint="eastAsia"/>
                      <w:sz w:val="21"/>
                      <w:szCs w:val="21"/>
                      <w:highlight w:val="none"/>
                      <w:lang w:val="en-US" w:eastAsia="zh-CN"/>
                    </w:rPr>
                    <w:t>mg/L</w:t>
                  </w:r>
                </w:p>
              </w:tc>
              <w:tc>
                <w:tcPr>
                  <w:tcW w:w="1650" w:type="dxa"/>
                </w:tcPr>
                <w:p w14:paraId="5DA386A7">
                  <w:pPr>
                    <w:bidi w:val="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500</w:t>
                  </w:r>
                  <w:r>
                    <w:rPr>
                      <w:rFonts w:hint="eastAsia"/>
                      <w:sz w:val="21"/>
                      <w:szCs w:val="21"/>
                      <w:highlight w:val="none"/>
                      <w:lang w:val="en-US" w:eastAsia="zh-CN"/>
                    </w:rPr>
                    <w:t>mg/L</w:t>
                  </w:r>
                </w:p>
              </w:tc>
              <w:tc>
                <w:tcPr>
                  <w:tcW w:w="1650" w:type="dxa"/>
                </w:tcPr>
                <w:p w14:paraId="03C0B639">
                  <w:pPr>
                    <w:bidi w:val="0"/>
                    <w:jc w:val="center"/>
                    <w:rPr>
                      <w:rFonts w:hint="default"/>
                      <w:sz w:val="21"/>
                      <w:szCs w:val="21"/>
                      <w:highlight w:val="none"/>
                      <w:vertAlign w:val="baseline"/>
                      <w:lang w:val="en-US" w:eastAsia="zh-CN"/>
                    </w:rPr>
                  </w:pPr>
                  <w:r>
                    <w:rPr>
                      <w:rFonts w:hint="eastAsia"/>
                      <w:sz w:val="21"/>
                      <w:szCs w:val="21"/>
                      <w:highlight w:val="none"/>
                      <w:vertAlign w:val="baseline"/>
                      <w:lang w:val="en-US" w:eastAsia="zh-CN"/>
                    </w:rPr>
                    <w:t>35</w:t>
                  </w:r>
                  <w:r>
                    <w:rPr>
                      <w:rFonts w:hint="eastAsia"/>
                      <w:sz w:val="21"/>
                      <w:szCs w:val="21"/>
                      <w:highlight w:val="none"/>
                      <w:lang w:val="en-US" w:eastAsia="zh-CN"/>
                    </w:rPr>
                    <w:t>mg/L</w:t>
                  </w:r>
                </w:p>
              </w:tc>
            </w:tr>
          </w:tbl>
          <w:p w14:paraId="58A5399F">
            <w:pPr>
              <w:pStyle w:val="16"/>
              <w:rPr>
                <w:color w:val="000000" w:themeColor="text1"/>
                <w:sz w:val="24"/>
                <w:highlight w:val="none"/>
                <w14:textFill>
                  <w14:solidFill>
                    <w14:schemeClr w14:val="tx1"/>
                  </w14:solidFill>
                </w14:textFill>
              </w:rPr>
            </w:pPr>
          </w:p>
        </w:tc>
      </w:tr>
      <w:tr w14:paraId="5B5E8F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74EE72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总量控制指标</w:t>
            </w:r>
          </w:p>
        </w:tc>
        <w:tc>
          <w:tcPr>
            <w:tcW w:w="8190" w:type="dxa"/>
            <w:vAlign w:val="center"/>
          </w:tcPr>
          <w:p w14:paraId="7A9FB137">
            <w:pPr>
              <w:adjustRightInd w:val="0"/>
              <w:snapToGrid w:val="0"/>
              <w:spacing w:line="360" w:lineRule="auto"/>
              <w:ind w:firstLine="480" w:firstLineChars="200"/>
              <w:rPr>
                <w:rFonts w:hint="default" w:eastAsia="宋体"/>
                <w:sz w:val="24"/>
                <w:highlight w:val="none"/>
                <w:lang w:val="en-US" w:eastAsia="zh-CN"/>
              </w:rPr>
            </w:pPr>
            <w:r>
              <w:rPr>
                <w:rFonts w:hint="eastAsia"/>
                <w:color w:val="000000" w:themeColor="text1"/>
                <w:kern w:val="0"/>
                <w:sz w:val="24"/>
                <w:highlight w:val="none"/>
                <w:lang w:val="en-US" w:eastAsia="zh-CN"/>
                <w14:textFill>
                  <w14:solidFill>
                    <w14:schemeClr w14:val="tx1"/>
                  </w14:solidFill>
                </w14:textFill>
              </w:rPr>
              <w:t>本项目不涉及总量控制指标。</w:t>
            </w:r>
          </w:p>
        </w:tc>
      </w:tr>
    </w:tbl>
    <w:p w14:paraId="55A3D518">
      <w:pPr>
        <w:pStyle w:val="26"/>
        <w:jc w:val="center"/>
        <w:outlineLvl w:val="0"/>
        <w:rPr>
          <w:rFonts w:hint="eastAsia" w:ascii="黑体" w:hAnsi="黑体" w:eastAsia="黑体"/>
          <w:snapToGrid w:val="0"/>
          <w:color w:val="000000" w:themeColor="text1"/>
          <w:sz w:val="30"/>
          <w:szCs w:val="30"/>
          <w:highlight w:val="none"/>
          <w14:textFill>
            <w14:solidFill>
              <w14:schemeClr w14:val="tx1"/>
            </w14:solidFill>
          </w14:textFill>
        </w:rPr>
      </w:pPr>
      <w:r>
        <w:rPr>
          <w:rFonts w:ascii="黑体" w:hAnsi="黑体" w:eastAsia="黑体"/>
          <w:snapToGrid w:val="0"/>
          <w:color w:val="000000" w:themeColor="text1"/>
          <w:sz w:val="36"/>
          <w:szCs w:val="36"/>
          <w:highlight w:val="none"/>
          <w14:textFill>
            <w14:solidFill>
              <w14:schemeClr w14:val="tx1"/>
            </w14:solidFill>
          </w14:textFill>
        </w:rPr>
        <w:br w:type="page"/>
      </w:r>
      <w:r>
        <w:rPr>
          <w:rFonts w:hint="eastAsia" w:ascii="黑体" w:hAnsi="黑体" w:eastAsia="黑体"/>
          <w:snapToGrid w:val="0"/>
          <w:color w:val="000000" w:themeColor="text1"/>
          <w:sz w:val="30"/>
          <w:szCs w:val="30"/>
          <w:highlight w:val="none"/>
          <w14:textFill>
            <w14:solidFill>
              <w14:schemeClr w14:val="tx1"/>
            </w14:solidFill>
          </w14:textFill>
        </w:rPr>
        <w:t>四、主要环境影响和保护措施</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216866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46" w:type="dxa"/>
            <w:tcMar>
              <w:left w:w="28" w:type="dxa"/>
              <w:right w:w="28" w:type="dxa"/>
            </w:tcMar>
            <w:vAlign w:val="center"/>
          </w:tcPr>
          <w:p w14:paraId="752D2644">
            <w:pPr>
              <w:pStyle w:val="26"/>
              <w:adjustRightInd w:val="0"/>
              <w:snapToGrid w:val="0"/>
              <w:spacing w:before="0" w:beforeAutospacing="0" w:after="0" w:afterAutospacing="0"/>
              <w:jc w:val="center"/>
              <w:rPr>
                <w:rFonts w:ascii="Times New Roman" w:hAnsi="Times New Roman"/>
                <w:bCs/>
                <w:color w:val="000000" w:themeColor="text1"/>
                <w:kern w:val="2"/>
                <w:szCs w:val="24"/>
                <w:highlight w:val="none"/>
                <w14:textFill>
                  <w14:solidFill>
                    <w14:schemeClr w14:val="tx1"/>
                  </w14:solidFill>
                </w14:textFill>
              </w:rPr>
            </w:pPr>
            <w:r>
              <w:rPr>
                <w:rFonts w:ascii="Times New Roman" w:hAnsi="Times New Roman"/>
                <w:color w:val="000000" w:themeColor="text1"/>
                <w:kern w:val="2"/>
                <w:szCs w:val="24"/>
                <w:highlight w:val="none"/>
                <w14:textFill>
                  <w14:solidFill>
                    <w14:schemeClr w14:val="tx1"/>
                  </w14:solidFill>
                </w14:textFill>
              </w:rPr>
              <w:t>施工期环境保护措施</w:t>
            </w:r>
          </w:p>
        </w:tc>
        <w:tc>
          <w:tcPr>
            <w:tcW w:w="8162" w:type="dxa"/>
            <w:vAlign w:val="center"/>
          </w:tcPr>
          <w:p w14:paraId="6022078F">
            <w:pPr>
              <w:adjustRightInd w:val="0"/>
              <w:snapToGrid w:val="0"/>
              <w:spacing w:line="360" w:lineRule="auto"/>
              <w:ind w:firstLine="442" w:firstLineChars="200"/>
              <w:rPr>
                <w:b/>
                <w:color w:val="000000" w:themeColor="text1"/>
                <w:spacing w:val="-10"/>
                <w:sz w:val="24"/>
                <w:highlight w:val="none"/>
                <w14:textFill>
                  <w14:solidFill>
                    <w14:schemeClr w14:val="tx1"/>
                  </w14:solidFill>
                </w14:textFill>
              </w:rPr>
            </w:pPr>
            <w:r>
              <w:rPr>
                <w:b/>
                <w:color w:val="000000" w:themeColor="text1"/>
                <w:spacing w:val="-10"/>
                <w:sz w:val="24"/>
                <w:highlight w:val="none"/>
                <w14:textFill>
                  <w14:solidFill>
                    <w14:schemeClr w14:val="tx1"/>
                  </w14:solidFill>
                </w14:textFill>
              </w:rPr>
              <w:t>施工期环境环保措施：</w:t>
            </w:r>
          </w:p>
          <w:p w14:paraId="1488DD22">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施工内容主要包括</w:t>
            </w:r>
            <w:r>
              <w:rPr>
                <w:rFonts w:hint="eastAsia"/>
                <w:bCs/>
                <w:color w:val="000000" w:themeColor="text1"/>
                <w:spacing w:val="-10"/>
                <w:sz w:val="24"/>
                <w:highlight w:val="none"/>
                <w14:textFill>
                  <w14:solidFill>
                    <w14:schemeClr w14:val="tx1"/>
                  </w14:solidFill>
                </w14:textFill>
              </w:rPr>
              <w:t>生产车间</w:t>
            </w:r>
            <w:r>
              <w:rPr>
                <w:bCs/>
                <w:color w:val="000000" w:themeColor="text1"/>
                <w:spacing w:val="-10"/>
                <w:sz w:val="24"/>
                <w:highlight w:val="none"/>
                <w14:textFill>
                  <w14:solidFill>
                    <w14:schemeClr w14:val="tx1"/>
                  </w14:solidFill>
                </w14:textFill>
              </w:rPr>
              <w:t>土建工程、设备安装</w:t>
            </w:r>
            <w:r>
              <w:rPr>
                <w:rFonts w:hint="eastAsia"/>
                <w:bCs/>
                <w:color w:val="000000" w:themeColor="text1"/>
                <w:spacing w:val="-10"/>
                <w:sz w:val="24"/>
                <w:highlight w:val="none"/>
                <w:lang w:eastAsia="zh-CN"/>
                <w14:textFill>
                  <w14:solidFill>
                    <w14:schemeClr w14:val="tx1"/>
                  </w14:solidFill>
                </w14:textFill>
              </w:rPr>
              <w:t>工程</w:t>
            </w:r>
            <w:r>
              <w:rPr>
                <w:bCs/>
                <w:color w:val="000000" w:themeColor="text1"/>
                <w:spacing w:val="-10"/>
                <w:sz w:val="24"/>
                <w:highlight w:val="none"/>
                <w14:textFill>
                  <w14:solidFill>
                    <w14:schemeClr w14:val="tx1"/>
                  </w14:solidFill>
                </w14:textFill>
              </w:rPr>
              <w:t>、附属工程等。施工期产生的污染物主要为施工扬尘、施工机械废气、施工噪声、施工废水和生活污水、生活垃圾及建筑固废等。</w:t>
            </w:r>
          </w:p>
          <w:p w14:paraId="61980F35">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rFonts w:hint="eastAsia"/>
                <w:bCs/>
                <w:color w:val="000000" w:themeColor="text1"/>
                <w:spacing w:val="-10"/>
                <w:sz w:val="24"/>
                <w:highlight w:val="none"/>
                <w14:textFill>
                  <w14:solidFill>
                    <w14:schemeClr w14:val="tx1"/>
                  </w14:solidFill>
                </w14:textFill>
              </w:rPr>
              <w:t>1</w:t>
            </w:r>
            <w:r>
              <w:rPr>
                <w:rFonts w:hint="eastAsia"/>
                <w:bCs/>
                <w:color w:val="000000" w:themeColor="text1"/>
                <w:spacing w:val="-10"/>
                <w:sz w:val="24"/>
                <w:highlight w:val="none"/>
                <w:lang w:val="en-US" w:eastAsia="zh-CN"/>
                <w14:textFill>
                  <w14:solidFill>
                    <w14:schemeClr w14:val="tx1"/>
                  </w14:solidFill>
                </w14:textFill>
              </w:rPr>
              <w:t>.</w:t>
            </w:r>
            <w:r>
              <w:rPr>
                <w:bCs/>
                <w:color w:val="000000" w:themeColor="text1"/>
                <w:spacing w:val="-10"/>
                <w:sz w:val="24"/>
                <w:highlight w:val="none"/>
                <w14:textFill>
                  <w14:solidFill>
                    <w14:schemeClr w14:val="tx1"/>
                  </w14:solidFill>
                </w14:textFill>
              </w:rPr>
              <w:t>大气环境保护措施</w:t>
            </w:r>
          </w:p>
          <w:p w14:paraId="218C4464">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本项目施工过程中产生的废气主要来自场地平整、建筑材料运输及装卸过程产生的扬尘、各类施工机械和运输车辆所排放的废气。</w:t>
            </w:r>
          </w:p>
          <w:p w14:paraId="1D286588">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（1）施工扬尘</w:t>
            </w:r>
          </w:p>
          <w:p w14:paraId="31CBC489">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施工扬尘主要为场地内扬尘，主要产生在以下环节：①</w:t>
            </w:r>
            <w:r>
              <w:rPr>
                <w:rFonts w:hint="eastAsia"/>
                <w:bCs/>
                <w:color w:val="000000" w:themeColor="text1"/>
                <w:spacing w:val="-10"/>
                <w:sz w:val="24"/>
                <w:highlight w:val="none"/>
                <w:lang w:eastAsia="zh-CN"/>
                <w14:textFill>
                  <w14:solidFill>
                    <w14:schemeClr w14:val="tx1"/>
                  </w14:solidFill>
                </w14:textFill>
              </w:rPr>
              <w:t>地</w:t>
            </w:r>
            <w:r>
              <w:rPr>
                <w:bCs/>
                <w:color w:val="000000" w:themeColor="text1"/>
                <w:spacing w:val="-10"/>
                <w:sz w:val="24"/>
                <w:highlight w:val="none"/>
                <w14:textFill>
                  <w14:solidFill>
                    <w14:schemeClr w14:val="tx1"/>
                  </w14:solidFill>
                </w14:textFill>
              </w:rPr>
              <w:t>层开挖、回填和现场堆放扬尘；②建筑材料的搬运及堆放扬尘；③施工垃圾的清理及堆放扬尘；④物料运输车辆造成的道路扬尘。</w:t>
            </w:r>
          </w:p>
          <w:p w14:paraId="713F8319">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为把建设项目施工扬尘污染降到最低，针对施工阶段提出如下防治措施：</w:t>
            </w:r>
          </w:p>
          <w:p w14:paraId="2C95534A">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①施工作业</w:t>
            </w:r>
            <w:r>
              <w:rPr>
                <w:rFonts w:hint="eastAsia"/>
                <w:bCs/>
                <w:color w:val="000000" w:themeColor="text1"/>
                <w:spacing w:val="-10"/>
                <w:sz w:val="24"/>
                <w:highlight w:val="none"/>
                <w14:textFill>
                  <w14:solidFill>
                    <w14:schemeClr w14:val="tx1"/>
                  </w14:solidFill>
                </w14:textFill>
              </w:rPr>
              <w:t>区四周设置围挡</w:t>
            </w:r>
            <w:r>
              <w:rPr>
                <w:bCs/>
                <w:color w:val="000000" w:themeColor="text1"/>
                <w:spacing w:val="-10"/>
                <w:sz w:val="24"/>
                <w:highlight w:val="none"/>
                <w14:textFill>
                  <w14:solidFill>
                    <w14:schemeClr w14:val="tx1"/>
                  </w14:solidFill>
                </w14:textFill>
              </w:rPr>
              <w:t>；</w:t>
            </w:r>
          </w:p>
          <w:p w14:paraId="77A90570">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②施工过程中通过洒水车运水至场地运输通道，及时洒水以减少汽车行驶扬尘；</w:t>
            </w:r>
          </w:p>
          <w:p w14:paraId="2A428570">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③限制运输车辆的行驶速度，场地内行车速度不得超过15km/h；</w:t>
            </w:r>
          </w:p>
          <w:p w14:paraId="5505D4F4">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④起尘原材料覆盖存放；</w:t>
            </w:r>
          </w:p>
          <w:p w14:paraId="5BC7887A">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通过采取以上措施后，可大幅度降低施工造成的大气污染，施工期扬尘基本控制在施工现场范围内，满足《大气污染物综合排放标准》（GB16297-1996）表2新污染源大气污染物排放限值的要求。另外，施工产生的扬尘属短期污染，其影响将随施工行为的结束而结束。因此在采取严格的防尘措施后，施工扬尘的影响将大大降低，其对环境的影响也将随</w:t>
            </w:r>
            <w:r>
              <w:rPr>
                <w:rFonts w:hint="eastAsia"/>
                <w:bCs/>
                <w:color w:val="000000" w:themeColor="text1"/>
                <w:spacing w:val="-10"/>
                <w:sz w:val="24"/>
                <w:highlight w:val="none"/>
                <w:lang w:eastAsia="zh-CN"/>
                <w14:textFill>
                  <w14:solidFill>
                    <w14:schemeClr w14:val="tx1"/>
                  </w14:solidFill>
                </w14:textFill>
              </w:rPr>
              <w:t>着</w:t>
            </w:r>
            <w:r>
              <w:rPr>
                <w:bCs/>
                <w:color w:val="000000" w:themeColor="text1"/>
                <w:spacing w:val="-10"/>
                <w:sz w:val="24"/>
                <w:highlight w:val="none"/>
                <w14:textFill>
                  <w14:solidFill>
                    <w14:schemeClr w14:val="tx1"/>
                  </w14:solidFill>
                </w14:textFill>
              </w:rPr>
              <w:t>施工的结束而消失。</w:t>
            </w:r>
          </w:p>
          <w:p w14:paraId="10CBA97C">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（2）施工机械废气</w:t>
            </w:r>
          </w:p>
          <w:p w14:paraId="7031A281">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本项目施工过程使用的施工机械与运输车辆在施工过程和运输过程中会排放废气，污染物以NOx、SO</w:t>
            </w:r>
            <w:r>
              <w:rPr>
                <w:bCs/>
                <w:color w:val="000000" w:themeColor="text1"/>
                <w:spacing w:val="-10"/>
                <w:sz w:val="24"/>
                <w:highlight w:val="none"/>
                <w:vertAlign w:val="subscript"/>
                <w14:textFill>
                  <w14:solidFill>
                    <w14:schemeClr w14:val="tx1"/>
                  </w14:solidFill>
                </w14:textFill>
              </w:rPr>
              <w:t>2</w:t>
            </w:r>
            <w:r>
              <w:rPr>
                <w:bCs/>
                <w:color w:val="000000" w:themeColor="text1"/>
                <w:spacing w:val="-10"/>
                <w:sz w:val="24"/>
                <w:highlight w:val="none"/>
                <w14:textFill>
                  <w14:solidFill>
                    <w14:schemeClr w14:val="tx1"/>
                  </w14:solidFill>
                </w14:textFill>
              </w:rPr>
              <w:t>、CO、烃类和烟尘为主。该类</w:t>
            </w:r>
            <w:r>
              <w:rPr>
                <w:rFonts w:hint="eastAsia"/>
                <w:bCs/>
                <w:color w:val="000000" w:themeColor="text1"/>
                <w:spacing w:val="-10"/>
                <w:sz w:val="24"/>
                <w:highlight w:val="none"/>
                <w:lang w:eastAsia="zh-CN"/>
                <w14:textFill>
                  <w14:solidFill>
                    <w14:schemeClr w14:val="tx1"/>
                  </w14:solidFill>
                </w14:textFill>
              </w:rPr>
              <w:t>废气</w:t>
            </w:r>
            <w:r>
              <w:rPr>
                <w:bCs/>
                <w:color w:val="000000" w:themeColor="text1"/>
                <w:spacing w:val="-10"/>
                <w:sz w:val="24"/>
                <w:highlight w:val="none"/>
                <w14:textFill>
                  <w14:solidFill>
                    <w14:schemeClr w14:val="tx1"/>
                  </w14:solidFill>
                </w14:textFill>
              </w:rPr>
              <w:t>源一般具有排放量小、间歇性、短期性和流动性</w:t>
            </w:r>
            <w:r>
              <w:rPr>
                <w:rFonts w:hint="eastAsia"/>
                <w:bCs/>
                <w:color w:val="000000" w:themeColor="text1"/>
                <w:spacing w:val="-10"/>
                <w:sz w:val="24"/>
                <w:highlight w:val="none"/>
                <w:lang w:eastAsia="zh-CN"/>
                <w14:textFill>
                  <w14:solidFill>
                    <w14:schemeClr w14:val="tx1"/>
                  </w14:solidFill>
                </w14:textFill>
              </w:rPr>
              <w:t>等</w:t>
            </w:r>
            <w:r>
              <w:rPr>
                <w:bCs/>
                <w:color w:val="000000" w:themeColor="text1"/>
                <w:spacing w:val="-10"/>
                <w:sz w:val="24"/>
                <w:highlight w:val="none"/>
                <w14:textFill>
                  <w14:solidFill>
                    <w14:schemeClr w14:val="tx1"/>
                  </w14:solidFill>
                </w14:textFill>
              </w:rPr>
              <w:t>特点，类似调查结果显示该类废气源对局部地区的环境影响较</w:t>
            </w:r>
            <w:r>
              <w:rPr>
                <w:rFonts w:hint="eastAsia"/>
                <w:bCs/>
                <w:color w:val="000000" w:themeColor="text1"/>
                <w:spacing w:val="-10"/>
                <w:sz w:val="24"/>
                <w:highlight w:val="none"/>
                <w:lang w:eastAsia="zh-CN"/>
                <w14:textFill>
                  <w14:solidFill>
                    <w14:schemeClr w14:val="tx1"/>
                  </w14:solidFill>
                </w14:textFill>
              </w:rPr>
              <w:t>小</w:t>
            </w:r>
            <w:r>
              <w:rPr>
                <w:bCs/>
                <w:color w:val="000000" w:themeColor="text1"/>
                <w:spacing w:val="-10"/>
                <w:sz w:val="24"/>
                <w:highlight w:val="none"/>
                <w14:textFill>
                  <w14:solidFill>
                    <w14:schemeClr w14:val="tx1"/>
                  </w14:solidFill>
                </w14:textFill>
              </w:rPr>
              <w:t>，不会造成大的影响。在施工过程中，禁止运输车辆超载；加强施工机械的日常保养和维护；禁止使用废气排放超标的车辆。在采取以上措施后，施工机械废气对局部区域环境影响较小。</w:t>
            </w:r>
          </w:p>
          <w:p w14:paraId="3B34325D">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rFonts w:hint="eastAsia"/>
                <w:bCs/>
                <w:color w:val="000000" w:themeColor="text1"/>
                <w:spacing w:val="-10"/>
                <w:sz w:val="24"/>
                <w:highlight w:val="none"/>
                <w14:textFill>
                  <w14:solidFill>
                    <w14:schemeClr w14:val="tx1"/>
                  </w14:solidFill>
                </w14:textFill>
              </w:rPr>
              <w:t>2</w:t>
            </w:r>
            <w:r>
              <w:rPr>
                <w:rFonts w:hint="eastAsia"/>
                <w:bCs/>
                <w:color w:val="000000" w:themeColor="text1"/>
                <w:spacing w:val="-10"/>
                <w:sz w:val="24"/>
                <w:highlight w:val="none"/>
                <w:lang w:val="en-US" w:eastAsia="zh-CN"/>
                <w14:textFill>
                  <w14:solidFill>
                    <w14:schemeClr w14:val="tx1"/>
                  </w14:solidFill>
                </w14:textFill>
              </w:rPr>
              <w:t>.</w:t>
            </w:r>
            <w:r>
              <w:rPr>
                <w:bCs/>
                <w:color w:val="000000" w:themeColor="text1"/>
                <w:spacing w:val="-10"/>
                <w:sz w:val="24"/>
                <w:highlight w:val="none"/>
                <w14:textFill>
                  <w14:solidFill>
                    <w14:schemeClr w14:val="tx1"/>
                  </w14:solidFill>
                </w14:textFill>
              </w:rPr>
              <w:t>水环境保护措施</w:t>
            </w:r>
          </w:p>
          <w:p w14:paraId="5C7CEB3B">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为减少施工期的废水污染，应采取的措施是：施工期</w:t>
            </w:r>
            <w:r>
              <w:rPr>
                <w:rFonts w:hint="eastAsia"/>
                <w:bCs/>
                <w:color w:val="000000" w:themeColor="text1"/>
                <w:spacing w:val="-10"/>
                <w:sz w:val="24"/>
                <w:highlight w:val="none"/>
                <w14:textFill>
                  <w14:solidFill>
                    <w14:schemeClr w14:val="tx1"/>
                  </w14:solidFill>
                </w14:textFill>
              </w:rPr>
              <w:t>施工废水主要为</w:t>
            </w:r>
            <w:r>
              <w:rPr>
                <w:bCs/>
                <w:color w:val="000000" w:themeColor="text1"/>
                <w:spacing w:val="-10"/>
                <w:sz w:val="24"/>
                <w:highlight w:val="none"/>
                <w14:textFill>
                  <w14:solidFill>
                    <w14:schemeClr w14:val="tx1"/>
                  </w14:solidFill>
                </w14:textFill>
              </w:rPr>
              <w:t>设备清洗水</w:t>
            </w:r>
            <w:r>
              <w:rPr>
                <w:rFonts w:hint="eastAsia"/>
                <w:bCs/>
                <w:color w:val="000000" w:themeColor="text1"/>
                <w:spacing w:val="-10"/>
                <w:sz w:val="24"/>
                <w:highlight w:val="none"/>
                <w14:textFill>
                  <w14:solidFill>
                    <w14:schemeClr w14:val="tx1"/>
                  </w14:solidFill>
                </w14:textFill>
              </w:rPr>
              <w:t>，</w:t>
            </w:r>
            <w:r>
              <w:rPr>
                <w:bCs/>
                <w:color w:val="000000" w:themeColor="text1"/>
                <w:spacing w:val="-10"/>
                <w:sz w:val="24"/>
                <w:highlight w:val="none"/>
                <w14:textFill>
                  <w14:solidFill>
                    <w14:schemeClr w14:val="tx1"/>
                  </w14:solidFill>
                </w14:textFill>
              </w:rPr>
              <w:t>设备清洗水中SS和矿物油含量较高，应设防渗沉淀池收集沉淀后用于抑尘，</w:t>
            </w:r>
            <w:r>
              <w:rPr>
                <w:rFonts w:hint="eastAsia"/>
                <w:bCs/>
                <w:color w:val="000000" w:themeColor="text1"/>
                <w:spacing w:val="-10"/>
                <w:sz w:val="24"/>
                <w:highlight w:val="none"/>
                <w14:textFill>
                  <w14:solidFill>
                    <w14:schemeClr w14:val="tx1"/>
                  </w14:solidFill>
                </w14:textFill>
              </w:rPr>
              <w:t>不外排</w:t>
            </w:r>
            <w:r>
              <w:rPr>
                <w:bCs/>
                <w:color w:val="000000" w:themeColor="text1"/>
                <w:spacing w:val="-10"/>
                <w:sz w:val="24"/>
                <w:highlight w:val="none"/>
                <w14:textFill>
                  <w14:solidFill>
                    <w14:schemeClr w14:val="tx1"/>
                  </w14:solidFill>
                </w14:textFill>
              </w:rPr>
              <w:t>，要求均匀喷洒，严禁形成地表径流。预计施工期对水环境的影响较小。施工人员生活污水</w:t>
            </w:r>
            <w:r>
              <w:rPr>
                <w:rFonts w:hint="eastAsia"/>
                <w:bCs/>
                <w:color w:val="000000" w:themeColor="text1"/>
                <w:spacing w:val="-10"/>
                <w:sz w:val="24"/>
                <w:highlight w:val="none"/>
                <w14:textFill>
                  <w14:solidFill>
                    <w14:schemeClr w14:val="tx1"/>
                  </w14:solidFill>
                </w14:textFill>
              </w:rPr>
              <w:t>排放至</w:t>
            </w:r>
            <w:r>
              <w:rPr>
                <w:color w:val="000000" w:themeColor="text1"/>
                <w:sz w:val="24"/>
                <w:highlight w:val="none"/>
                <w14:textFill>
                  <w14:solidFill>
                    <w14:schemeClr w14:val="tx1"/>
                  </w14:solidFill>
                </w14:textFill>
              </w:rPr>
              <w:t>综合利用环保市政砖项目</w:t>
            </w:r>
            <w:r>
              <w:rPr>
                <w:rFonts w:hint="eastAsia"/>
                <w:color w:val="000000" w:themeColor="text1"/>
                <w:sz w:val="24"/>
                <w:highlight w:val="none"/>
                <w14:textFill>
                  <w14:solidFill>
                    <w14:schemeClr w14:val="tx1"/>
                  </w14:solidFill>
                </w14:textFill>
              </w:rPr>
              <w:t>现有卫生间内，</w:t>
            </w:r>
            <w:r>
              <w:rPr>
                <w:bCs/>
                <w:color w:val="000000" w:themeColor="text1"/>
                <w:spacing w:val="-10"/>
                <w:sz w:val="24"/>
                <w:highlight w:val="none"/>
                <w14:textFill>
                  <w14:solidFill>
                    <w14:schemeClr w14:val="tx1"/>
                  </w14:solidFill>
                </w14:textFill>
              </w:rPr>
              <w:t>不外排。随着施工期的结束，该类污染</w:t>
            </w:r>
            <w:r>
              <w:rPr>
                <w:rFonts w:hint="eastAsia"/>
                <w:bCs/>
                <w:color w:val="000000" w:themeColor="text1"/>
                <w:spacing w:val="-10"/>
                <w:sz w:val="24"/>
                <w:highlight w:val="none"/>
                <w:lang w:eastAsia="zh-CN"/>
                <w14:textFill>
                  <w14:solidFill>
                    <w14:schemeClr w14:val="tx1"/>
                  </w14:solidFill>
                </w14:textFill>
              </w:rPr>
              <w:t>也</w:t>
            </w:r>
            <w:r>
              <w:rPr>
                <w:bCs/>
                <w:color w:val="000000" w:themeColor="text1"/>
                <w:spacing w:val="-10"/>
                <w:sz w:val="24"/>
                <w:highlight w:val="none"/>
                <w14:textFill>
                  <w14:solidFill>
                    <w14:schemeClr w14:val="tx1"/>
                  </w14:solidFill>
                </w14:textFill>
              </w:rPr>
              <w:t>将随之</w:t>
            </w:r>
            <w:r>
              <w:rPr>
                <w:rFonts w:hint="eastAsia"/>
                <w:bCs/>
                <w:color w:val="000000" w:themeColor="text1"/>
                <w:spacing w:val="-10"/>
                <w:sz w:val="24"/>
                <w:highlight w:val="none"/>
                <w14:textFill>
                  <w14:solidFill>
                    <w14:schemeClr w14:val="tx1"/>
                  </w14:solidFill>
                </w14:textFill>
              </w:rPr>
              <w:t>结束</w:t>
            </w:r>
            <w:r>
              <w:rPr>
                <w:bCs/>
                <w:color w:val="000000" w:themeColor="text1"/>
                <w:spacing w:val="-10"/>
                <w:sz w:val="24"/>
                <w:highlight w:val="none"/>
                <w14:textFill>
                  <w14:solidFill>
                    <w14:schemeClr w14:val="tx1"/>
                  </w14:solidFill>
                </w14:textFill>
              </w:rPr>
              <w:t>。</w:t>
            </w:r>
          </w:p>
          <w:p w14:paraId="3F592148">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rFonts w:hint="eastAsia"/>
                <w:bCs/>
                <w:color w:val="000000" w:themeColor="text1"/>
                <w:spacing w:val="-10"/>
                <w:sz w:val="24"/>
                <w:highlight w:val="none"/>
                <w14:textFill>
                  <w14:solidFill>
                    <w14:schemeClr w14:val="tx1"/>
                  </w14:solidFill>
                </w14:textFill>
              </w:rPr>
              <w:t>3</w:t>
            </w:r>
            <w:r>
              <w:rPr>
                <w:rFonts w:hint="eastAsia"/>
                <w:bCs/>
                <w:color w:val="000000" w:themeColor="text1"/>
                <w:spacing w:val="-10"/>
                <w:sz w:val="24"/>
                <w:highlight w:val="none"/>
                <w:lang w:val="en-US" w:eastAsia="zh-CN"/>
                <w14:textFill>
                  <w14:solidFill>
                    <w14:schemeClr w14:val="tx1"/>
                  </w14:solidFill>
                </w14:textFill>
              </w:rPr>
              <w:t>.</w:t>
            </w:r>
            <w:r>
              <w:rPr>
                <w:bCs/>
                <w:color w:val="000000" w:themeColor="text1"/>
                <w:spacing w:val="-10"/>
                <w:sz w:val="24"/>
                <w:highlight w:val="none"/>
                <w14:textFill>
                  <w14:solidFill>
                    <w14:schemeClr w14:val="tx1"/>
                  </w14:solidFill>
                </w14:textFill>
              </w:rPr>
              <w:t>固体废物环境保护措施</w:t>
            </w:r>
          </w:p>
          <w:p w14:paraId="595EA1BE">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施工期产生的固体废物主要是建筑垃圾和施工人员的生活垃圾。</w:t>
            </w:r>
          </w:p>
          <w:p w14:paraId="1E6FE705">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为防止施工期固体废物对周围环境带来不利影响，要求施工单位在工程施工期</w:t>
            </w:r>
            <w:r>
              <w:rPr>
                <w:rFonts w:hint="eastAsia"/>
                <w:bCs/>
                <w:color w:val="000000" w:themeColor="text1"/>
                <w:spacing w:val="-10"/>
                <w:sz w:val="24"/>
                <w:highlight w:val="none"/>
                <w:lang w:eastAsia="zh-CN"/>
                <w14:textFill>
                  <w14:solidFill>
                    <w14:schemeClr w14:val="tx1"/>
                  </w14:solidFill>
                </w14:textFill>
              </w:rPr>
              <w:t>间</w:t>
            </w:r>
            <w:r>
              <w:rPr>
                <w:bCs/>
                <w:color w:val="000000" w:themeColor="text1"/>
                <w:spacing w:val="-10"/>
                <w:sz w:val="24"/>
                <w:highlight w:val="none"/>
                <w14:textFill>
                  <w14:solidFill>
                    <w14:schemeClr w14:val="tx1"/>
                  </w14:solidFill>
                </w14:textFill>
              </w:rPr>
              <w:t>采取以下污染防治措施：</w:t>
            </w:r>
          </w:p>
          <w:p w14:paraId="45FE5AFF">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（1）砖块、混凝土、涂刷材料和包装材料等固体废物必须妥善处理，及时清运；</w:t>
            </w:r>
          </w:p>
          <w:p w14:paraId="49F5BA9C">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（2）合理规划施工方案，科学布局施工材料堆放场</w:t>
            </w:r>
            <w:r>
              <w:rPr>
                <w:rFonts w:hint="eastAsia"/>
                <w:bCs/>
                <w:color w:val="000000" w:themeColor="text1"/>
                <w:spacing w:val="-10"/>
                <w:sz w:val="24"/>
                <w:highlight w:val="none"/>
                <w:lang w:eastAsia="zh-CN"/>
                <w14:textFill>
                  <w14:solidFill>
                    <w14:schemeClr w14:val="tx1"/>
                  </w14:solidFill>
                </w14:textFill>
              </w:rPr>
              <w:t>地</w:t>
            </w:r>
            <w:r>
              <w:rPr>
                <w:bCs/>
                <w:color w:val="000000" w:themeColor="text1"/>
                <w:spacing w:val="-10"/>
                <w:sz w:val="24"/>
                <w:highlight w:val="none"/>
                <w14:textFill>
                  <w14:solidFill>
                    <w14:schemeClr w14:val="tx1"/>
                  </w14:solidFill>
                </w14:textFill>
              </w:rPr>
              <w:t>；</w:t>
            </w:r>
          </w:p>
          <w:p w14:paraId="7304C192">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（3）当车辆运输散体废料和废弃物时，必须密闭、包扎、覆盖，不得沿途漏撒，要按照指定的路线行驶；</w:t>
            </w:r>
          </w:p>
          <w:p w14:paraId="1882E225">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（4）施工结束后，要对砖块、混凝土和包装材料等固体废物及时收集，尽量回用，不能回用的送</w:t>
            </w:r>
            <w:r>
              <w:rPr>
                <w:rFonts w:hint="eastAsia"/>
                <w:bCs/>
                <w:color w:val="000000" w:themeColor="text1"/>
                <w:spacing w:val="-10"/>
                <w:sz w:val="24"/>
                <w:highlight w:val="none"/>
                <w:lang w:eastAsia="zh-Hans"/>
                <w14:textFill>
                  <w14:solidFill>
                    <w14:schemeClr w14:val="tx1"/>
                  </w14:solidFill>
                </w14:textFill>
              </w:rPr>
              <w:t>建筑</w:t>
            </w:r>
            <w:r>
              <w:rPr>
                <w:bCs/>
                <w:color w:val="000000" w:themeColor="text1"/>
                <w:spacing w:val="-10"/>
                <w:sz w:val="24"/>
                <w:highlight w:val="none"/>
                <w14:textFill>
                  <w14:solidFill>
                    <w14:schemeClr w14:val="tx1"/>
                  </w14:solidFill>
                </w14:textFill>
              </w:rPr>
              <w:t>垃圾填埋场填埋，以防造成二次污染；</w:t>
            </w:r>
          </w:p>
          <w:p w14:paraId="702A72B1">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（5）建议项目施工时设立建筑垃圾集中收集地点，以免对周围环境造成明显影响。</w:t>
            </w:r>
          </w:p>
          <w:p w14:paraId="277ED48F">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只要严格按照上述措施，加强管理，对各类固体废物分类收集，合理处置，施工期固体废物对环境的影响较小。</w:t>
            </w:r>
          </w:p>
          <w:p w14:paraId="47AD26EC">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rFonts w:hint="eastAsia"/>
                <w:bCs/>
                <w:color w:val="000000" w:themeColor="text1"/>
                <w:spacing w:val="-10"/>
                <w:sz w:val="24"/>
                <w:highlight w:val="none"/>
                <w14:textFill>
                  <w14:solidFill>
                    <w14:schemeClr w14:val="tx1"/>
                  </w14:solidFill>
                </w14:textFill>
              </w:rPr>
              <w:t>4</w:t>
            </w:r>
            <w:r>
              <w:rPr>
                <w:rFonts w:hint="eastAsia"/>
                <w:bCs/>
                <w:color w:val="000000" w:themeColor="text1"/>
                <w:spacing w:val="-10"/>
                <w:sz w:val="24"/>
                <w:highlight w:val="none"/>
                <w:lang w:val="en-US" w:eastAsia="zh-CN"/>
                <w14:textFill>
                  <w14:solidFill>
                    <w14:schemeClr w14:val="tx1"/>
                  </w14:solidFill>
                </w14:textFill>
              </w:rPr>
              <w:t>.</w:t>
            </w:r>
            <w:r>
              <w:rPr>
                <w:bCs/>
                <w:color w:val="000000" w:themeColor="text1"/>
                <w:spacing w:val="-10"/>
                <w:sz w:val="24"/>
                <w:highlight w:val="none"/>
                <w14:textFill>
                  <w14:solidFill>
                    <w14:schemeClr w14:val="tx1"/>
                  </w14:solidFill>
                </w14:textFill>
              </w:rPr>
              <w:t>声环境保护措施</w:t>
            </w:r>
          </w:p>
          <w:p w14:paraId="58BB15AF">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项目</w:t>
            </w:r>
            <w:r>
              <w:rPr>
                <w:bCs/>
                <w:color w:val="000000" w:themeColor="text1"/>
                <w:spacing w:val="-10"/>
                <w:sz w:val="24"/>
                <w:highlight w:val="none"/>
                <w:lang w:val="zh-CN"/>
                <w14:textFill>
                  <w14:solidFill>
                    <w14:schemeClr w14:val="tx1"/>
                  </w14:solidFill>
                </w14:textFill>
              </w:rPr>
              <w:t>施工期噪声源主要为施工机械和运输车辆，其特点是间歇</w:t>
            </w:r>
            <w:r>
              <w:rPr>
                <w:rFonts w:hint="eastAsia"/>
                <w:bCs/>
                <w:color w:val="000000" w:themeColor="text1"/>
                <w:spacing w:val="-10"/>
                <w:sz w:val="24"/>
                <w:highlight w:val="none"/>
                <w:lang w:val="zh-CN"/>
                <w14:textFill>
                  <w14:solidFill>
                    <w14:schemeClr w14:val="tx1"/>
                  </w14:solidFill>
                </w14:textFill>
              </w:rPr>
              <w:t>性</w:t>
            </w:r>
            <w:r>
              <w:rPr>
                <w:bCs/>
                <w:color w:val="000000" w:themeColor="text1"/>
                <w:spacing w:val="-10"/>
                <w:sz w:val="24"/>
                <w:highlight w:val="none"/>
                <w:lang w:val="zh-CN"/>
                <w14:textFill>
                  <w14:solidFill>
                    <w14:schemeClr w14:val="tx1"/>
                  </w14:solidFill>
                </w14:textFill>
              </w:rPr>
              <w:t>或阵发性的，并具备流动性，噪声较高。拟采取的</w:t>
            </w:r>
            <w:r>
              <w:rPr>
                <w:bCs/>
                <w:color w:val="000000" w:themeColor="text1"/>
                <w:spacing w:val="-10"/>
                <w:sz w:val="24"/>
                <w:highlight w:val="none"/>
                <w14:textFill>
                  <w14:solidFill>
                    <w14:schemeClr w14:val="tx1"/>
                  </w14:solidFill>
                </w14:textFill>
              </w:rPr>
              <w:t>防治措施如下：</w:t>
            </w:r>
          </w:p>
          <w:p w14:paraId="1C3BAE46">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为避免施工过程对周边居民正常生活产生不利影响，建设方要严格按照本环评提出的噪声污染防治措施去做，尽量减小施工噪声对周围环境的影响。</w:t>
            </w:r>
          </w:p>
          <w:p w14:paraId="389962C9">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①合理安排施工时间</w:t>
            </w:r>
            <w:r>
              <w:rPr>
                <w:rFonts w:hint="eastAsia"/>
                <w:bCs/>
                <w:color w:val="000000" w:themeColor="text1"/>
                <w:spacing w:val="-10"/>
                <w:sz w:val="24"/>
                <w:highlight w:val="none"/>
                <w:lang w:eastAsia="zh-CN"/>
                <w14:textFill>
                  <w14:solidFill>
                    <w14:schemeClr w14:val="tx1"/>
                  </w14:solidFill>
                </w14:textFill>
              </w:rPr>
              <w:t>，并</w:t>
            </w:r>
            <w:r>
              <w:rPr>
                <w:bCs/>
                <w:color w:val="000000" w:themeColor="text1"/>
                <w:spacing w:val="-10"/>
                <w:sz w:val="24"/>
                <w:highlight w:val="none"/>
                <w14:textFill>
                  <w14:solidFill>
                    <w14:schemeClr w14:val="tx1"/>
                  </w14:solidFill>
                </w14:textFill>
              </w:rPr>
              <w:t>制定施工计划</w:t>
            </w:r>
            <w:r>
              <w:rPr>
                <w:rFonts w:hint="eastAsia"/>
                <w:bCs/>
                <w:color w:val="000000" w:themeColor="text1"/>
                <w:spacing w:val="-10"/>
                <w:sz w:val="24"/>
                <w:highlight w:val="none"/>
                <w:lang w:eastAsia="zh-CN"/>
                <w14:textFill>
                  <w14:solidFill>
                    <w14:schemeClr w14:val="tx1"/>
                  </w14:solidFill>
                </w14:textFill>
              </w:rPr>
              <w:t>；</w:t>
            </w:r>
            <w:r>
              <w:rPr>
                <w:bCs/>
                <w:color w:val="000000" w:themeColor="text1"/>
                <w:spacing w:val="-10"/>
                <w:sz w:val="24"/>
                <w:highlight w:val="none"/>
                <w14:textFill>
                  <w14:solidFill>
                    <w14:schemeClr w14:val="tx1"/>
                  </w14:solidFill>
                </w14:textFill>
              </w:rPr>
              <w:t>尽可能避免大量高噪声设备同时施工。</w:t>
            </w:r>
          </w:p>
          <w:p w14:paraId="6F6F8B10">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②施工时选用噪声符合国家相关标准的施工设备。加强设备维护和保养，保持机械润滑，减少运行噪声；同时加强管理，以减少因施工设备维护和保养不当产生的噪声。</w:t>
            </w:r>
          </w:p>
          <w:p w14:paraId="2536E10C">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③按操作规范操作机械设备，减少操作过程中</w:t>
            </w:r>
            <w:r>
              <w:rPr>
                <w:rFonts w:hint="eastAsia"/>
                <w:bCs/>
                <w:color w:val="000000" w:themeColor="text1"/>
                <w:spacing w:val="-10"/>
                <w:sz w:val="24"/>
                <w:highlight w:val="none"/>
                <w:lang w:eastAsia="zh-CN"/>
                <w14:textFill>
                  <w14:solidFill>
                    <w14:schemeClr w14:val="tx1"/>
                  </w14:solidFill>
                </w14:textFill>
              </w:rPr>
              <w:t>因</w:t>
            </w:r>
            <w:r>
              <w:rPr>
                <w:bCs/>
                <w:color w:val="000000" w:themeColor="text1"/>
                <w:spacing w:val="-10"/>
                <w:sz w:val="24"/>
                <w:highlight w:val="none"/>
                <w14:textFill>
                  <w14:solidFill>
                    <w14:schemeClr w14:val="tx1"/>
                  </w14:solidFill>
                </w14:textFill>
              </w:rPr>
              <w:t>碰撞</w:t>
            </w:r>
            <w:r>
              <w:rPr>
                <w:rFonts w:hint="eastAsia"/>
                <w:bCs/>
                <w:color w:val="000000" w:themeColor="text1"/>
                <w:spacing w:val="-10"/>
                <w:sz w:val="24"/>
                <w:highlight w:val="none"/>
                <w:lang w:eastAsia="zh-CN"/>
                <w14:textFill>
                  <w14:solidFill>
                    <w14:schemeClr w14:val="tx1"/>
                  </w14:solidFill>
                </w14:textFill>
              </w:rPr>
              <w:t>产生的</w:t>
            </w:r>
            <w:r>
              <w:rPr>
                <w:bCs/>
                <w:color w:val="000000" w:themeColor="text1"/>
                <w:spacing w:val="-10"/>
                <w:sz w:val="24"/>
                <w:highlight w:val="none"/>
                <w14:textFill>
                  <w14:solidFill>
                    <w14:schemeClr w14:val="tx1"/>
                  </w14:solidFill>
                </w14:textFill>
              </w:rPr>
              <w:t>噪声，并对工人进行环保方面的教育。</w:t>
            </w:r>
          </w:p>
          <w:p w14:paraId="45644321">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④加强施工管理，优化施工场地布置。</w:t>
            </w:r>
          </w:p>
          <w:p w14:paraId="3270248D">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⑤施工期交通运输噪声对环境影响较大，应尽量减少夜间运输；适当限制大型载重车的车速；对运输车辆定期维修、养护。</w:t>
            </w:r>
          </w:p>
          <w:p w14:paraId="13370DB7">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通过采取以上措施，施工期产生的噪声可满足《建筑施工场界环境噪声排放标准》（GB12523-2011），对周围环境影响较小。并且施工期噪声影响是一定时间、一定范围的，随着施工期的结束，噪声影响也将随之消失。</w:t>
            </w:r>
          </w:p>
          <w:p w14:paraId="3D2DCEEE">
            <w:pPr>
              <w:adjustRightInd w:val="0"/>
              <w:snapToGrid w:val="0"/>
              <w:spacing w:line="360" w:lineRule="auto"/>
              <w:ind w:firstLine="440" w:firstLineChars="200"/>
              <w:rPr>
                <w:bCs/>
                <w:color w:val="000000" w:themeColor="text1"/>
                <w:spacing w:val="-10"/>
                <w:sz w:val="24"/>
                <w:highlight w:val="none"/>
                <w14:textFill>
                  <w14:solidFill>
                    <w14:schemeClr w14:val="tx1"/>
                  </w14:solidFill>
                </w14:textFill>
              </w:rPr>
            </w:pPr>
            <w:r>
              <w:rPr>
                <w:bCs/>
                <w:color w:val="000000" w:themeColor="text1"/>
                <w:spacing w:val="-10"/>
                <w:sz w:val="24"/>
                <w:highlight w:val="none"/>
                <w14:textFill>
                  <w14:solidFill>
                    <w14:schemeClr w14:val="tx1"/>
                  </w14:solidFill>
                </w14:textFill>
              </w:rPr>
              <w:t>综上所述，项目施工期间对周围环境会产生一些不利影响，但由于施工期较短，施工期对环境所产生的不利影响会随着施工的结束而消除。</w:t>
            </w:r>
          </w:p>
        </w:tc>
      </w:tr>
      <w:tr w14:paraId="121DBD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34" w:hRule="atLeast"/>
          <w:jc w:val="center"/>
        </w:trPr>
        <w:tc>
          <w:tcPr>
            <w:tcW w:w="746" w:type="dxa"/>
            <w:tcMar>
              <w:left w:w="28" w:type="dxa"/>
              <w:right w:w="28" w:type="dxa"/>
            </w:tcMar>
            <w:vAlign w:val="center"/>
          </w:tcPr>
          <w:p w14:paraId="6B5B827A">
            <w:pPr>
              <w:adjustRightInd w:val="0"/>
              <w:snapToGrid w:val="0"/>
              <w:jc w:val="center"/>
              <w:rPr>
                <w:bCs/>
                <w:sz w:val="24"/>
                <w:highlight w:val="none"/>
              </w:rPr>
            </w:pPr>
            <w:r>
              <w:rPr>
                <w:bCs/>
                <w:sz w:val="24"/>
                <w:highlight w:val="none"/>
              </w:rPr>
              <w:t>运营期环境影响和保护措施</w:t>
            </w:r>
          </w:p>
        </w:tc>
        <w:tc>
          <w:tcPr>
            <w:tcW w:w="8162" w:type="dxa"/>
            <w:vAlign w:val="center"/>
          </w:tcPr>
          <w:p w14:paraId="6EB12680">
            <w:pPr>
              <w:adjustRightInd w:val="0"/>
              <w:snapToGrid w:val="0"/>
              <w:spacing w:line="360" w:lineRule="auto"/>
              <w:rPr>
                <w:b/>
                <w:bCs w:val="0"/>
                <w:spacing w:val="-10"/>
                <w:sz w:val="24"/>
                <w:highlight w:val="none"/>
              </w:rPr>
            </w:pPr>
            <w:r>
              <w:rPr>
                <w:b/>
                <w:bCs w:val="0"/>
                <w:spacing w:val="-10"/>
                <w:sz w:val="24"/>
                <w:highlight w:val="none"/>
              </w:rPr>
              <w:t>1</w:t>
            </w:r>
            <w:r>
              <w:rPr>
                <w:rFonts w:hint="eastAsia"/>
                <w:b/>
                <w:bCs w:val="0"/>
                <w:spacing w:val="-10"/>
                <w:sz w:val="24"/>
                <w:highlight w:val="none"/>
                <w:lang w:val="en-US" w:eastAsia="zh-CN"/>
              </w:rPr>
              <w:t>.</w:t>
            </w:r>
            <w:r>
              <w:rPr>
                <w:b/>
                <w:bCs w:val="0"/>
                <w:spacing w:val="-10"/>
                <w:sz w:val="24"/>
                <w:highlight w:val="none"/>
              </w:rPr>
              <w:t>大气环境影响分析</w:t>
            </w:r>
          </w:p>
          <w:p w14:paraId="1D1EF057">
            <w:pPr>
              <w:spacing w:line="360" w:lineRule="auto"/>
              <w:ind w:firstLine="480" w:firstLineChars="200"/>
              <w:rPr>
                <w:sz w:val="24"/>
                <w:highlight w:val="none"/>
              </w:rPr>
            </w:pPr>
            <w:r>
              <w:rPr>
                <w:rFonts w:hint="eastAsia"/>
                <w:sz w:val="24"/>
                <w:highlight w:val="none"/>
              </w:rPr>
              <w:t>本项目建成后运营期间废气主要为筒仓呼吸粉尘、</w:t>
            </w:r>
            <w:r>
              <w:rPr>
                <w:rFonts w:hint="eastAsia"/>
                <w:sz w:val="24"/>
                <w:highlight w:val="none"/>
                <w:lang w:val="en-US" w:eastAsia="zh-CN"/>
              </w:rPr>
              <w:t>输送皮带粉尘</w:t>
            </w:r>
            <w:r>
              <w:rPr>
                <w:rFonts w:hint="eastAsia"/>
                <w:sz w:val="24"/>
                <w:highlight w:val="none"/>
              </w:rPr>
              <w:t>、搅拌机搅拌粉尘</w:t>
            </w:r>
            <w:r>
              <w:rPr>
                <w:rFonts w:hint="eastAsia"/>
                <w:sz w:val="24"/>
                <w:highlight w:val="none"/>
                <w:lang w:val="en-US" w:eastAsia="zh-CN"/>
              </w:rPr>
              <w:t>、原料库</w:t>
            </w:r>
            <w:r>
              <w:rPr>
                <w:rFonts w:hint="eastAsia"/>
                <w:sz w:val="24"/>
                <w:highlight w:val="none"/>
              </w:rPr>
              <w:t>石子</w:t>
            </w:r>
            <w:r>
              <w:rPr>
                <w:rFonts w:hint="eastAsia"/>
                <w:sz w:val="24"/>
                <w:highlight w:val="none"/>
                <w:lang w:val="en-US" w:eastAsia="zh-CN"/>
              </w:rPr>
              <w:t>和</w:t>
            </w:r>
            <w:r>
              <w:rPr>
                <w:rFonts w:hint="eastAsia"/>
                <w:sz w:val="24"/>
                <w:highlight w:val="none"/>
              </w:rPr>
              <w:t>砂子的</w:t>
            </w:r>
            <w:r>
              <w:rPr>
                <w:rFonts w:hint="eastAsia"/>
                <w:sz w:val="24"/>
                <w:highlight w:val="none"/>
                <w:lang w:val="en-US" w:eastAsia="zh-CN"/>
              </w:rPr>
              <w:t>装</w:t>
            </w:r>
            <w:r>
              <w:rPr>
                <w:rFonts w:hint="eastAsia"/>
                <w:sz w:val="24"/>
                <w:highlight w:val="none"/>
              </w:rPr>
              <w:t>卸</w:t>
            </w:r>
            <w:r>
              <w:rPr>
                <w:rFonts w:hint="eastAsia"/>
                <w:sz w:val="24"/>
                <w:highlight w:val="none"/>
                <w:lang w:eastAsia="zh-CN"/>
              </w:rPr>
              <w:t>粉尘及</w:t>
            </w:r>
            <w:r>
              <w:rPr>
                <w:rFonts w:hint="eastAsia"/>
                <w:sz w:val="24"/>
                <w:highlight w:val="none"/>
              </w:rPr>
              <w:t>储存扬尘。本项目年产光伏管桩300万</w:t>
            </w:r>
            <w:r>
              <w:rPr>
                <w:rFonts w:hint="eastAsia"/>
                <w:sz w:val="24"/>
                <w:highlight w:val="none"/>
                <w:lang w:eastAsia="zh-CN"/>
              </w:rPr>
              <w:t>米</w:t>
            </w:r>
            <w:r>
              <w:rPr>
                <w:rFonts w:hint="eastAsia"/>
                <w:sz w:val="24"/>
                <w:highlight w:val="none"/>
              </w:rPr>
              <w:t>，</w:t>
            </w:r>
            <w:r>
              <w:rPr>
                <w:rFonts w:hint="eastAsia"/>
                <w:sz w:val="24"/>
                <w:highlight w:val="none"/>
                <w:lang w:val="en-US" w:eastAsia="zh-CN"/>
              </w:rPr>
              <w:t>需混凝土46158m</w:t>
            </w:r>
            <w:r>
              <w:rPr>
                <w:rFonts w:hint="eastAsia"/>
                <w:sz w:val="24"/>
                <w:highlight w:val="none"/>
                <w:vertAlign w:val="superscript"/>
                <w:lang w:val="en-US" w:eastAsia="zh-CN"/>
              </w:rPr>
              <w:t>3</w:t>
            </w:r>
            <w:r>
              <w:rPr>
                <w:rFonts w:hint="eastAsia"/>
                <w:sz w:val="24"/>
                <w:highlight w:val="none"/>
                <w:lang w:val="en-US" w:eastAsia="zh-CN"/>
              </w:rPr>
              <w:t>（约115395t）</w:t>
            </w:r>
            <w:r>
              <w:rPr>
                <w:rFonts w:hint="eastAsia"/>
                <w:sz w:val="24"/>
                <w:highlight w:val="none"/>
              </w:rPr>
              <w:t>。</w:t>
            </w:r>
          </w:p>
          <w:p w14:paraId="46F70C8D">
            <w:pPr>
              <w:pStyle w:val="28"/>
              <w:spacing w:before="0" w:after="0" w:line="360" w:lineRule="auto"/>
              <w:ind w:right="0" w:firstLine="480" w:firstLineChars="200"/>
              <w:rPr>
                <w:highlight w:val="none"/>
              </w:rPr>
            </w:pPr>
            <w:r>
              <w:rPr>
                <w:rFonts w:hint="eastAsia"/>
                <w:sz w:val="24"/>
                <w:szCs w:val="24"/>
                <w:highlight w:val="none"/>
              </w:rPr>
              <w:t>①筒仓呼吸粉尘</w:t>
            </w:r>
          </w:p>
          <w:p w14:paraId="0EA959FD">
            <w:pPr>
              <w:spacing w:line="360" w:lineRule="auto"/>
              <w:ind w:firstLine="480" w:firstLineChars="200"/>
              <w:rPr>
                <w:sz w:val="24"/>
                <w:highlight w:val="none"/>
              </w:rPr>
            </w:pPr>
            <w:r>
              <w:rPr>
                <w:rFonts w:hint="eastAsia"/>
                <w:sz w:val="24"/>
                <w:highlight w:val="none"/>
              </w:rPr>
              <w:t>水泥、硅粉和矿粉在使用前储存在筒仓内，通过运输罐车与筒仓管道封闭直连，以压缩空气形式吹入筒仓内，然后采取密闭螺旋输送机从舱底进行计量给料，水泥向料仓内输送时会产生粉尘从呼吸口排放。</w:t>
            </w:r>
          </w:p>
          <w:p w14:paraId="0A55C9FE">
            <w:pPr>
              <w:spacing w:line="360" w:lineRule="auto"/>
              <w:ind w:firstLine="480" w:firstLineChars="200"/>
              <w:rPr>
                <w:sz w:val="24"/>
                <w:highlight w:val="none"/>
              </w:rPr>
            </w:pPr>
            <w:r>
              <w:rPr>
                <w:rFonts w:hint="eastAsia"/>
                <w:sz w:val="24"/>
                <w:highlight w:val="none"/>
              </w:rPr>
              <w:t>筒仓呼吸粉尘产生量参考《排放源统计调查产排污核算方法和系数手册》</w:t>
            </w:r>
            <w:r>
              <w:rPr>
                <w:rFonts w:hint="eastAsia"/>
                <w:sz w:val="24"/>
                <w:highlight w:val="none"/>
                <w:lang w:eastAsia="zh-CN"/>
              </w:rPr>
              <w:t>（</w:t>
            </w:r>
            <w:r>
              <w:rPr>
                <w:rFonts w:hint="eastAsia"/>
                <w:sz w:val="24"/>
                <w:highlight w:val="none"/>
              </w:rPr>
              <w:t>公告2021年第24号</w:t>
            </w:r>
            <w:r>
              <w:rPr>
                <w:rFonts w:hint="eastAsia"/>
                <w:sz w:val="24"/>
                <w:highlight w:val="none"/>
                <w:lang w:eastAsia="zh-CN"/>
              </w:rPr>
              <w:t>）</w:t>
            </w:r>
            <w:r>
              <w:rPr>
                <w:rFonts w:hint="eastAsia"/>
                <w:sz w:val="24"/>
                <w:highlight w:val="none"/>
              </w:rPr>
              <w:t>中</w:t>
            </w:r>
            <w:r>
              <w:rPr>
                <w:rFonts w:hint="eastAsia"/>
                <w:sz w:val="24"/>
                <w:highlight w:val="none"/>
                <w:lang w:eastAsia="zh-CN"/>
              </w:rPr>
              <w:t>：“</w:t>
            </w:r>
            <w:r>
              <w:rPr>
                <w:rFonts w:hint="eastAsia"/>
                <w:sz w:val="24"/>
                <w:highlight w:val="none"/>
                <w:lang w:val="en-US" w:eastAsia="zh-CN"/>
              </w:rPr>
              <w:t>3021水泥制品制造-混凝土制品-物料输送工段</w:t>
            </w:r>
            <w:r>
              <w:rPr>
                <w:rFonts w:hint="eastAsia"/>
                <w:sz w:val="24"/>
                <w:highlight w:val="none"/>
                <w:lang w:eastAsia="zh-CN"/>
              </w:rPr>
              <w:t>”</w:t>
            </w:r>
            <w:r>
              <w:rPr>
                <w:rFonts w:hint="eastAsia"/>
                <w:sz w:val="24"/>
                <w:highlight w:val="none"/>
                <w:lang w:val="en-US" w:eastAsia="zh-CN"/>
              </w:rPr>
              <w:t>产排污系数：废气量22.0m</w:t>
            </w:r>
            <w:r>
              <w:rPr>
                <w:rFonts w:hint="eastAsia"/>
                <w:sz w:val="24"/>
                <w:highlight w:val="none"/>
                <w:vertAlign w:val="superscript"/>
                <w:lang w:val="en-US" w:eastAsia="zh-CN"/>
              </w:rPr>
              <w:t>3</w:t>
            </w:r>
            <w:r>
              <w:rPr>
                <w:rFonts w:hint="eastAsia"/>
                <w:sz w:val="24"/>
                <w:highlight w:val="none"/>
                <w:lang w:val="en-US" w:eastAsia="zh-CN"/>
              </w:rPr>
              <w:t>/t产品、颗粒物0.12kg/t产品。</w:t>
            </w:r>
          </w:p>
          <w:p w14:paraId="348F4EB8">
            <w:pPr>
              <w:spacing w:line="360" w:lineRule="auto"/>
              <w:ind w:firstLine="480" w:firstLineChars="200"/>
              <w:rPr>
                <w:sz w:val="24"/>
                <w:highlight w:val="none"/>
              </w:rPr>
            </w:pPr>
            <w:r>
              <w:rPr>
                <w:rFonts w:hint="eastAsia"/>
                <w:sz w:val="24"/>
                <w:highlight w:val="none"/>
              </w:rPr>
              <w:t>本项目水泥用量为</w:t>
            </w:r>
            <w:r>
              <w:rPr>
                <w:rFonts w:hint="eastAsia"/>
                <w:sz w:val="24"/>
                <w:highlight w:val="none"/>
                <w:lang w:val="en-US" w:eastAsia="zh-CN"/>
              </w:rPr>
              <w:t>21091</w:t>
            </w:r>
            <w:r>
              <w:rPr>
                <w:rFonts w:hint="eastAsia"/>
                <w:sz w:val="24"/>
                <w:highlight w:val="none"/>
              </w:rPr>
              <w:t>t/a，则水泥筒仓呼吸粉尘总产生量为</w:t>
            </w:r>
            <w:r>
              <w:rPr>
                <w:rFonts w:hint="eastAsia"/>
                <w:sz w:val="24"/>
                <w:highlight w:val="none"/>
                <w:lang w:val="en-US" w:eastAsia="zh-CN"/>
              </w:rPr>
              <w:t>2.53</w:t>
            </w:r>
            <w:r>
              <w:rPr>
                <w:rFonts w:hint="eastAsia"/>
                <w:sz w:val="24"/>
                <w:highlight w:val="none"/>
              </w:rPr>
              <w:t>t/a（单个产生量为</w:t>
            </w:r>
            <w:r>
              <w:rPr>
                <w:rFonts w:hint="eastAsia"/>
                <w:sz w:val="24"/>
                <w:highlight w:val="none"/>
                <w:lang w:val="en-US" w:eastAsia="zh-CN"/>
              </w:rPr>
              <w:t>1.265</w:t>
            </w:r>
            <w:r>
              <w:rPr>
                <w:rFonts w:hint="eastAsia"/>
                <w:sz w:val="24"/>
                <w:highlight w:val="none"/>
              </w:rPr>
              <w:t>t/a）</w:t>
            </w:r>
            <w:r>
              <w:rPr>
                <w:rFonts w:hint="eastAsia"/>
                <w:sz w:val="24"/>
                <w:highlight w:val="none"/>
                <w:lang w:eastAsia="zh-CN"/>
              </w:rPr>
              <w:t>，</w:t>
            </w:r>
            <w:r>
              <w:rPr>
                <w:rFonts w:hint="eastAsia"/>
                <w:sz w:val="24"/>
                <w:highlight w:val="none"/>
                <w:lang w:val="en-US" w:eastAsia="zh-CN"/>
              </w:rPr>
              <w:t>单个筒仓废气量为232001m</w:t>
            </w:r>
            <w:r>
              <w:rPr>
                <w:rFonts w:hint="eastAsia"/>
                <w:sz w:val="24"/>
                <w:highlight w:val="none"/>
                <w:vertAlign w:val="superscript"/>
                <w:lang w:val="en-US" w:eastAsia="zh-CN"/>
              </w:rPr>
              <w:t>3</w:t>
            </w:r>
            <w:r>
              <w:rPr>
                <w:rFonts w:hint="eastAsia"/>
                <w:sz w:val="24"/>
                <w:highlight w:val="none"/>
                <w:lang w:val="en-US" w:eastAsia="zh-CN"/>
              </w:rPr>
              <w:t>/a</w:t>
            </w:r>
            <w:r>
              <w:rPr>
                <w:rFonts w:hint="eastAsia"/>
                <w:sz w:val="24"/>
                <w:highlight w:val="none"/>
              </w:rPr>
              <w:t>。</w:t>
            </w:r>
            <w:r>
              <w:rPr>
                <w:rFonts w:hint="eastAsia"/>
                <w:sz w:val="24"/>
                <w:highlight w:val="none"/>
                <w:lang w:val="en-US" w:eastAsia="zh-CN"/>
              </w:rPr>
              <w:t>本项目水泥筒仓颗粒物通过</w:t>
            </w:r>
            <w:r>
              <w:rPr>
                <w:rFonts w:hint="eastAsia"/>
                <w:sz w:val="24"/>
                <w:highlight w:val="none"/>
              </w:rPr>
              <w:t>筒仓顶部自带过滤</w:t>
            </w:r>
            <w:r>
              <w:rPr>
                <w:rFonts w:hint="eastAsia"/>
                <w:sz w:val="24"/>
                <w:highlight w:val="none"/>
                <w:lang w:eastAsia="zh-CN"/>
              </w:rPr>
              <w:t>式</w:t>
            </w:r>
            <w:r>
              <w:rPr>
                <w:rFonts w:hint="eastAsia"/>
                <w:sz w:val="24"/>
                <w:highlight w:val="none"/>
              </w:rPr>
              <w:t>除尘器</w:t>
            </w:r>
            <w:r>
              <w:rPr>
                <w:rFonts w:hint="eastAsia"/>
                <w:sz w:val="24"/>
                <w:highlight w:val="none"/>
                <w:lang w:val="en-US" w:eastAsia="zh-CN"/>
              </w:rPr>
              <w:t>处理后经过15m高排气口（P1、P2）排放</w:t>
            </w:r>
            <w:r>
              <w:rPr>
                <w:rFonts w:hint="eastAsia"/>
                <w:sz w:val="24"/>
                <w:highlight w:val="none"/>
              </w:rPr>
              <w:t>，</w:t>
            </w:r>
            <w:r>
              <w:rPr>
                <w:rFonts w:hint="eastAsia"/>
                <w:sz w:val="24"/>
                <w:highlight w:val="none"/>
                <w:lang w:val="en-US" w:eastAsia="zh-CN"/>
              </w:rPr>
              <w:t>筒仓自带除尘器</w:t>
            </w:r>
            <w:r>
              <w:rPr>
                <w:rFonts w:hint="eastAsia"/>
                <w:sz w:val="24"/>
                <w:highlight w:val="none"/>
              </w:rPr>
              <w:t>对粉尘过滤效率约99.</w:t>
            </w:r>
            <w:r>
              <w:rPr>
                <w:rFonts w:hint="eastAsia"/>
                <w:sz w:val="24"/>
                <w:highlight w:val="none"/>
                <w:lang w:val="en-US" w:eastAsia="zh-CN"/>
              </w:rPr>
              <w:t>7</w:t>
            </w:r>
            <w:r>
              <w:rPr>
                <w:rFonts w:hint="eastAsia"/>
                <w:sz w:val="24"/>
                <w:highlight w:val="none"/>
              </w:rPr>
              <w:t>%，则水泥筒仓排放量为</w:t>
            </w:r>
            <w:r>
              <w:rPr>
                <w:rFonts w:hint="eastAsia"/>
                <w:sz w:val="24"/>
                <w:highlight w:val="none"/>
                <w:lang w:val="en-US" w:eastAsia="zh-CN"/>
              </w:rPr>
              <w:t>0.00759</w:t>
            </w:r>
            <w:r>
              <w:rPr>
                <w:rFonts w:hint="eastAsia"/>
                <w:sz w:val="24"/>
                <w:highlight w:val="none"/>
              </w:rPr>
              <w:t>t/a（单个排放量为0.00</w:t>
            </w:r>
            <w:r>
              <w:rPr>
                <w:rFonts w:hint="eastAsia"/>
                <w:sz w:val="24"/>
                <w:highlight w:val="none"/>
                <w:lang w:val="en-US" w:eastAsia="zh-CN"/>
              </w:rPr>
              <w:t>3795</w:t>
            </w:r>
            <w:r>
              <w:rPr>
                <w:rFonts w:hint="eastAsia"/>
                <w:sz w:val="24"/>
                <w:highlight w:val="none"/>
              </w:rPr>
              <w:t>t/a）。则</w:t>
            </w:r>
            <w:r>
              <w:rPr>
                <w:rFonts w:hint="eastAsia"/>
                <w:sz w:val="24"/>
                <w:highlight w:val="none"/>
                <w:lang w:val="en-US" w:eastAsia="zh-CN"/>
              </w:rPr>
              <w:t>水泥筒仓颗粒物</w:t>
            </w:r>
            <w:r>
              <w:rPr>
                <w:rFonts w:hint="eastAsia"/>
                <w:sz w:val="24"/>
                <w:highlight w:val="none"/>
              </w:rPr>
              <w:t>排放浓度为</w:t>
            </w:r>
            <w:r>
              <w:rPr>
                <w:rFonts w:hint="eastAsia"/>
                <w:sz w:val="24"/>
                <w:highlight w:val="none"/>
                <w:lang w:val="en-US" w:eastAsia="zh-CN"/>
              </w:rPr>
              <w:t>16.36</w:t>
            </w:r>
            <w:r>
              <w:rPr>
                <w:rFonts w:hint="eastAsia"/>
                <w:sz w:val="24"/>
                <w:highlight w:val="none"/>
              </w:rPr>
              <w:t>mg/m³，满足《水泥工业大气污染物排放标准》(GB4915-2013</w:t>
            </w:r>
            <w:r>
              <w:rPr>
                <w:rFonts w:hint="eastAsia"/>
                <w:sz w:val="24"/>
                <w:highlight w:val="none"/>
                <w:lang w:eastAsia="zh-CN"/>
              </w:rPr>
              <w:t>）</w:t>
            </w:r>
            <w:r>
              <w:rPr>
                <w:rFonts w:hint="eastAsia"/>
                <w:sz w:val="24"/>
                <w:highlight w:val="none"/>
              </w:rPr>
              <w:t>中表</w:t>
            </w:r>
            <w:r>
              <w:rPr>
                <w:rFonts w:hint="eastAsia"/>
                <w:sz w:val="24"/>
                <w:highlight w:val="none"/>
                <w:lang w:val="en-US" w:eastAsia="zh-CN"/>
              </w:rPr>
              <w:t>1</w:t>
            </w:r>
            <w:r>
              <w:rPr>
                <w:rFonts w:hint="eastAsia"/>
                <w:sz w:val="24"/>
                <w:highlight w:val="none"/>
              </w:rPr>
              <w:t>中散装水泥中转站及水泥制品生产—水泥仓及其通风生产设备颗粒物标准的限值要求(≤</w:t>
            </w:r>
            <w:r>
              <w:rPr>
                <w:rFonts w:hint="eastAsia"/>
                <w:sz w:val="24"/>
                <w:highlight w:val="none"/>
                <w:lang w:val="en-US" w:eastAsia="zh-CN"/>
              </w:rPr>
              <w:t>2</w:t>
            </w:r>
            <w:r>
              <w:rPr>
                <w:rFonts w:hint="eastAsia"/>
                <w:sz w:val="24"/>
                <w:highlight w:val="none"/>
              </w:rPr>
              <w:t>0mg/m</w:t>
            </w:r>
            <w:r>
              <w:rPr>
                <w:rFonts w:hint="eastAsia"/>
                <w:sz w:val="24"/>
                <w:highlight w:val="none"/>
                <w:vertAlign w:val="superscript"/>
              </w:rPr>
              <w:t>3</w:t>
            </w:r>
            <w:r>
              <w:rPr>
                <w:rFonts w:hint="eastAsia"/>
                <w:sz w:val="24"/>
                <w:highlight w:val="none"/>
                <w:lang w:eastAsia="zh-CN"/>
              </w:rPr>
              <w:t>）</w:t>
            </w:r>
            <w:r>
              <w:rPr>
                <w:rFonts w:hint="eastAsia"/>
                <w:sz w:val="24"/>
                <w:highlight w:val="none"/>
              </w:rPr>
              <w:t>。</w:t>
            </w:r>
          </w:p>
          <w:p w14:paraId="6A9302B9">
            <w:pPr>
              <w:spacing w:line="360" w:lineRule="auto"/>
              <w:ind w:firstLine="480" w:firstLineChars="200"/>
              <w:rPr>
                <w:sz w:val="24"/>
                <w:highlight w:val="none"/>
              </w:rPr>
            </w:pPr>
            <w:r>
              <w:rPr>
                <w:rFonts w:hint="eastAsia"/>
                <w:sz w:val="24"/>
                <w:highlight w:val="none"/>
              </w:rPr>
              <w:t>本项目矿粉用量为</w:t>
            </w:r>
            <w:r>
              <w:rPr>
                <w:rFonts w:hint="eastAsia"/>
                <w:sz w:val="24"/>
                <w:highlight w:val="none"/>
                <w:lang w:val="en-US" w:eastAsia="zh-CN"/>
              </w:rPr>
              <w:t>6128</w:t>
            </w:r>
            <w:r>
              <w:rPr>
                <w:rFonts w:hint="eastAsia"/>
                <w:sz w:val="24"/>
                <w:highlight w:val="none"/>
              </w:rPr>
              <w:t>t/a，矿粉筒仓呼吸粉尘产生量为</w:t>
            </w:r>
            <w:r>
              <w:rPr>
                <w:rFonts w:hint="eastAsia"/>
                <w:sz w:val="24"/>
                <w:highlight w:val="none"/>
                <w:lang w:val="en-US" w:eastAsia="zh-CN"/>
              </w:rPr>
              <w:t>0.74</w:t>
            </w:r>
            <w:r>
              <w:rPr>
                <w:rFonts w:hint="eastAsia"/>
                <w:sz w:val="24"/>
                <w:highlight w:val="none"/>
              </w:rPr>
              <w:t>t/a</w:t>
            </w:r>
            <w:r>
              <w:rPr>
                <w:rFonts w:hint="eastAsia"/>
                <w:sz w:val="24"/>
                <w:highlight w:val="none"/>
                <w:lang w:eastAsia="zh-CN"/>
              </w:rPr>
              <w:t>，</w:t>
            </w:r>
            <w:r>
              <w:rPr>
                <w:rFonts w:hint="eastAsia"/>
                <w:sz w:val="24"/>
                <w:highlight w:val="none"/>
                <w:lang w:val="en-US" w:eastAsia="zh-CN"/>
              </w:rPr>
              <w:t>筒仓废气量为232001m</w:t>
            </w:r>
            <w:r>
              <w:rPr>
                <w:rFonts w:hint="eastAsia"/>
                <w:sz w:val="24"/>
                <w:highlight w:val="none"/>
                <w:vertAlign w:val="superscript"/>
                <w:lang w:val="en-US" w:eastAsia="zh-CN"/>
              </w:rPr>
              <w:t>3</w:t>
            </w:r>
            <w:r>
              <w:rPr>
                <w:rFonts w:hint="eastAsia"/>
                <w:sz w:val="24"/>
                <w:highlight w:val="none"/>
                <w:lang w:val="en-US" w:eastAsia="zh-CN"/>
              </w:rPr>
              <w:t>/a</w:t>
            </w:r>
            <w:r>
              <w:rPr>
                <w:rFonts w:hint="eastAsia"/>
                <w:sz w:val="24"/>
                <w:highlight w:val="none"/>
              </w:rPr>
              <w:t>。</w:t>
            </w:r>
            <w:r>
              <w:rPr>
                <w:rFonts w:hint="eastAsia"/>
                <w:sz w:val="24"/>
                <w:highlight w:val="none"/>
                <w:lang w:val="en-US" w:eastAsia="zh-CN"/>
              </w:rPr>
              <w:t>矿粉筒仓颗粒物经</w:t>
            </w:r>
            <w:r>
              <w:rPr>
                <w:rFonts w:hint="eastAsia"/>
                <w:sz w:val="24"/>
                <w:highlight w:val="none"/>
              </w:rPr>
              <w:t>筒仓顶部自带过滤</w:t>
            </w:r>
            <w:r>
              <w:rPr>
                <w:rFonts w:hint="eastAsia"/>
                <w:sz w:val="24"/>
                <w:highlight w:val="none"/>
                <w:lang w:eastAsia="zh-CN"/>
              </w:rPr>
              <w:t>式</w:t>
            </w:r>
            <w:r>
              <w:rPr>
                <w:rFonts w:hint="eastAsia"/>
                <w:sz w:val="24"/>
                <w:highlight w:val="none"/>
              </w:rPr>
              <w:t>除尘器</w:t>
            </w:r>
            <w:r>
              <w:rPr>
                <w:rFonts w:hint="eastAsia"/>
                <w:sz w:val="24"/>
                <w:highlight w:val="none"/>
                <w:lang w:val="en-US" w:eastAsia="zh-CN"/>
              </w:rPr>
              <w:t>处理后经15m高排气口（P3）排放</w:t>
            </w:r>
            <w:r>
              <w:rPr>
                <w:rFonts w:hint="eastAsia"/>
                <w:sz w:val="24"/>
                <w:highlight w:val="none"/>
              </w:rPr>
              <w:t>，</w:t>
            </w:r>
            <w:r>
              <w:rPr>
                <w:rFonts w:hint="eastAsia"/>
                <w:sz w:val="24"/>
                <w:highlight w:val="none"/>
                <w:lang w:val="en-US" w:eastAsia="zh-CN"/>
              </w:rPr>
              <w:t>筒仓自带除尘器</w:t>
            </w:r>
            <w:r>
              <w:rPr>
                <w:rFonts w:hint="eastAsia"/>
                <w:sz w:val="24"/>
                <w:highlight w:val="none"/>
              </w:rPr>
              <w:t>对粉尘过滤效率约99.</w:t>
            </w:r>
            <w:r>
              <w:rPr>
                <w:rFonts w:hint="eastAsia"/>
                <w:sz w:val="24"/>
                <w:highlight w:val="none"/>
                <w:lang w:val="en-US" w:eastAsia="zh-CN"/>
              </w:rPr>
              <w:t>7</w:t>
            </w:r>
            <w:r>
              <w:rPr>
                <w:rFonts w:hint="eastAsia"/>
                <w:sz w:val="24"/>
                <w:highlight w:val="none"/>
              </w:rPr>
              <w:t>%，则矿粉筒仓排放量为0.00</w:t>
            </w:r>
            <w:r>
              <w:rPr>
                <w:rFonts w:hint="eastAsia"/>
                <w:sz w:val="24"/>
                <w:highlight w:val="none"/>
                <w:lang w:val="en-US" w:eastAsia="zh-CN"/>
              </w:rPr>
              <w:t>222</w:t>
            </w:r>
            <w:r>
              <w:rPr>
                <w:rFonts w:hint="eastAsia"/>
                <w:sz w:val="24"/>
                <w:highlight w:val="none"/>
              </w:rPr>
              <w:t>t/a</w:t>
            </w:r>
            <w:r>
              <w:rPr>
                <w:rFonts w:hint="eastAsia"/>
                <w:sz w:val="24"/>
                <w:highlight w:val="none"/>
                <w:lang w:eastAsia="zh-CN"/>
              </w:rPr>
              <w:t>，</w:t>
            </w:r>
            <w:r>
              <w:rPr>
                <w:rFonts w:hint="eastAsia"/>
                <w:sz w:val="24"/>
                <w:highlight w:val="none"/>
              </w:rPr>
              <w:t>则排放浓度为</w:t>
            </w:r>
            <w:r>
              <w:rPr>
                <w:rFonts w:hint="eastAsia"/>
                <w:sz w:val="24"/>
                <w:highlight w:val="none"/>
                <w:lang w:val="en-US" w:eastAsia="zh-CN"/>
              </w:rPr>
              <w:t>9.57</w:t>
            </w:r>
            <w:r>
              <w:rPr>
                <w:rFonts w:hint="eastAsia"/>
                <w:sz w:val="24"/>
                <w:highlight w:val="none"/>
              </w:rPr>
              <w:t>mg/m³，满足《水泥工业大气污染物排放标准》(GB4915-2013</w:t>
            </w:r>
            <w:r>
              <w:rPr>
                <w:rFonts w:hint="eastAsia"/>
                <w:sz w:val="24"/>
                <w:highlight w:val="none"/>
                <w:lang w:eastAsia="zh-CN"/>
              </w:rPr>
              <w:t>）</w:t>
            </w:r>
            <w:r>
              <w:rPr>
                <w:rFonts w:hint="eastAsia"/>
                <w:sz w:val="24"/>
                <w:highlight w:val="none"/>
              </w:rPr>
              <w:t>中表</w:t>
            </w:r>
            <w:r>
              <w:rPr>
                <w:rFonts w:hint="eastAsia"/>
                <w:sz w:val="24"/>
                <w:highlight w:val="none"/>
                <w:lang w:val="en-US" w:eastAsia="zh-CN"/>
              </w:rPr>
              <w:t>1</w:t>
            </w:r>
            <w:r>
              <w:rPr>
                <w:rFonts w:hint="eastAsia"/>
                <w:sz w:val="24"/>
                <w:highlight w:val="none"/>
              </w:rPr>
              <w:t>中散装水泥中转站及水泥制品生产</w:t>
            </w:r>
            <w:r>
              <w:rPr>
                <w:rFonts w:hint="eastAsia"/>
                <w:sz w:val="24"/>
                <w:highlight w:val="none"/>
                <w:lang w:eastAsia="zh-CN"/>
              </w:rPr>
              <w:t>—</w:t>
            </w:r>
            <w:r>
              <w:rPr>
                <w:rFonts w:hint="eastAsia"/>
                <w:sz w:val="24"/>
                <w:highlight w:val="none"/>
              </w:rPr>
              <w:t>水泥仓及其通风生产设备颗粒物标准的限值要求(≤</w:t>
            </w:r>
            <w:r>
              <w:rPr>
                <w:rFonts w:hint="eastAsia"/>
                <w:sz w:val="24"/>
                <w:highlight w:val="none"/>
                <w:lang w:val="en-US" w:eastAsia="zh-CN"/>
              </w:rPr>
              <w:t>2</w:t>
            </w:r>
            <w:r>
              <w:rPr>
                <w:rFonts w:hint="eastAsia"/>
                <w:sz w:val="24"/>
                <w:highlight w:val="none"/>
              </w:rPr>
              <w:t>0mg/m</w:t>
            </w:r>
            <w:r>
              <w:rPr>
                <w:rFonts w:hint="eastAsia"/>
                <w:sz w:val="24"/>
                <w:highlight w:val="none"/>
                <w:vertAlign w:val="superscript"/>
              </w:rPr>
              <w:t>3</w:t>
            </w:r>
            <w:r>
              <w:rPr>
                <w:rFonts w:hint="eastAsia"/>
                <w:sz w:val="24"/>
                <w:highlight w:val="none"/>
                <w:lang w:eastAsia="zh-CN"/>
              </w:rPr>
              <w:t>）</w:t>
            </w:r>
            <w:r>
              <w:rPr>
                <w:rFonts w:hint="eastAsia"/>
                <w:sz w:val="24"/>
                <w:highlight w:val="none"/>
              </w:rPr>
              <w:t>。</w:t>
            </w:r>
          </w:p>
          <w:p w14:paraId="24DC6DF1">
            <w:pPr>
              <w:spacing w:line="360" w:lineRule="auto"/>
              <w:ind w:firstLine="480" w:firstLineChars="200"/>
              <w:rPr>
                <w:sz w:val="24"/>
                <w:highlight w:val="none"/>
              </w:rPr>
            </w:pPr>
            <w:r>
              <w:rPr>
                <w:rFonts w:hint="eastAsia"/>
                <w:sz w:val="24"/>
                <w:highlight w:val="none"/>
              </w:rPr>
              <w:t>本项目硅粉用量为</w:t>
            </w:r>
            <w:r>
              <w:rPr>
                <w:rFonts w:hint="eastAsia"/>
                <w:sz w:val="24"/>
                <w:highlight w:val="none"/>
                <w:lang w:val="en-US" w:eastAsia="zh-CN"/>
              </w:rPr>
              <w:t>1021</w:t>
            </w:r>
            <w:r>
              <w:rPr>
                <w:rFonts w:hint="eastAsia"/>
                <w:sz w:val="24"/>
                <w:highlight w:val="none"/>
              </w:rPr>
              <w:t>t/a，硅粉筒仓呼吸粉尘产生量为0.</w:t>
            </w:r>
            <w:r>
              <w:rPr>
                <w:rFonts w:hint="eastAsia"/>
                <w:sz w:val="24"/>
                <w:highlight w:val="none"/>
                <w:lang w:val="en-US" w:eastAsia="zh-CN"/>
              </w:rPr>
              <w:t>12</w:t>
            </w:r>
            <w:r>
              <w:rPr>
                <w:rFonts w:hint="eastAsia"/>
                <w:sz w:val="24"/>
                <w:highlight w:val="none"/>
              </w:rPr>
              <w:t>t/a。</w:t>
            </w:r>
            <w:r>
              <w:rPr>
                <w:rFonts w:hint="eastAsia"/>
                <w:sz w:val="24"/>
                <w:highlight w:val="none"/>
                <w:lang w:val="en-US" w:eastAsia="zh-CN"/>
              </w:rPr>
              <w:t>硅粉筒仓颗粒物经</w:t>
            </w:r>
            <w:r>
              <w:rPr>
                <w:rFonts w:hint="eastAsia"/>
                <w:sz w:val="24"/>
                <w:highlight w:val="none"/>
              </w:rPr>
              <w:t>筒仓顶部自带</w:t>
            </w:r>
            <w:r>
              <w:rPr>
                <w:rFonts w:hint="eastAsia"/>
                <w:sz w:val="24"/>
                <w:highlight w:val="none"/>
                <w:lang w:eastAsia="zh-CN"/>
              </w:rPr>
              <w:t>过滤式除尘器</w:t>
            </w:r>
            <w:r>
              <w:rPr>
                <w:rFonts w:hint="eastAsia"/>
                <w:sz w:val="24"/>
                <w:highlight w:val="none"/>
                <w:lang w:val="en-US" w:eastAsia="zh-CN"/>
              </w:rPr>
              <w:t>处理后经15m高排气口（P4）排放。筒仓自带除尘器</w:t>
            </w:r>
            <w:r>
              <w:rPr>
                <w:rFonts w:hint="eastAsia"/>
                <w:sz w:val="24"/>
                <w:highlight w:val="none"/>
              </w:rPr>
              <w:t>对粉尘过滤效率约99.</w:t>
            </w:r>
            <w:r>
              <w:rPr>
                <w:rFonts w:hint="eastAsia"/>
                <w:sz w:val="24"/>
                <w:highlight w:val="none"/>
                <w:lang w:val="en-US" w:eastAsia="zh-CN"/>
              </w:rPr>
              <w:t>7</w:t>
            </w:r>
            <w:r>
              <w:rPr>
                <w:rFonts w:hint="eastAsia"/>
                <w:sz w:val="24"/>
                <w:highlight w:val="none"/>
              </w:rPr>
              <w:t>%，则硅粉筒仓排放量为0.000</w:t>
            </w:r>
            <w:r>
              <w:rPr>
                <w:rFonts w:hint="eastAsia"/>
                <w:sz w:val="24"/>
                <w:highlight w:val="none"/>
                <w:lang w:val="en-US" w:eastAsia="zh-CN"/>
              </w:rPr>
              <w:t>3</w:t>
            </w:r>
            <w:r>
              <w:rPr>
                <w:rFonts w:hint="eastAsia"/>
                <w:sz w:val="24"/>
                <w:highlight w:val="none"/>
              </w:rPr>
              <w:t>6t/a，则排放浓度为</w:t>
            </w:r>
            <w:r>
              <w:rPr>
                <w:rFonts w:hint="eastAsia"/>
                <w:sz w:val="24"/>
                <w:highlight w:val="none"/>
                <w:lang w:val="en-US" w:eastAsia="zh-CN"/>
              </w:rPr>
              <w:t>15.52</w:t>
            </w:r>
            <w:r>
              <w:rPr>
                <w:rFonts w:hint="eastAsia"/>
                <w:sz w:val="24"/>
                <w:highlight w:val="none"/>
              </w:rPr>
              <w:t>mg/m³，满足《水泥工业大气污染物排放标准》</w:t>
            </w:r>
            <w:r>
              <w:rPr>
                <w:rFonts w:hint="eastAsia"/>
                <w:sz w:val="24"/>
                <w:highlight w:val="none"/>
                <w:lang w:eastAsia="zh-CN"/>
              </w:rPr>
              <w:t>（</w:t>
            </w:r>
            <w:r>
              <w:rPr>
                <w:rFonts w:hint="eastAsia"/>
                <w:sz w:val="24"/>
                <w:highlight w:val="none"/>
              </w:rPr>
              <w:t>GB4915-2013</w:t>
            </w:r>
            <w:r>
              <w:rPr>
                <w:rFonts w:hint="eastAsia"/>
                <w:sz w:val="24"/>
                <w:highlight w:val="none"/>
                <w:lang w:eastAsia="zh-CN"/>
              </w:rPr>
              <w:t>）</w:t>
            </w:r>
            <w:r>
              <w:rPr>
                <w:rFonts w:hint="eastAsia"/>
                <w:sz w:val="24"/>
                <w:highlight w:val="none"/>
              </w:rPr>
              <w:t>中表</w:t>
            </w:r>
            <w:r>
              <w:rPr>
                <w:rFonts w:hint="eastAsia"/>
                <w:sz w:val="24"/>
                <w:highlight w:val="none"/>
                <w:lang w:val="en-US" w:eastAsia="zh-CN"/>
              </w:rPr>
              <w:t>1</w:t>
            </w:r>
            <w:r>
              <w:rPr>
                <w:rFonts w:hint="eastAsia"/>
                <w:sz w:val="24"/>
                <w:highlight w:val="none"/>
              </w:rPr>
              <w:t>中散装水泥中转站及水泥制品生产—水泥仓及其通风生产设备颗粒物标准的限值要求(≤</w:t>
            </w:r>
            <w:r>
              <w:rPr>
                <w:rFonts w:hint="eastAsia"/>
                <w:sz w:val="24"/>
                <w:highlight w:val="none"/>
                <w:lang w:val="en-US" w:eastAsia="zh-CN"/>
              </w:rPr>
              <w:t>2</w:t>
            </w:r>
            <w:r>
              <w:rPr>
                <w:rFonts w:hint="eastAsia"/>
                <w:sz w:val="24"/>
                <w:highlight w:val="none"/>
              </w:rPr>
              <w:t>0mg/m</w:t>
            </w:r>
            <w:r>
              <w:rPr>
                <w:rFonts w:hint="eastAsia"/>
                <w:sz w:val="24"/>
                <w:highlight w:val="none"/>
                <w:vertAlign w:val="superscript"/>
              </w:rPr>
              <w:t>3</w:t>
            </w:r>
            <w:r>
              <w:rPr>
                <w:rFonts w:hint="eastAsia"/>
                <w:sz w:val="24"/>
                <w:highlight w:val="none"/>
                <w:lang w:eastAsia="zh-CN"/>
              </w:rPr>
              <w:t>）</w:t>
            </w:r>
            <w:r>
              <w:rPr>
                <w:rFonts w:hint="eastAsia"/>
                <w:sz w:val="24"/>
                <w:highlight w:val="none"/>
              </w:rPr>
              <w:t>。</w:t>
            </w:r>
          </w:p>
          <w:p w14:paraId="78365EE7">
            <w:pPr>
              <w:spacing w:line="360" w:lineRule="auto"/>
              <w:ind w:firstLine="480" w:firstLineChars="200"/>
              <w:rPr>
                <w:rFonts w:hint="default" w:eastAsia="宋体"/>
                <w:sz w:val="24"/>
                <w:highlight w:val="none"/>
                <w:lang w:val="en-US" w:eastAsia="zh-CN"/>
              </w:rPr>
            </w:pPr>
            <w:r>
              <w:rPr>
                <w:rFonts w:hint="eastAsia"/>
                <w:sz w:val="24"/>
                <w:highlight w:val="none"/>
              </w:rPr>
              <w:t>②</w:t>
            </w:r>
            <w:r>
              <w:rPr>
                <w:rFonts w:hint="eastAsia"/>
                <w:sz w:val="24"/>
                <w:highlight w:val="none"/>
                <w:lang w:val="en-US" w:eastAsia="zh-CN"/>
              </w:rPr>
              <w:t>输送皮带粉尘</w:t>
            </w:r>
          </w:p>
          <w:p w14:paraId="6F2B5D42">
            <w:pPr>
              <w:spacing w:line="360" w:lineRule="auto"/>
              <w:ind w:firstLine="480" w:firstLineChars="200"/>
              <w:rPr>
                <w:rFonts w:hint="eastAsia"/>
                <w:sz w:val="24"/>
                <w:highlight w:val="none"/>
              </w:rPr>
            </w:pPr>
            <w:r>
              <w:rPr>
                <w:rFonts w:hint="eastAsia"/>
                <w:sz w:val="24"/>
                <w:highlight w:val="none"/>
                <w:lang w:val="en-US" w:eastAsia="zh-CN"/>
              </w:rPr>
              <w:t>输送皮带粉尘</w:t>
            </w:r>
            <w:r>
              <w:rPr>
                <w:rFonts w:hint="eastAsia"/>
                <w:sz w:val="24"/>
                <w:highlight w:val="none"/>
              </w:rPr>
              <w:t>参考《排放源统计调查产排污核算方法和系数手册》</w:t>
            </w:r>
            <w:r>
              <w:rPr>
                <w:rFonts w:hint="eastAsia"/>
                <w:sz w:val="24"/>
                <w:highlight w:val="none"/>
                <w:lang w:eastAsia="zh-CN"/>
              </w:rPr>
              <w:t>（</w:t>
            </w:r>
            <w:r>
              <w:rPr>
                <w:rFonts w:hint="eastAsia"/>
                <w:sz w:val="24"/>
                <w:highlight w:val="none"/>
              </w:rPr>
              <w:t>公告2021年第24号</w:t>
            </w:r>
            <w:r>
              <w:rPr>
                <w:rFonts w:hint="eastAsia"/>
                <w:sz w:val="24"/>
                <w:highlight w:val="none"/>
                <w:lang w:eastAsia="zh-CN"/>
              </w:rPr>
              <w:t>）</w:t>
            </w:r>
            <w:r>
              <w:rPr>
                <w:rFonts w:hint="eastAsia"/>
                <w:sz w:val="24"/>
                <w:highlight w:val="none"/>
              </w:rPr>
              <w:t>中</w:t>
            </w:r>
            <w:r>
              <w:rPr>
                <w:rFonts w:hint="eastAsia"/>
                <w:sz w:val="24"/>
                <w:highlight w:val="none"/>
                <w:lang w:eastAsia="zh-CN"/>
              </w:rPr>
              <w:t>：“</w:t>
            </w:r>
            <w:r>
              <w:rPr>
                <w:rFonts w:hint="eastAsia"/>
                <w:sz w:val="24"/>
                <w:highlight w:val="none"/>
                <w:lang w:val="en-US" w:eastAsia="zh-CN"/>
              </w:rPr>
              <w:t>3021水泥制品制造-混凝土制品-物料输送工段</w:t>
            </w:r>
            <w:r>
              <w:rPr>
                <w:rFonts w:hint="eastAsia"/>
                <w:sz w:val="24"/>
                <w:highlight w:val="none"/>
                <w:lang w:eastAsia="zh-CN"/>
              </w:rPr>
              <w:t>”</w:t>
            </w:r>
            <w:r>
              <w:rPr>
                <w:rFonts w:hint="eastAsia"/>
                <w:sz w:val="24"/>
                <w:highlight w:val="none"/>
                <w:lang w:val="en-US" w:eastAsia="zh-CN"/>
              </w:rPr>
              <w:t>产排污系数：颗粒物0.12kg/t产品。</w:t>
            </w:r>
          </w:p>
          <w:p w14:paraId="3A7D14BC">
            <w:pPr>
              <w:spacing w:line="360" w:lineRule="auto"/>
              <w:ind w:firstLine="480" w:firstLineChars="200"/>
              <w:rPr>
                <w:rFonts w:hint="default" w:eastAsia="宋体"/>
                <w:sz w:val="24"/>
                <w:highlight w:val="none"/>
                <w:lang w:val="en-US" w:eastAsia="zh-CN"/>
              </w:rPr>
            </w:pPr>
            <w:r>
              <w:rPr>
                <w:rFonts w:hint="eastAsia"/>
                <w:sz w:val="24"/>
                <w:highlight w:val="none"/>
                <w:lang w:val="en-US" w:eastAsia="zh-CN"/>
              </w:rPr>
              <w:t>本项目砂子和石子通过输送皮带输送，输送总量为88402t/a，颗粒物产生量为10.61t/a，皮带输送过程采用全封闭输送皮带，抑尘效率可达90%以上，则颗粒物排放量为1.1t/a，采取以上措施后皮带输送过程颗粒物排放浓度满足</w:t>
            </w:r>
            <w:r>
              <w:rPr>
                <w:rFonts w:hint="eastAsia"/>
                <w:sz w:val="24"/>
                <w:highlight w:val="none"/>
              </w:rPr>
              <w:t>《水泥工业大气污染物排放标准》</w:t>
            </w:r>
            <w:r>
              <w:rPr>
                <w:rFonts w:hint="eastAsia"/>
                <w:sz w:val="24"/>
                <w:highlight w:val="none"/>
                <w:lang w:eastAsia="zh-CN"/>
              </w:rPr>
              <w:t>（</w:t>
            </w:r>
            <w:r>
              <w:rPr>
                <w:rFonts w:hint="eastAsia"/>
                <w:sz w:val="24"/>
                <w:highlight w:val="none"/>
              </w:rPr>
              <w:t>GB4915-2013</w:t>
            </w:r>
            <w:r>
              <w:rPr>
                <w:rFonts w:hint="eastAsia"/>
                <w:sz w:val="24"/>
                <w:highlight w:val="none"/>
                <w:lang w:eastAsia="zh-CN"/>
              </w:rPr>
              <w:t>）</w:t>
            </w:r>
            <w:r>
              <w:rPr>
                <w:rFonts w:hint="eastAsia"/>
                <w:sz w:val="24"/>
                <w:highlight w:val="none"/>
                <w:lang w:val="en-US" w:eastAsia="zh-CN"/>
              </w:rPr>
              <w:t>无组织排放浓度要求。</w:t>
            </w:r>
          </w:p>
          <w:p w14:paraId="6E50A6D1">
            <w:pPr>
              <w:spacing w:line="360" w:lineRule="auto"/>
              <w:ind w:firstLine="480" w:firstLineChars="200"/>
              <w:rPr>
                <w:sz w:val="24"/>
                <w:highlight w:val="none"/>
              </w:rPr>
            </w:pPr>
            <w:r>
              <w:rPr>
                <w:rFonts w:hint="eastAsia"/>
                <w:sz w:val="24"/>
                <w:highlight w:val="none"/>
              </w:rPr>
              <w:t>③搅拌机搅拌粉尘</w:t>
            </w:r>
          </w:p>
          <w:p w14:paraId="271CA23A">
            <w:pPr>
              <w:spacing w:line="360" w:lineRule="auto"/>
              <w:ind w:firstLine="480" w:firstLineChars="200"/>
              <w:rPr>
                <w:sz w:val="24"/>
                <w:highlight w:val="none"/>
              </w:rPr>
            </w:pPr>
            <w:r>
              <w:rPr>
                <w:rFonts w:hint="eastAsia"/>
                <w:sz w:val="24"/>
                <w:highlight w:val="none"/>
              </w:rPr>
              <w:t>水泥、矿粉、硅粉、添加剂、石子和砂子等在进料仓内计量后送至搅拌机内进行搅拌，搅拌机进料及搅拌过程中</w:t>
            </w:r>
            <w:r>
              <w:rPr>
                <w:rFonts w:hint="eastAsia"/>
                <w:sz w:val="24"/>
                <w:highlight w:val="none"/>
                <w:lang w:eastAsia="zh-CN"/>
              </w:rPr>
              <w:t>会</w:t>
            </w:r>
            <w:r>
              <w:rPr>
                <w:rFonts w:hint="eastAsia"/>
                <w:sz w:val="24"/>
                <w:highlight w:val="none"/>
              </w:rPr>
              <w:t>产生粉尘排放，在搅拌机顶部设置集气罩收集粉尘，经布袋除尘器处理后排放。</w:t>
            </w:r>
          </w:p>
          <w:p w14:paraId="2648C6C5">
            <w:pPr>
              <w:spacing w:line="360" w:lineRule="auto"/>
              <w:ind w:firstLine="480" w:firstLineChars="200"/>
              <w:rPr>
                <w:rFonts w:hint="default"/>
                <w:sz w:val="24"/>
                <w:highlight w:val="none"/>
                <w:lang w:val="en-US" w:eastAsia="zh-CN"/>
              </w:rPr>
            </w:pPr>
            <w:r>
              <w:rPr>
                <w:rFonts w:hint="eastAsia"/>
                <w:sz w:val="24"/>
                <w:highlight w:val="none"/>
                <w:lang w:val="en-US" w:eastAsia="zh-CN"/>
              </w:rPr>
              <w:t>搅拌</w:t>
            </w:r>
            <w:r>
              <w:rPr>
                <w:rFonts w:hint="eastAsia"/>
                <w:sz w:val="24"/>
                <w:highlight w:val="none"/>
              </w:rPr>
              <w:t>产生量参考《排放源统计调查产排污核算方法和系数手册》</w:t>
            </w:r>
            <w:r>
              <w:rPr>
                <w:rFonts w:hint="eastAsia"/>
                <w:sz w:val="24"/>
                <w:highlight w:val="none"/>
                <w:lang w:eastAsia="zh-CN"/>
              </w:rPr>
              <w:t>（</w:t>
            </w:r>
            <w:r>
              <w:rPr>
                <w:rFonts w:hint="eastAsia"/>
                <w:sz w:val="24"/>
                <w:highlight w:val="none"/>
              </w:rPr>
              <w:t>公告2021年第24号</w:t>
            </w:r>
            <w:r>
              <w:rPr>
                <w:rFonts w:hint="eastAsia"/>
                <w:sz w:val="24"/>
                <w:highlight w:val="none"/>
                <w:lang w:eastAsia="zh-CN"/>
              </w:rPr>
              <w:t>）</w:t>
            </w:r>
            <w:r>
              <w:rPr>
                <w:rFonts w:hint="eastAsia"/>
                <w:sz w:val="24"/>
                <w:highlight w:val="none"/>
              </w:rPr>
              <w:t>中</w:t>
            </w:r>
            <w:r>
              <w:rPr>
                <w:rFonts w:hint="eastAsia"/>
                <w:sz w:val="24"/>
                <w:highlight w:val="none"/>
                <w:lang w:eastAsia="zh-CN"/>
              </w:rPr>
              <w:t>：“</w:t>
            </w:r>
            <w:r>
              <w:rPr>
                <w:rFonts w:hint="eastAsia"/>
                <w:sz w:val="24"/>
                <w:highlight w:val="none"/>
                <w:lang w:val="en-US" w:eastAsia="zh-CN"/>
              </w:rPr>
              <w:t>3021水泥制品制造-混凝土制品-物料搅拌工段</w:t>
            </w:r>
            <w:r>
              <w:rPr>
                <w:rFonts w:hint="eastAsia"/>
                <w:sz w:val="24"/>
                <w:highlight w:val="none"/>
                <w:lang w:eastAsia="zh-CN"/>
              </w:rPr>
              <w:t>”</w:t>
            </w:r>
            <w:r>
              <w:rPr>
                <w:rFonts w:hint="eastAsia"/>
                <w:sz w:val="24"/>
                <w:highlight w:val="none"/>
                <w:lang w:val="en-US" w:eastAsia="zh-CN"/>
              </w:rPr>
              <w:t>产排污系数：废气量25.0m</w:t>
            </w:r>
            <w:r>
              <w:rPr>
                <w:rFonts w:hint="eastAsia"/>
                <w:sz w:val="24"/>
                <w:highlight w:val="none"/>
                <w:vertAlign w:val="superscript"/>
                <w:lang w:val="en-US" w:eastAsia="zh-CN"/>
              </w:rPr>
              <w:t>3</w:t>
            </w:r>
            <w:r>
              <w:rPr>
                <w:rFonts w:hint="eastAsia"/>
                <w:sz w:val="24"/>
                <w:highlight w:val="none"/>
                <w:lang w:val="en-US" w:eastAsia="zh-CN"/>
              </w:rPr>
              <w:t>/t产品、颗粒物0.13kg/t产品。</w:t>
            </w:r>
          </w:p>
          <w:p w14:paraId="39B3CD57">
            <w:pPr>
              <w:spacing w:line="360" w:lineRule="auto"/>
              <w:ind w:firstLine="480" w:firstLineChars="200"/>
              <w:rPr>
                <w:rFonts w:hint="default"/>
                <w:highlight w:val="none"/>
                <w:lang w:val="en-US" w:eastAsia="zh-CN"/>
              </w:rPr>
            </w:pPr>
            <w:r>
              <w:rPr>
                <w:rFonts w:hint="eastAsia"/>
                <w:sz w:val="24"/>
                <w:highlight w:val="none"/>
                <w:lang w:val="en-US" w:eastAsia="zh-CN"/>
              </w:rPr>
              <w:t>本项目年生产混凝土115395t，则本项目搅拌工序颗粒物产生量为15.00t/a，废气量为2.89×10</w:t>
            </w:r>
            <w:r>
              <w:rPr>
                <w:rFonts w:hint="eastAsia"/>
                <w:sz w:val="24"/>
                <w:highlight w:val="none"/>
                <w:vertAlign w:val="superscript"/>
                <w:lang w:val="en-US" w:eastAsia="zh-CN"/>
              </w:rPr>
              <w:t>6</w:t>
            </w:r>
            <w:r>
              <w:rPr>
                <w:rFonts w:hint="eastAsia"/>
                <w:sz w:val="24"/>
                <w:highlight w:val="none"/>
                <w:lang w:val="en-US" w:eastAsia="zh-CN"/>
              </w:rPr>
              <w:t>m</w:t>
            </w:r>
            <w:r>
              <w:rPr>
                <w:rFonts w:hint="eastAsia"/>
                <w:sz w:val="24"/>
                <w:highlight w:val="none"/>
                <w:vertAlign w:val="superscript"/>
                <w:lang w:val="en-US" w:eastAsia="zh-CN"/>
              </w:rPr>
              <w:t>3</w:t>
            </w:r>
            <w:r>
              <w:rPr>
                <w:rFonts w:hint="eastAsia"/>
                <w:sz w:val="24"/>
                <w:highlight w:val="none"/>
                <w:lang w:val="en-US" w:eastAsia="zh-CN"/>
              </w:rPr>
              <w:t>/a。本项目搅拌工序废气经布袋除尘器处理后通过15m高排气筒（P5）排放，布袋除尘器除尘效率为99.7%，则颗粒物排放量为0.045t/a，排放浓度为15.57mg/m</w:t>
            </w:r>
            <w:r>
              <w:rPr>
                <w:rFonts w:hint="eastAsia"/>
                <w:sz w:val="24"/>
                <w:highlight w:val="none"/>
                <w:vertAlign w:val="superscript"/>
                <w:lang w:val="en-US" w:eastAsia="zh-CN"/>
              </w:rPr>
              <w:t>3</w:t>
            </w:r>
            <w:r>
              <w:rPr>
                <w:rFonts w:hint="eastAsia"/>
                <w:sz w:val="24"/>
                <w:highlight w:val="none"/>
                <w:lang w:val="en-US" w:eastAsia="zh-CN"/>
              </w:rPr>
              <w:t>，排放浓度</w:t>
            </w:r>
            <w:r>
              <w:rPr>
                <w:rFonts w:hint="eastAsia"/>
                <w:sz w:val="24"/>
                <w:highlight w:val="none"/>
              </w:rPr>
              <w:t>满足《水泥工业大气污染物排放标准》</w:t>
            </w:r>
            <w:r>
              <w:rPr>
                <w:rFonts w:hint="eastAsia"/>
                <w:sz w:val="24"/>
                <w:highlight w:val="none"/>
                <w:lang w:eastAsia="zh-CN"/>
              </w:rPr>
              <w:t>（</w:t>
            </w:r>
            <w:r>
              <w:rPr>
                <w:rFonts w:hint="eastAsia"/>
                <w:sz w:val="24"/>
                <w:highlight w:val="none"/>
              </w:rPr>
              <w:t>GB4915-2013</w:t>
            </w:r>
            <w:r>
              <w:rPr>
                <w:rFonts w:hint="eastAsia"/>
                <w:sz w:val="24"/>
                <w:highlight w:val="none"/>
                <w:lang w:eastAsia="zh-CN"/>
              </w:rPr>
              <w:t>）</w:t>
            </w:r>
            <w:r>
              <w:rPr>
                <w:rFonts w:hint="eastAsia"/>
                <w:sz w:val="24"/>
                <w:highlight w:val="none"/>
              </w:rPr>
              <w:t>中表</w:t>
            </w:r>
            <w:r>
              <w:rPr>
                <w:rFonts w:hint="eastAsia"/>
                <w:sz w:val="24"/>
                <w:highlight w:val="none"/>
                <w:lang w:val="en-US" w:eastAsia="zh-CN"/>
              </w:rPr>
              <w:t>1</w:t>
            </w:r>
            <w:r>
              <w:rPr>
                <w:rFonts w:hint="eastAsia"/>
                <w:sz w:val="24"/>
                <w:highlight w:val="none"/>
              </w:rPr>
              <w:t>中散装水泥中转站及水泥制品生产—水泥仓及其通风生产设备颗粒物标准的限值要求(≤</w:t>
            </w:r>
            <w:r>
              <w:rPr>
                <w:rFonts w:hint="eastAsia"/>
                <w:sz w:val="24"/>
                <w:highlight w:val="none"/>
                <w:lang w:val="en-US" w:eastAsia="zh-CN"/>
              </w:rPr>
              <w:t>2</w:t>
            </w:r>
            <w:r>
              <w:rPr>
                <w:rFonts w:hint="eastAsia"/>
                <w:sz w:val="24"/>
                <w:highlight w:val="none"/>
              </w:rPr>
              <w:t>0mg/m</w:t>
            </w:r>
            <w:r>
              <w:rPr>
                <w:rFonts w:hint="eastAsia"/>
                <w:sz w:val="24"/>
                <w:highlight w:val="none"/>
                <w:vertAlign w:val="superscript"/>
              </w:rPr>
              <w:t>3</w:t>
            </w:r>
            <w:r>
              <w:rPr>
                <w:rFonts w:hint="eastAsia"/>
                <w:sz w:val="24"/>
                <w:highlight w:val="none"/>
                <w:lang w:eastAsia="zh-CN"/>
              </w:rPr>
              <w:t>）</w:t>
            </w:r>
            <w:r>
              <w:rPr>
                <w:rFonts w:hint="eastAsia"/>
                <w:sz w:val="24"/>
                <w:highlight w:val="none"/>
              </w:rPr>
              <w:t>。</w:t>
            </w:r>
          </w:p>
          <w:p w14:paraId="060BB944">
            <w:pPr>
              <w:spacing w:line="360" w:lineRule="auto"/>
              <w:ind w:firstLine="480" w:firstLineChars="200"/>
              <w:rPr>
                <w:sz w:val="24"/>
                <w:highlight w:val="none"/>
              </w:rPr>
            </w:pPr>
            <w:r>
              <w:rPr>
                <w:rFonts w:hint="eastAsia"/>
                <w:sz w:val="24"/>
                <w:highlight w:val="none"/>
              </w:rPr>
              <w:t>④原料</w:t>
            </w:r>
            <w:r>
              <w:rPr>
                <w:rFonts w:hint="eastAsia"/>
                <w:sz w:val="24"/>
                <w:highlight w:val="none"/>
                <w:lang w:val="en-US" w:eastAsia="zh-CN"/>
              </w:rPr>
              <w:t>库</w:t>
            </w:r>
            <w:r>
              <w:rPr>
                <w:rFonts w:hint="eastAsia"/>
                <w:sz w:val="24"/>
                <w:highlight w:val="none"/>
              </w:rPr>
              <w:t>扬尘</w:t>
            </w:r>
          </w:p>
          <w:p w14:paraId="65917E79">
            <w:pPr>
              <w:spacing w:line="360" w:lineRule="auto"/>
              <w:ind w:firstLine="480" w:firstLineChars="200"/>
              <w:rPr>
                <w:rFonts w:hint="default" w:eastAsia="宋体"/>
                <w:sz w:val="24"/>
                <w:highlight w:val="none"/>
                <w:lang w:val="en-US" w:eastAsia="zh-CN"/>
              </w:rPr>
            </w:pPr>
            <w:r>
              <w:rPr>
                <w:rFonts w:hint="eastAsia"/>
                <w:sz w:val="24"/>
                <w:highlight w:val="none"/>
                <w:lang w:val="en-US" w:eastAsia="zh-CN"/>
              </w:rPr>
              <w:t>本项目原料库主要堆放散装原料砂子和石子，散装物料在装卸堆存过程中会产生颗粒物。根据《</w:t>
            </w:r>
            <w:r>
              <w:rPr>
                <w:rFonts w:hint="eastAsia"/>
                <w:sz w:val="24"/>
                <w:highlight w:val="none"/>
              </w:rPr>
              <w:t>排放源统计调查产排污核算方法和系数手册》</w:t>
            </w:r>
            <w:r>
              <w:rPr>
                <w:rFonts w:hint="eastAsia"/>
                <w:sz w:val="24"/>
                <w:highlight w:val="none"/>
                <w:lang w:eastAsia="zh-CN"/>
              </w:rPr>
              <w:t>（</w:t>
            </w:r>
            <w:r>
              <w:rPr>
                <w:rFonts w:hint="eastAsia"/>
                <w:sz w:val="24"/>
                <w:highlight w:val="none"/>
              </w:rPr>
              <w:t>公告2021年第24号</w:t>
            </w:r>
            <w:r>
              <w:rPr>
                <w:rFonts w:hint="eastAsia"/>
                <w:sz w:val="24"/>
                <w:highlight w:val="none"/>
                <w:lang w:eastAsia="zh-CN"/>
              </w:rPr>
              <w:t>）</w:t>
            </w:r>
            <w:r>
              <w:rPr>
                <w:rFonts w:hint="eastAsia"/>
                <w:sz w:val="24"/>
                <w:highlight w:val="none"/>
              </w:rPr>
              <w:t>中</w:t>
            </w:r>
            <w:r>
              <w:rPr>
                <w:rFonts w:hint="eastAsia"/>
                <w:sz w:val="24"/>
                <w:highlight w:val="none"/>
                <w:lang w:eastAsia="zh-CN"/>
              </w:rPr>
              <w:t>“</w:t>
            </w:r>
            <w:r>
              <w:rPr>
                <w:rFonts w:hint="eastAsia"/>
                <w:sz w:val="24"/>
                <w:highlight w:val="none"/>
                <w:lang w:val="en-US" w:eastAsia="zh-CN"/>
              </w:rPr>
              <w:t>工业源固体物料堆场颗粒物核算系数手册”颗粒物产生量计算公式如下：</w:t>
            </w:r>
          </w:p>
          <w:p w14:paraId="50F9BEFE">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center"/>
              <w:textAlignment w:val="auto"/>
              <w:rPr>
                <w:rFonts w:hint="default" w:ascii="Times New Roman" w:hAnsi="Times New Roman" w:cs="Times New Roman"/>
                <w:bCs/>
                <w:color w:val="auto"/>
                <w:spacing w:val="-10"/>
                <w:sz w:val="24"/>
                <w:szCs w:val="24"/>
                <w:highlight w:val="none"/>
                <w:lang w:val="en-US" w:eastAsia="zh-CN"/>
              </w:rPr>
            </w:pPr>
            <w:r>
              <w:rPr>
                <w:rFonts w:hint="default" w:ascii="Times New Roman" w:hAnsi="Times New Roman" w:cs="Times New Roman"/>
                <w:bCs/>
                <w:color w:val="auto"/>
                <w:spacing w:val="-10"/>
                <w:sz w:val="24"/>
                <w:szCs w:val="24"/>
                <w:highlight w:val="none"/>
                <w:lang w:val="en-US" w:eastAsia="zh-CN"/>
              </w:rPr>
              <w:object>
                <v:shape id="_x0000_i1025" o:spt="75" type="#_x0000_t75" style="height:20.85pt;width:267.7pt;" o:ole="t" filled="f" o:preferrelative="t" stroked="f" coordsize="21600,21600">
                  <v:path/>
                  <v:fill on="f" focussize="0,0"/>
                  <v:stroke on="f"/>
                  <v:imagedata r:id="rId16" o:title=""/>
                  <o:lock v:ext="edit" aspectratio="t"/>
                  <w10:wrap type="none"/>
                  <w10:anchorlock/>
                </v:shape>
                <o:OLEObject Type="Embed" ProgID="Equation.KSEE3" ShapeID="_x0000_i1025" DrawAspect="Content" ObjectID="_1468075725" r:id="rId15">
                  <o:LockedField>false</o:LockedField>
                </o:OLEObject>
              </w:object>
            </w:r>
          </w:p>
          <w:p w14:paraId="126C2388">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auto"/>
                <w:spacing w:val="-10"/>
                <w:sz w:val="24"/>
                <w:szCs w:val="24"/>
                <w:highlight w:val="none"/>
                <w:lang w:val="en-US" w:eastAsia="zh-CN"/>
              </w:rPr>
            </w:pPr>
            <w:r>
              <w:rPr>
                <w:rFonts w:hint="default" w:ascii="Times New Roman" w:hAnsi="Times New Roman" w:cs="Times New Roman"/>
                <w:bCs/>
                <w:color w:val="auto"/>
                <w:spacing w:val="-10"/>
                <w:sz w:val="24"/>
                <w:szCs w:val="24"/>
                <w:highlight w:val="none"/>
                <w:lang w:val="en-US" w:eastAsia="zh-CN"/>
              </w:rPr>
              <w:t>式中：P</w:t>
            </w:r>
            <w:r>
              <w:rPr>
                <w:rFonts w:hint="eastAsia" w:cs="Times New Roman"/>
                <w:bCs/>
                <w:color w:val="auto"/>
                <w:spacing w:val="-10"/>
                <w:sz w:val="24"/>
                <w:szCs w:val="24"/>
                <w:highlight w:val="none"/>
                <w:lang w:val="en-US" w:eastAsia="zh-CN"/>
              </w:rPr>
              <w:t>——</w:t>
            </w:r>
            <w:r>
              <w:rPr>
                <w:rFonts w:hint="default" w:ascii="Times New Roman" w:hAnsi="Times New Roman" w:cs="Times New Roman"/>
                <w:bCs/>
                <w:color w:val="auto"/>
                <w:spacing w:val="-10"/>
                <w:sz w:val="24"/>
                <w:szCs w:val="24"/>
                <w:highlight w:val="none"/>
                <w:lang w:val="en-US" w:eastAsia="zh-CN"/>
              </w:rPr>
              <w:t>指颗粒物产生量（单位：吨）；</w:t>
            </w:r>
          </w:p>
          <w:p w14:paraId="69C8FE09">
            <w:pPr>
              <w:keepNext w:val="0"/>
              <w:keepLines w:val="0"/>
              <w:pageBreakBefore w:val="0"/>
              <w:widowControl w:val="0"/>
              <w:kinsoku/>
              <w:wordWrap/>
              <w:overflowPunct/>
              <w:topLinePunct w:val="0"/>
              <w:autoSpaceDE/>
              <w:autoSpaceDN/>
              <w:bidi w:val="0"/>
              <w:adjustRightInd w:val="0"/>
              <w:snapToGrid w:val="0"/>
              <w:spacing w:line="360" w:lineRule="auto"/>
              <w:ind w:firstLine="1100" w:firstLineChars="500"/>
              <w:textAlignment w:val="auto"/>
              <w:rPr>
                <w:rFonts w:hint="default" w:ascii="Times New Roman" w:hAnsi="Times New Roman" w:cs="Times New Roman"/>
                <w:bCs/>
                <w:color w:val="auto"/>
                <w:spacing w:val="-10"/>
                <w:sz w:val="24"/>
                <w:szCs w:val="24"/>
                <w:highlight w:val="none"/>
                <w:lang w:val="en-US" w:eastAsia="zh-CN"/>
              </w:rPr>
            </w:pPr>
            <w:r>
              <w:rPr>
                <w:rFonts w:hint="default" w:ascii="Times New Roman" w:hAnsi="Times New Roman" w:cs="Times New Roman"/>
                <w:bCs/>
                <w:color w:val="auto"/>
                <w:spacing w:val="-10"/>
                <w:sz w:val="24"/>
                <w:szCs w:val="24"/>
                <w:highlight w:val="none"/>
                <w:lang w:val="en-US" w:eastAsia="zh-CN"/>
              </w:rPr>
              <w:t>ZC</w:t>
            </w:r>
            <w:r>
              <w:rPr>
                <w:rFonts w:hint="default" w:ascii="Times New Roman" w:hAnsi="Times New Roman" w:cs="Times New Roman"/>
                <w:bCs/>
                <w:color w:val="auto"/>
                <w:spacing w:val="-10"/>
                <w:sz w:val="24"/>
                <w:szCs w:val="24"/>
                <w:highlight w:val="none"/>
                <w:vertAlign w:val="subscript"/>
                <w:lang w:val="en-US" w:eastAsia="zh-CN"/>
              </w:rPr>
              <w:t>y</w:t>
            </w:r>
            <w:r>
              <w:rPr>
                <w:rFonts w:hint="eastAsia" w:cs="Times New Roman"/>
                <w:bCs/>
                <w:color w:val="auto"/>
                <w:spacing w:val="-10"/>
                <w:sz w:val="24"/>
                <w:szCs w:val="24"/>
                <w:highlight w:val="none"/>
                <w:vertAlign w:val="baseline"/>
                <w:lang w:val="en-US" w:eastAsia="zh-CN"/>
              </w:rPr>
              <w:t>——</w:t>
            </w:r>
            <w:r>
              <w:rPr>
                <w:rFonts w:hint="default" w:ascii="Times New Roman" w:hAnsi="Times New Roman" w:cs="Times New Roman"/>
                <w:bCs/>
                <w:color w:val="auto"/>
                <w:spacing w:val="-10"/>
                <w:sz w:val="24"/>
                <w:szCs w:val="24"/>
                <w:highlight w:val="none"/>
                <w:lang w:val="en-US" w:eastAsia="zh-CN"/>
              </w:rPr>
              <w:t>指装卸扬尘产生量（单位：吨）；</w:t>
            </w:r>
          </w:p>
          <w:p w14:paraId="29C75489">
            <w:pPr>
              <w:keepNext w:val="0"/>
              <w:keepLines w:val="0"/>
              <w:pageBreakBefore w:val="0"/>
              <w:widowControl w:val="0"/>
              <w:kinsoku/>
              <w:wordWrap/>
              <w:overflowPunct/>
              <w:topLinePunct w:val="0"/>
              <w:autoSpaceDE/>
              <w:autoSpaceDN/>
              <w:bidi w:val="0"/>
              <w:adjustRightInd w:val="0"/>
              <w:snapToGrid w:val="0"/>
              <w:spacing w:line="360" w:lineRule="auto"/>
              <w:ind w:firstLine="1100" w:firstLineChars="500"/>
              <w:textAlignment w:val="auto"/>
              <w:rPr>
                <w:rFonts w:hint="default" w:ascii="Times New Roman" w:hAnsi="Times New Roman" w:cs="Times New Roman"/>
                <w:bCs/>
                <w:color w:val="auto"/>
                <w:spacing w:val="-10"/>
                <w:sz w:val="24"/>
                <w:szCs w:val="24"/>
                <w:highlight w:val="none"/>
                <w:lang w:val="en-US" w:eastAsia="zh-CN"/>
              </w:rPr>
            </w:pPr>
            <w:r>
              <w:rPr>
                <w:rFonts w:hint="default" w:ascii="Times New Roman" w:hAnsi="Times New Roman" w:cs="Times New Roman"/>
                <w:bCs/>
                <w:color w:val="auto"/>
                <w:spacing w:val="-10"/>
                <w:sz w:val="24"/>
                <w:szCs w:val="24"/>
                <w:highlight w:val="none"/>
                <w:lang w:val="en-US" w:eastAsia="zh-CN"/>
              </w:rPr>
              <w:t>FC</w:t>
            </w:r>
            <w:r>
              <w:rPr>
                <w:rFonts w:hint="default" w:ascii="Times New Roman" w:hAnsi="Times New Roman" w:cs="Times New Roman"/>
                <w:bCs/>
                <w:color w:val="auto"/>
                <w:spacing w:val="-10"/>
                <w:sz w:val="24"/>
                <w:szCs w:val="24"/>
                <w:highlight w:val="none"/>
                <w:vertAlign w:val="subscript"/>
                <w:lang w:val="en-US" w:eastAsia="zh-CN"/>
              </w:rPr>
              <w:t>y</w:t>
            </w:r>
            <w:r>
              <w:rPr>
                <w:rFonts w:hint="eastAsia" w:cs="Times New Roman"/>
                <w:bCs/>
                <w:color w:val="auto"/>
                <w:spacing w:val="-10"/>
                <w:sz w:val="24"/>
                <w:szCs w:val="24"/>
                <w:highlight w:val="none"/>
                <w:vertAlign w:val="baseline"/>
                <w:lang w:val="en-US" w:eastAsia="zh-CN"/>
              </w:rPr>
              <w:t>——</w:t>
            </w:r>
            <w:r>
              <w:rPr>
                <w:rFonts w:hint="default" w:ascii="Times New Roman" w:hAnsi="Times New Roman" w:cs="Times New Roman"/>
                <w:bCs/>
                <w:color w:val="auto"/>
                <w:spacing w:val="-10"/>
                <w:sz w:val="24"/>
                <w:szCs w:val="24"/>
                <w:highlight w:val="none"/>
                <w:lang w:val="en-US" w:eastAsia="zh-CN"/>
              </w:rPr>
              <w:t>指风蚀扬尘产生量（单位：吨）；</w:t>
            </w:r>
          </w:p>
          <w:p w14:paraId="0CA2EF22">
            <w:pPr>
              <w:keepNext w:val="0"/>
              <w:keepLines w:val="0"/>
              <w:pageBreakBefore w:val="0"/>
              <w:widowControl w:val="0"/>
              <w:kinsoku/>
              <w:wordWrap/>
              <w:overflowPunct/>
              <w:topLinePunct w:val="0"/>
              <w:autoSpaceDE/>
              <w:autoSpaceDN/>
              <w:bidi w:val="0"/>
              <w:adjustRightInd w:val="0"/>
              <w:snapToGrid w:val="0"/>
              <w:spacing w:line="360" w:lineRule="auto"/>
              <w:ind w:firstLine="1100" w:firstLineChars="500"/>
              <w:textAlignment w:val="auto"/>
              <w:rPr>
                <w:rFonts w:hint="default" w:ascii="Times New Roman" w:hAnsi="Times New Roman" w:cs="Times New Roman"/>
                <w:bCs/>
                <w:color w:val="auto"/>
                <w:spacing w:val="-10"/>
                <w:sz w:val="24"/>
                <w:szCs w:val="24"/>
                <w:highlight w:val="none"/>
                <w:lang w:val="en-US" w:eastAsia="zh-CN"/>
              </w:rPr>
            </w:pPr>
            <w:r>
              <w:rPr>
                <w:rFonts w:hint="default" w:ascii="Times New Roman" w:hAnsi="Times New Roman" w:cs="Times New Roman"/>
                <w:bCs/>
                <w:color w:val="auto"/>
                <w:spacing w:val="-10"/>
                <w:sz w:val="24"/>
                <w:szCs w:val="24"/>
                <w:highlight w:val="none"/>
                <w:lang w:val="en-US" w:eastAsia="zh-CN"/>
              </w:rPr>
              <w:t>NC</w:t>
            </w:r>
            <w:r>
              <w:rPr>
                <w:rFonts w:hint="eastAsia" w:cs="Times New Roman"/>
                <w:bCs/>
                <w:color w:val="auto"/>
                <w:spacing w:val="-10"/>
                <w:sz w:val="24"/>
                <w:szCs w:val="24"/>
                <w:highlight w:val="none"/>
                <w:vertAlign w:val="baseline"/>
                <w:lang w:val="en-US" w:eastAsia="zh-CN"/>
              </w:rPr>
              <w:t>——</w:t>
            </w:r>
            <w:r>
              <w:rPr>
                <w:rFonts w:hint="default" w:ascii="Times New Roman" w:hAnsi="Times New Roman" w:cs="Times New Roman"/>
                <w:bCs/>
                <w:color w:val="auto"/>
                <w:spacing w:val="-10"/>
                <w:sz w:val="24"/>
                <w:szCs w:val="24"/>
                <w:highlight w:val="none"/>
                <w:lang w:val="en-US" w:eastAsia="zh-CN"/>
              </w:rPr>
              <w:t>指年物料运载车次（单位：车）；</w:t>
            </w:r>
            <w:r>
              <w:rPr>
                <w:rFonts w:hint="eastAsia" w:cs="Times New Roman"/>
                <w:bCs/>
                <w:color w:val="auto"/>
                <w:spacing w:val="-10"/>
                <w:sz w:val="24"/>
                <w:szCs w:val="24"/>
                <w:highlight w:val="none"/>
                <w:lang w:val="en-US" w:eastAsia="zh-CN"/>
              </w:rPr>
              <w:t>本</w:t>
            </w:r>
            <w:r>
              <w:rPr>
                <w:rFonts w:hint="default" w:ascii="Times New Roman" w:hAnsi="Times New Roman" w:cs="Times New Roman"/>
                <w:bCs/>
                <w:color w:val="auto"/>
                <w:spacing w:val="-10"/>
                <w:sz w:val="24"/>
                <w:szCs w:val="24"/>
                <w:highlight w:val="none"/>
                <w:lang w:val="en-US" w:eastAsia="zh-CN"/>
              </w:rPr>
              <w:t>项目</w:t>
            </w:r>
            <w:r>
              <w:rPr>
                <w:rFonts w:hint="eastAsia" w:cs="Times New Roman"/>
                <w:bCs/>
                <w:color w:val="auto"/>
                <w:spacing w:val="-10"/>
                <w:sz w:val="24"/>
                <w:szCs w:val="24"/>
                <w:highlight w:val="none"/>
                <w:lang w:val="en-US" w:eastAsia="zh-CN"/>
              </w:rPr>
              <w:t>原料库内物料（</w:t>
            </w:r>
            <w:r>
              <w:rPr>
                <w:rFonts w:hint="eastAsia"/>
                <w:sz w:val="24"/>
                <w:highlight w:val="none"/>
                <w:lang w:val="en-US" w:eastAsia="zh-CN"/>
              </w:rPr>
              <w:t>砂子和石子</w:t>
            </w:r>
            <w:r>
              <w:rPr>
                <w:rFonts w:hint="eastAsia" w:cs="Times New Roman"/>
                <w:bCs/>
                <w:color w:val="auto"/>
                <w:spacing w:val="-10"/>
                <w:sz w:val="24"/>
                <w:szCs w:val="24"/>
                <w:highlight w:val="none"/>
                <w:lang w:val="en-US" w:eastAsia="zh-CN"/>
              </w:rPr>
              <w:t>）总转运量为88402</w:t>
            </w:r>
            <w:r>
              <w:rPr>
                <w:rFonts w:hint="default" w:ascii="Times New Roman" w:hAnsi="Times New Roman" w:cs="Times New Roman"/>
                <w:bCs/>
                <w:color w:val="auto"/>
                <w:spacing w:val="-10"/>
                <w:sz w:val="24"/>
                <w:szCs w:val="24"/>
                <w:highlight w:val="none"/>
                <w:lang w:val="en-US" w:eastAsia="zh-CN"/>
              </w:rPr>
              <w:t>t</w:t>
            </w:r>
            <w:r>
              <w:rPr>
                <w:rFonts w:hint="eastAsia" w:cs="Times New Roman"/>
                <w:bCs/>
                <w:color w:val="auto"/>
                <w:spacing w:val="-10"/>
                <w:sz w:val="24"/>
                <w:szCs w:val="24"/>
                <w:highlight w:val="none"/>
                <w:lang w:val="en-US" w:eastAsia="zh-CN"/>
              </w:rPr>
              <w:t>/a</w:t>
            </w:r>
            <w:r>
              <w:rPr>
                <w:rFonts w:hint="default" w:ascii="Times New Roman" w:hAnsi="Times New Roman" w:cs="Times New Roman"/>
                <w:bCs/>
                <w:color w:val="auto"/>
                <w:spacing w:val="-10"/>
                <w:sz w:val="24"/>
                <w:szCs w:val="24"/>
                <w:highlight w:val="none"/>
                <w:lang w:val="en-US" w:eastAsia="zh-CN"/>
              </w:rPr>
              <w:t>，需拉运</w:t>
            </w:r>
            <w:r>
              <w:rPr>
                <w:rFonts w:hint="eastAsia" w:cs="Times New Roman"/>
                <w:bCs/>
                <w:color w:val="auto"/>
                <w:spacing w:val="-10"/>
                <w:sz w:val="24"/>
                <w:szCs w:val="24"/>
                <w:highlight w:val="none"/>
                <w:lang w:val="en-US" w:eastAsia="zh-CN"/>
              </w:rPr>
              <w:t>2947</w:t>
            </w:r>
            <w:r>
              <w:rPr>
                <w:rFonts w:hint="default" w:ascii="Times New Roman" w:hAnsi="Times New Roman" w:cs="Times New Roman"/>
                <w:bCs/>
                <w:color w:val="auto"/>
                <w:spacing w:val="-10"/>
                <w:sz w:val="24"/>
                <w:szCs w:val="24"/>
                <w:highlight w:val="none"/>
                <w:lang w:val="en-US" w:eastAsia="zh-CN"/>
              </w:rPr>
              <w:t>车次；</w:t>
            </w:r>
          </w:p>
          <w:p w14:paraId="79EC9A62">
            <w:pPr>
              <w:keepNext w:val="0"/>
              <w:keepLines w:val="0"/>
              <w:pageBreakBefore w:val="0"/>
              <w:widowControl w:val="0"/>
              <w:kinsoku/>
              <w:wordWrap/>
              <w:overflowPunct/>
              <w:topLinePunct w:val="0"/>
              <w:autoSpaceDE/>
              <w:autoSpaceDN/>
              <w:bidi w:val="0"/>
              <w:adjustRightInd w:val="0"/>
              <w:snapToGrid w:val="0"/>
              <w:spacing w:line="360" w:lineRule="auto"/>
              <w:ind w:firstLine="1100" w:firstLineChars="500"/>
              <w:textAlignment w:val="auto"/>
              <w:rPr>
                <w:rFonts w:hint="default" w:ascii="Times New Roman" w:hAnsi="Times New Roman" w:cs="Times New Roman"/>
                <w:bCs/>
                <w:color w:val="auto"/>
                <w:spacing w:val="-10"/>
                <w:sz w:val="24"/>
                <w:szCs w:val="24"/>
                <w:highlight w:val="none"/>
                <w:lang w:val="en-US" w:eastAsia="zh-CN"/>
              </w:rPr>
            </w:pPr>
            <w:r>
              <w:rPr>
                <w:rFonts w:hint="default" w:ascii="Times New Roman" w:hAnsi="Times New Roman" w:cs="Times New Roman"/>
                <w:bCs/>
                <w:color w:val="auto"/>
                <w:spacing w:val="-10"/>
                <w:sz w:val="24"/>
                <w:szCs w:val="24"/>
                <w:highlight w:val="none"/>
                <w:lang w:val="en-US" w:eastAsia="zh-CN"/>
              </w:rPr>
              <w:t>D</w:t>
            </w:r>
            <w:r>
              <w:rPr>
                <w:rFonts w:hint="eastAsia" w:cs="Times New Roman"/>
                <w:bCs/>
                <w:color w:val="auto"/>
                <w:spacing w:val="-10"/>
                <w:sz w:val="24"/>
                <w:szCs w:val="24"/>
                <w:highlight w:val="none"/>
                <w:lang w:val="en-US" w:eastAsia="zh-CN"/>
              </w:rPr>
              <w:t>——</w:t>
            </w:r>
            <w:r>
              <w:rPr>
                <w:rFonts w:hint="default" w:ascii="Times New Roman" w:hAnsi="Times New Roman" w:cs="Times New Roman"/>
                <w:bCs/>
                <w:color w:val="auto"/>
                <w:spacing w:val="-10"/>
                <w:sz w:val="24"/>
                <w:szCs w:val="24"/>
                <w:highlight w:val="none"/>
                <w:lang w:val="en-US" w:eastAsia="zh-CN"/>
              </w:rPr>
              <w:t>指单车平均运载量（单位：吨/车）；本次取</w:t>
            </w:r>
            <w:r>
              <w:rPr>
                <w:rFonts w:hint="eastAsia" w:cs="Times New Roman"/>
                <w:bCs/>
                <w:color w:val="auto"/>
                <w:spacing w:val="-10"/>
                <w:sz w:val="24"/>
                <w:szCs w:val="24"/>
                <w:highlight w:val="none"/>
                <w:lang w:val="en-US" w:eastAsia="zh-CN"/>
              </w:rPr>
              <w:t>3</w:t>
            </w:r>
            <w:r>
              <w:rPr>
                <w:rFonts w:hint="default" w:ascii="Times New Roman" w:hAnsi="Times New Roman" w:cs="Times New Roman"/>
                <w:bCs/>
                <w:color w:val="auto"/>
                <w:spacing w:val="-10"/>
                <w:sz w:val="24"/>
                <w:szCs w:val="24"/>
                <w:highlight w:val="none"/>
                <w:lang w:val="en-US" w:eastAsia="zh-CN"/>
              </w:rPr>
              <w:t>0t/车</w:t>
            </w:r>
            <w:r>
              <w:rPr>
                <w:rFonts w:hint="eastAsia" w:cs="Times New Roman"/>
                <w:bCs/>
                <w:color w:val="auto"/>
                <w:spacing w:val="-10"/>
                <w:sz w:val="24"/>
                <w:szCs w:val="24"/>
                <w:highlight w:val="none"/>
                <w:lang w:val="en-US" w:eastAsia="zh-CN"/>
              </w:rPr>
              <w:t>。</w:t>
            </w:r>
          </w:p>
          <w:p w14:paraId="454D74A0">
            <w:pPr>
              <w:keepNext w:val="0"/>
              <w:keepLines w:val="0"/>
              <w:pageBreakBefore w:val="0"/>
              <w:widowControl w:val="0"/>
              <w:kinsoku/>
              <w:wordWrap/>
              <w:overflowPunct/>
              <w:topLinePunct w:val="0"/>
              <w:autoSpaceDE/>
              <w:autoSpaceDN/>
              <w:bidi w:val="0"/>
              <w:adjustRightInd w:val="0"/>
              <w:snapToGrid w:val="0"/>
              <w:spacing w:line="360" w:lineRule="auto"/>
              <w:ind w:firstLine="880" w:firstLineChars="400"/>
              <w:textAlignment w:val="auto"/>
              <w:rPr>
                <w:rFonts w:hint="default" w:ascii="Times New Roman" w:hAnsi="Times New Roman" w:cs="Times New Roman"/>
                <w:bCs/>
                <w:color w:val="auto"/>
                <w:spacing w:val="-10"/>
                <w:sz w:val="24"/>
                <w:szCs w:val="24"/>
                <w:highlight w:val="none"/>
                <w:lang w:val="en-US" w:eastAsia="zh-CN"/>
              </w:rPr>
            </w:pPr>
            <w:r>
              <w:rPr>
                <w:rFonts w:hint="default" w:ascii="Times New Roman" w:hAnsi="Times New Roman" w:cs="Times New Roman"/>
                <w:bCs/>
                <w:color w:val="auto"/>
                <w:spacing w:val="-10"/>
                <w:sz w:val="24"/>
                <w:szCs w:val="24"/>
                <w:highlight w:val="none"/>
                <w:lang w:val="en-US" w:eastAsia="zh-CN"/>
              </w:rPr>
              <w:t>（a/b）</w:t>
            </w:r>
            <w:r>
              <w:rPr>
                <w:rFonts w:hint="eastAsia" w:cs="Times New Roman"/>
                <w:bCs/>
                <w:color w:val="auto"/>
                <w:spacing w:val="-10"/>
                <w:sz w:val="24"/>
                <w:szCs w:val="24"/>
                <w:highlight w:val="none"/>
                <w:lang w:val="en-US" w:eastAsia="zh-CN"/>
              </w:rPr>
              <w:t>——</w:t>
            </w:r>
            <w:r>
              <w:rPr>
                <w:rFonts w:hint="default" w:ascii="Times New Roman" w:hAnsi="Times New Roman" w:cs="Times New Roman"/>
                <w:bCs/>
                <w:color w:val="auto"/>
                <w:spacing w:val="-10"/>
                <w:sz w:val="24"/>
                <w:szCs w:val="24"/>
                <w:highlight w:val="none"/>
                <w:lang w:val="en-US" w:eastAsia="zh-CN"/>
              </w:rPr>
              <w:t>指装卸扬尘概化系数（单位：千克/吨），a指各省风速概化系数，见附录1，b指物料含水率概化系数，见附录2，本项目位于内蒙古自治区，平均风速2.91m/s，概化系数0.0017，b指物料含水率概化系数，</w:t>
            </w:r>
            <w:r>
              <w:rPr>
                <w:rFonts w:hint="eastAsia" w:ascii="Times New Roman" w:hAnsi="Times New Roman" w:cs="Times New Roman"/>
                <w:bCs/>
                <w:color w:val="auto"/>
                <w:spacing w:val="-10"/>
                <w:sz w:val="24"/>
                <w:szCs w:val="24"/>
                <w:highlight w:val="none"/>
                <w:lang w:val="en-US" w:eastAsia="zh-CN"/>
              </w:rPr>
              <w:t>参考石灰岩</w:t>
            </w:r>
            <w:r>
              <w:rPr>
                <w:rFonts w:hint="default" w:ascii="Times New Roman" w:hAnsi="Times New Roman" w:cs="Times New Roman"/>
                <w:bCs/>
                <w:color w:val="auto"/>
                <w:spacing w:val="-10"/>
                <w:sz w:val="24"/>
                <w:szCs w:val="24"/>
                <w:highlight w:val="none"/>
                <w:lang w:val="en-US" w:eastAsia="zh-CN"/>
              </w:rPr>
              <w:t>含水率概化系数</w:t>
            </w:r>
            <w:r>
              <w:rPr>
                <w:rFonts w:hint="eastAsia" w:ascii="Times New Roman" w:hAnsi="Times New Roman" w:cs="Times New Roman"/>
                <w:bCs/>
                <w:color w:val="auto"/>
                <w:spacing w:val="-10"/>
                <w:sz w:val="24"/>
                <w:szCs w:val="24"/>
                <w:highlight w:val="none"/>
                <w:lang w:val="en-US" w:eastAsia="zh-CN"/>
              </w:rPr>
              <w:t>，</w:t>
            </w:r>
            <w:r>
              <w:rPr>
                <w:rFonts w:hint="default" w:ascii="Times New Roman" w:hAnsi="Times New Roman" w:cs="Times New Roman"/>
                <w:bCs/>
                <w:color w:val="auto"/>
                <w:spacing w:val="-10"/>
                <w:sz w:val="24"/>
                <w:szCs w:val="24"/>
                <w:highlight w:val="none"/>
                <w:lang w:val="en-US" w:eastAsia="zh-CN"/>
              </w:rPr>
              <w:t>取值为0.000</w:t>
            </w:r>
            <w:r>
              <w:rPr>
                <w:rFonts w:hint="eastAsia" w:ascii="Times New Roman" w:hAnsi="Times New Roman" w:cs="Times New Roman"/>
                <w:bCs/>
                <w:color w:val="auto"/>
                <w:spacing w:val="-10"/>
                <w:sz w:val="24"/>
                <w:szCs w:val="24"/>
                <w:highlight w:val="none"/>
                <w:lang w:val="en-US" w:eastAsia="zh-CN"/>
              </w:rPr>
              <w:t>1</w:t>
            </w:r>
            <w:r>
              <w:rPr>
                <w:rFonts w:hint="default" w:ascii="Times New Roman" w:hAnsi="Times New Roman" w:cs="Times New Roman"/>
                <w:bCs/>
                <w:color w:val="auto"/>
                <w:spacing w:val="-10"/>
                <w:sz w:val="24"/>
                <w:szCs w:val="24"/>
                <w:highlight w:val="none"/>
                <w:lang w:val="en-US" w:eastAsia="zh-CN"/>
              </w:rPr>
              <w:t>；</w:t>
            </w:r>
          </w:p>
          <w:p w14:paraId="056EB264">
            <w:pPr>
              <w:keepNext w:val="0"/>
              <w:keepLines w:val="0"/>
              <w:pageBreakBefore w:val="0"/>
              <w:widowControl w:val="0"/>
              <w:kinsoku/>
              <w:wordWrap/>
              <w:overflowPunct/>
              <w:topLinePunct w:val="0"/>
              <w:autoSpaceDE/>
              <w:autoSpaceDN/>
              <w:bidi w:val="0"/>
              <w:adjustRightInd w:val="0"/>
              <w:snapToGrid w:val="0"/>
              <w:spacing w:line="360" w:lineRule="auto"/>
              <w:ind w:firstLine="1100" w:firstLineChars="500"/>
              <w:textAlignment w:val="auto"/>
              <w:rPr>
                <w:rFonts w:hint="default" w:ascii="Times New Roman" w:hAnsi="Times New Roman" w:cs="Times New Roman"/>
                <w:bCs/>
                <w:color w:val="auto"/>
                <w:spacing w:val="-10"/>
                <w:sz w:val="24"/>
                <w:szCs w:val="24"/>
                <w:highlight w:val="none"/>
                <w:lang w:val="en-US" w:eastAsia="zh-CN"/>
              </w:rPr>
            </w:pPr>
            <w:r>
              <w:rPr>
                <w:rFonts w:hint="default" w:ascii="Times New Roman" w:hAnsi="Times New Roman" w:cs="Times New Roman"/>
                <w:bCs/>
                <w:color w:val="auto"/>
                <w:spacing w:val="-10"/>
                <w:sz w:val="24"/>
                <w:szCs w:val="24"/>
                <w:highlight w:val="none"/>
                <w:lang w:val="en-US" w:eastAsia="zh-CN"/>
              </w:rPr>
              <w:t>E</w:t>
            </w:r>
            <w:r>
              <w:rPr>
                <w:rFonts w:hint="default" w:ascii="Times New Roman" w:hAnsi="Times New Roman" w:cs="Times New Roman"/>
                <w:bCs/>
                <w:color w:val="auto"/>
                <w:spacing w:val="-10"/>
                <w:sz w:val="24"/>
                <w:szCs w:val="24"/>
                <w:highlight w:val="none"/>
                <w:vertAlign w:val="subscript"/>
                <w:lang w:val="en-US" w:eastAsia="zh-CN"/>
              </w:rPr>
              <w:t>f</w:t>
            </w:r>
            <w:r>
              <w:rPr>
                <w:rFonts w:hint="eastAsia" w:cs="Times New Roman"/>
                <w:bCs/>
                <w:color w:val="auto"/>
                <w:spacing w:val="-10"/>
                <w:sz w:val="24"/>
                <w:szCs w:val="24"/>
                <w:highlight w:val="none"/>
                <w:vertAlign w:val="baseline"/>
                <w:lang w:val="en-US" w:eastAsia="zh-CN"/>
              </w:rPr>
              <w:t>——</w:t>
            </w:r>
            <w:r>
              <w:rPr>
                <w:rFonts w:hint="default" w:ascii="Times New Roman" w:hAnsi="Times New Roman" w:cs="Times New Roman"/>
                <w:bCs/>
                <w:color w:val="auto"/>
                <w:spacing w:val="-10"/>
                <w:sz w:val="24"/>
                <w:szCs w:val="24"/>
                <w:highlight w:val="none"/>
                <w:lang w:val="en-US" w:eastAsia="zh-CN"/>
              </w:rPr>
              <w:t>指堆场风蚀扬尘概化系数，</w:t>
            </w:r>
            <w:r>
              <w:rPr>
                <w:rFonts w:hint="eastAsia" w:cs="Times New Roman"/>
                <w:bCs/>
                <w:color w:val="auto"/>
                <w:spacing w:val="-10"/>
                <w:sz w:val="24"/>
                <w:szCs w:val="24"/>
                <w:highlight w:val="none"/>
                <w:lang w:val="en-US" w:eastAsia="zh-CN"/>
              </w:rPr>
              <w:t>本项目为封闭式原料库，不涉及风蚀扬尘；</w:t>
            </w:r>
          </w:p>
          <w:p w14:paraId="04E8B331">
            <w:pPr>
              <w:keepNext w:val="0"/>
              <w:keepLines w:val="0"/>
              <w:pageBreakBefore w:val="0"/>
              <w:widowControl w:val="0"/>
              <w:kinsoku/>
              <w:wordWrap/>
              <w:overflowPunct/>
              <w:topLinePunct w:val="0"/>
              <w:autoSpaceDE/>
              <w:autoSpaceDN/>
              <w:bidi w:val="0"/>
              <w:adjustRightInd w:val="0"/>
              <w:snapToGrid w:val="0"/>
              <w:spacing w:line="360" w:lineRule="auto"/>
              <w:ind w:firstLine="1100" w:firstLineChars="500"/>
              <w:textAlignment w:val="auto"/>
              <w:rPr>
                <w:rFonts w:hint="default" w:ascii="Times New Roman" w:hAnsi="Times New Roman" w:cs="Times New Roman"/>
                <w:bCs/>
                <w:color w:val="auto"/>
                <w:spacing w:val="-10"/>
                <w:sz w:val="24"/>
                <w:szCs w:val="24"/>
                <w:highlight w:val="none"/>
                <w:lang w:val="en-US" w:eastAsia="zh-CN"/>
              </w:rPr>
            </w:pPr>
            <w:r>
              <w:rPr>
                <w:rFonts w:hint="default" w:ascii="Times New Roman" w:hAnsi="Times New Roman" w:cs="Times New Roman"/>
                <w:bCs/>
                <w:color w:val="auto"/>
                <w:spacing w:val="-10"/>
                <w:sz w:val="24"/>
                <w:szCs w:val="24"/>
                <w:highlight w:val="none"/>
                <w:lang w:val="en-US" w:eastAsia="zh-CN"/>
              </w:rPr>
              <w:t>S</w:t>
            </w:r>
            <w:r>
              <w:rPr>
                <w:rFonts w:hint="eastAsia" w:cs="Times New Roman"/>
                <w:bCs/>
                <w:color w:val="auto"/>
                <w:spacing w:val="-10"/>
                <w:sz w:val="24"/>
                <w:szCs w:val="24"/>
                <w:highlight w:val="none"/>
                <w:lang w:val="en-US" w:eastAsia="zh-CN"/>
              </w:rPr>
              <w:t>——</w:t>
            </w:r>
            <w:r>
              <w:rPr>
                <w:rFonts w:hint="default" w:ascii="Times New Roman" w:hAnsi="Times New Roman" w:cs="Times New Roman"/>
                <w:bCs/>
                <w:color w:val="auto"/>
                <w:spacing w:val="-10"/>
                <w:sz w:val="24"/>
                <w:szCs w:val="24"/>
                <w:highlight w:val="none"/>
                <w:lang w:val="en-US" w:eastAsia="zh-CN"/>
              </w:rPr>
              <w:t>指堆场占地面积（单位：平方米）；本项目为</w:t>
            </w:r>
            <w:r>
              <w:rPr>
                <w:rFonts w:hint="eastAsia" w:cs="Times New Roman"/>
                <w:bCs/>
                <w:color w:val="auto"/>
                <w:spacing w:val="-10"/>
                <w:sz w:val="24"/>
                <w:szCs w:val="24"/>
                <w:highlight w:val="none"/>
                <w:lang w:val="en-US" w:eastAsia="zh-CN"/>
              </w:rPr>
              <w:t>1400m</w:t>
            </w:r>
            <w:r>
              <w:rPr>
                <w:rFonts w:hint="eastAsia" w:cs="Times New Roman"/>
                <w:bCs/>
                <w:color w:val="auto"/>
                <w:spacing w:val="-10"/>
                <w:sz w:val="24"/>
                <w:szCs w:val="24"/>
                <w:highlight w:val="none"/>
                <w:vertAlign w:val="superscript"/>
                <w:lang w:val="en-US" w:eastAsia="zh-CN"/>
              </w:rPr>
              <w:t>2</w:t>
            </w:r>
            <w:r>
              <w:rPr>
                <w:rFonts w:hint="default" w:ascii="Times New Roman" w:hAnsi="Times New Roman" w:cs="Times New Roman"/>
                <w:bCs/>
                <w:color w:val="auto"/>
                <w:spacing w:val="-10"/>
                <w:sz w:val="24"/>
                <w:szCs w:val="24"/>
                <w:highlight w:val="none"/>
                <w:lang w:val="en-US" w:eastAsia="zh-CN"/>
              </w:rPr>
              <w:t>。</w:t>
            </w:r>
          </w:p>
          <w:p w14:paraId="020E6279">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auto"/>
                <w:spacing w:val="-10"/>
                <w:sz w:val="24"/>
                <w:szCs w:val="24"/>
                <w:highlight w:val="none"/>
                <w:lang w:val="en-US" w:eastAsia="zh-CN"/>
              </w:rPr>
            </w:pPr>
            <w:r>
              <w:rPr>
                <w:rFonts w:hint="eastAsia" w:cs="Times New Roman"/>
                <w:bCs/>
                <w:color w:val="auto"/>
                <w:spacing w:val="-10"/>
                <w:sz w:val="24"/>
                <w:szCs w:val="24"/>
                <w:highlight w:val="none"/>
                <w:lang w:val="en-US" w:eastAsia="zh-CN"/>
              </w:rPr>
              <w:t>经计算，本项目物料堆放及转运过程产生的无组织粉尘量为1503t/a。</w:t>
            </w:r>
          </w:p>
          <w:p w14:paraId="2FDFC7F4">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auto"/>
                <w:spacing w:val="-10"/>
                <w:sz w:val="24"/>
                <w:szCs w:val="24"/>
                <w:highlight w:val="none"/>
                <w:lang w:val="en-US" w:eastAsia="zh-CN"/>
              </w:rPr>
            </w:pPr>
            <w:r>
              <w:rPr>
                <w:rFonts w:hint="default" w:ascii="Times New Roman" w:hAnsi="Times New Roman" w:cs="Times New Roman"/>
                <w:bCs/>
                <w:color w:val="auto"/>
                <w:spacing w:val="-10"/>
                <w:sz w:val="24"/>
                <w:szCs w:val="24"/>
                <w:highlight w:val="none"/>
                <w:lang w:val="en-US" w:eastAsia="zh-CN"/>
              </w:rPr>
              <w:t>工业企业固体物料堆场颗粒物排放量核算公式如下：</w:t>
            </w:r>
          </w:p>
          <w:p w14:paraId="46D05514">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bCs/>
                <w:color w:val="auto"/>
                <w:spacing w:val="-10"/>
                <w:sz w:val="24"/>
                <w:szCs w:val="24"/>
                <w:highlight w:val="none"/>
                <w:lang w:val="en-US" w:eastAsia="zh-CN"/>
              </w:rPr>
            </w:pPr>
            <m:oMathPara>
              <m:oMath>
                <m:sSub>
                  <m:sSubPr>
                    <m:ctrlPr>
                      <w:rPr>
                        <w:rFonts w:hint="default" w:ascii="Cambria Math" w:hAnsi="Cambria Math" w:cs="Times New Roman"/>
                        <w:bCs/>
                        <w:i/>
                        <w:color w:val="auto"/>
                        <w:spacing w:val="-10"/>
                        <w:sz w:val="24"/>
                        <w:szCs w:val="24"/>
                        <w:highlight w:val="none"/>
                        <w:lang w:val="en-US"/>
                      </w:rPr>
                    </m:ctrlPr>
                  </m:sSubPr>
                  <m:e>
                    <m:r>
                      <m:rPr/>
                      <w:rPr>
                        <w:rFonts w:hint="default" w:ascii="Cambria Math" w:hAnsi="Cambria Math" w:cs="Times New Roman"/>
                        <w:color w:val="auto"/>
                        <w:spacing w:val="-10"/>
                        <w:sz w:val="24"/>
                        <w:szCs w:val="24"/>
                        <w:highlight w:val="none"/>
                        <w:lang w:val="en-US" w:eastAsia="zh-CN"/>
                      </w:rPr>
                      <m:t>U</m:t>
                    </m:r>
                    <m:ctrlPr>
                      <w:rPr>
                        <w:rFonts w:hint="default" w:ascii="Cambria Math" w:hAnsi="Cambria Math" w:cs="Times New Roman"/>
                        <w:bCs/>
                        <w:i/>
                        <w:color w:val="auto"/>
                        <w:spacing w:val="-10"/>
                        <w:sz w:val="24"/>
                        <w:szCs w:val="24"/>
                        <w:highlight w:val="none"/>
                        <w:lang w:val="en-US"/>
                      </w:rPr>
                    </m:ctrlPr>
                  </m:e>
                  <m:sub>
                    <m:r>
                      <m:rPr/>
                      <w:rPr>
                        <w:rFonts w:hint="default" w:ascii="Cambria Math" w:hAnsi="Cambria Math" w:cs="Times New Roman"/>
                        <w:color w:val="auto"/>
                        <w:spacing w:val="-10"/>
                        <w:sz w:val="24"/>
                        <w:szCs w:val="24"/>
                        <w:highlight w:val="none"/>
                        <w:lang w:val="en-US" w:eastAsia="zh-CN"/>
                      </w:rPr>
                      <m:t>C</m:t>
                    </m:r>
                    <m:ctrlPr>
                      <w:rPr>
                        <w:rFonts w:hint="default" w:ascii="Cambria Math" w:hAnsi="Cambria Math" w:cs="Times New Roman"/>
                        <w:bCs/>
                        <w:i/>
                        <w:color w:val="auto"/>
                        <w:spacing w:val="-10"/>
                        <w:sz w:val="24"/>
                        <w:szCs w:val="24"/>
                        <w:highlight w:val="none"/>
                        <w:lang w:val="en-US"/>
                      </w:rPr>
                    </m:ctrlPr>
                  </m:sub>
                </m:sSub>
                <m:r>
                  <m:rPr/>
                  <w:rPr>
                    <w:rFonts w:hint="default" w:ascii="Cambria Math" w:hAnsi="Cambria Math" w:cs="Times New Roman"/>
                    <w:color w:val="auto"/>
                    <w:spacing w:val="-10"/>
                    <w:sz w:val="24"/>
                    <w:szCs w:val="24"/>
                    <w:highlight w:val="none"/>
                    <w:lang w:val="en-US" w:eastAsia="zh-CN"/>
                  </w:rPr>
                  <m:t>=P</m:t>
                </m:r>
                <m:r>
                  <m:rPr/>
                  <w:rPr>
                    <w:rFonts w:hint="default" w:ascii="Cambria Math" w:hAnsi="Cambria Math" w:cs="Times New Roman"/>
                    <w:color w:val="auto"/>
                    <w:spacing w:val="-10"/>
                    <w:sz w:val="24"/>
                    <w:szCs w:val="24"/>
                    <w:highlight w:val="none"/>
                    <w:lang w:val="en-US"/>
                  </w:rPr>
                  <m:t>×</m:t>
                </m:r>
                <m:d>
                  <m:dPr>
                    <m:ctrlPr>
                      <w:rPr>
                        <w:rFonts w:hint="default" w:ascii="Cambria Math" w:hAnsi="Cambria Math" w:cs="Times New Roman"/>
                        <w:bCs/>
                        <w:i/>
                        <w:color w:val="auto"/>
                        <w:spacing w:val="-10"/>
                        <w:sz w:val="24"/>
                        <w:szCs w:val="24"/>
                        <w:highlight w:val="none"/>
                        <w:lang w:val="en-US"/>
                      </w:rPr>
                    </m:ctrlPr>
                  </m:dPr>
                  <m:e>
                    <m:r>
                      <m:rPr/>
                      <w:rPr>
                        <w:rFonts w:hint="default" w:ascii="Cambria Math" w:hAnsi="Cambria Math" w:cs="Times New Roman"/>
                        <w:color w:val="auto"/>
                        <w:spacing w:val="-10"/>
                        <w:sz w:val="24"/>
                        <w:szCs w:val="24"/>
                        <w:highlight w:val="none"/>
                        <w:lang w:val="en-US" w:eastAsia="zh-CN"/>
                      </w:rPr>
                      <m:t>1−</m:t>
                    </m:r>
                    <m:sSub>
                      <m:sSubPr>
                        <m:ctrlPr>
                          <w:rPr>
                            <w:rFonts w:hint="default" w:ascii="Cambria Math" w:hAnsi="Cambria Math" w:cs="Times New Roman"/>
                            <w:bCs/>
                            <w:i/>
                            <w:color w:val="auto"/>
                            <w:spacing w:val="-10"/>
                            <w:sz w:val="24"/>
                            <w:szCs w:val="24"/>
                            <w:highlight w:val="none"/>
                            <w:lang w:val="en-US" w:eastAsia="zh-CN"/>
                          </w:rPr>
                        </m:ctrlPr>
                      </m:sSubPr>
                      <m:e>
                        <m:r>
                          <m:rPr/>
                          <w:rPr>
                            <w:rFonts w:hint="default" w:ascii="Cambria Math" w:hAnsi="Cambria Math" w:cs="Times New Roman"/>
                            <w:color w:val="auto"/>
                            <w:spacing w:val="-10"/>
                            <w:sz w:val="24"/>
                            <w:szCs w:val="24"/>
                            <w:highlight w:val="none"/>
                            <w:lang w:val="en-US" w:eastAsia="zh-CN"/>
                          </w:rPr>
                          <m:t>C</m:t>
                        </m:r>
                        <m:ctrlPr>
                          <w:rPr>
                            <w:rFonts w:hint="default" w:ascii="Cambria Math" w:hAnsi="Cambria Math" w:cs="Times New Roman"/>
                            <w:bCs/>
                            <w:i/>
                            <w:color w:val="auto"/>
                            <w:spacing w:val="-10"/>
                            <w:sz w:val="24"/>
                            <w:szCs w:val="24"/>
                            <w:highlight w:val="none"/>
                            <w:lang w:val="en-US" w:eastAsia="zh-CN"/>
                          </w:rPr>
                        </m:ctrlPr>
                      </m:e>
                      <m:sub>
                        <m:r>
                          <m:rPr/>
                          <w:rPr>
                            <w:rFonts w:hint="default" w:ascii="Cambria Math" w:hAnsi="Cambria Math" w:cs="Times New Roman"/>
                            <w:color w:val="auto"/>
                            <w:spacing w:val="-10"/>
                            <w:sz w:val="24"/>
                            <w:szCs w:val="24"/>
                            <w:highlight w:val="none"/>
                            <w:lang w:val="en-US" w:eastAsia="zh-CN"/>
                          </w:rPr>
                          <m:t>m</m:t>
                        </m:r>
                        <m:ctrlPr>
                          <w:rPr>
                            <w:rFonts w:hint="default" w:ascii="Cambria Math" w:hAnsi="Cambria Math" w:cs="Times New Roman"/>
                            <w:bCs/>
                            <w:i/>
                            <w:color w:val="auto"/>
                            <w:spacing w:val="-10"/>
                            <w:sz w:val="24"/>
                            <w:szCs w:val="24"/>
                            <w:highlight w:val="none"/>
                            <w:lang w:val="en-US" w:eastAsia="zh-CN"/>
                          </w:rPr>
                        </m:ctrlPr>
                      </m:sub>
                    </m:sSub>
                    <m:ctrlPr>
                      <w:rPr>
                        <w:rFonts w:hint="default" w:ascii="Cambria Math" w:hAnsi="Cambria Math" w:cs="Times New Roman"/>
                        <w:bCs/>
                        <w:i/>
                        <w:color w:val="auto"/>
                        <w:spacing w:val="-10"/>
                        <w:sz w:val="24"/>
                        <w:szCs w:val="24"/>
                        <w:highlight w:val="none"/>
                        <w:lang w:val="en-US"/>
                      </w:rPr>
                    </m:ctrlPr>
                  </m:e>
                </m:d>
                <m:r>
                  <m:rPr/>
                  <w:rPr>
                    <w:rFonts w:hint="default" w:ascii="Cambria Math" w:hAnsi="Cambria Math" w:cs="Times New Roman"/>
                    <w:color w:val="auto"/>
                    <w:spacing w:val="-10"/>
                    <w:sz w:val="24"/>
                    <w:szCs w:val="24"/>
                    <w:highlight w:val="none"/>
                    <w:lang w:val="en-US"/>
                  </w:rPr>
                  <m:t>×</m:t>
                </m:r>
                <m:d>
                  <m:dPr>
                    <m:ctrlPr>
                      <w:rPr>
                        <w:rFonts w:hint="default" w:ascii="Cambria Math" w:hAnsi="Cambria Math" w:cs="Times New Roman"/>
                        <w:bCs/>
                        <w:i/>
                        <w:color w:val="auto"/>
                        <w:spacing w:val="-10"/>
                        <w:sz w:val="24"/>
                        <w:szCs w:val="24"/>
                        <w:highlight w:val="none"/>
                        <w:lang w:val="en-US"/>
                      </w:rPr>
                    </m:ctrlPr>
                  </m:dPr>
                  <m:e>
                    <m:r>
                      <m:rPr/>
                      <w:rPr>
                        <w:rFonts w:hint="default" w:ascii="Cambria Math" w:hAnsi="Cambria Math" w:cs="Times New Roman"/>
                        <w:color w:val="auto"/>
                        <w:spacing w:val="-10"/>
                        <w:sz w:val="24"/>
                        <w:szCs w:val="24"/>
                        <w:highlight w:val="none"/>
                        <w:lang w:val="en-US" w:eastAsia="zh-CN"/>
                      </w:rPr>
                      <m:t>1−</m:t>
                    </m:r>
                    <m:sSub>
                      <m:sSubPr>
                        <m:ctrlPr>
                          <w:rPr>
                            <w:rFonts w:hint="default" w:ascii="Cambria Math" w:hAnsi="Cambria Math" w:cs="Times New Roman"/>
                            <w:bCs/>
                            <w:i/>
                            <w:color w:val="auto"/>
                            <w:spacing w:val="-10"/>
                            <w:sz w:val="24"/>
                            <w:szCs w:val="24"/>
                            <w:highlight w:val="none"/>
                            <w:lang w:val="en-US" w:eastAsia="zh-CN"/>
                          </w:rPr>
                        </m:ctrlPr>
                      </m:sSubPr>
                      <m:e>
                        <m:r>
                          <m:rPr/>
                          <w:rPr>
                            <w:rFonts w:hint="default" w:ascii="Cambria Math" w:hAnsi="Cambria Math" w:cs="Times New Roman"/>
                            <w:color w:val="auto"/>
                            <w:spacing w:val="-10"/>
                            <w:sz w:val="24"/>
                            <w:szCs w:val="24"/>
                            <w:highlight w:val="none"/>
                            <w:lang w:val="en-US" w:eastAsia="zh-CN"/>
                          </w:rPr>
                          <m:t>T</m:t>
                        </m:r>
                        <m:ctrlPr>
                          <w:rPr>
                            <w:rFonts w:hint="default" w:ascii="Cambria Math" w:hAnsi="Cambria Math" w:cs="Times New Roman"/>
                            <w:bCs/>
                            <w:i/>
                            <w:color w:val="auto"/>
                            <w:spacing w:val="-10"/>
                            <w:sz w:val="24"/>
                            <w:szCs w:val="24"/>
                            <w:highlight w:val="none"/>
                            <w:lang w:val="en-US" w:eastAsia="zh-CN"/>
                          </w:rPr>
                        </m:ctrlPr>
                      </m:e>
                      <m:sub>
                        <m:r>
                          <m:rPr/>
                          <w:rPr>
                            <w:rFonts w:hint="default" w:ascii="Cambria Math" w:hAnsi="Cambria Math" w:cs="Times New Roman"/>
                            <w:color w:val="auto"/>
                            <w:spacing w:val="-10"/>
                            <w:sz w:val="24"/>
                            <w:szCs w:val="24"/>
                            <w:highlight w:val="none"/>
                            <w:lang w:val="en-US" w:eastAsia="zh-CN"/>
                          </w:rPr>
                          <m:t>m</m:t>
                        </m:r>
                        <m:ctrlPr>
                          <w:rPr>
                            <w:rFonts w:hint="default" w:ascii="Cambria Math" w:hAnsi="Cambria Math" w:cs="Times New Roman"/>
                            <w:bCs/>
                            <w:i/>
                            <w:color w:val="auto"/>
                            <w:spacing w:val="-10"/>
                            <w:sz w:val="24"/>
                            <w:szCs w:val="24"/>
                            <w:highlight w:val="none"/>
                            <w:lang w:val="en-US" w:eastAsia="zh-CN"/>
                          </w:rPr>
                        </m:ctrlPr>
                      </m:sub>
                    </m:sSub>
                    <m:ctrlPr>
                      <w:rPr>
                        <w:rFonts w:hint="default" w:ascii="Cambria Math" w:hAnsi="Cambria Math" w:cs="Times New Roman"/>
                        <w:bCs/>
                        <w:i/>
                        <w:color w:val="auto"/>
                        <w:spacing w:val="-10"/>
                        <w:sz w:val="24"/>
                        <w:szCs w:val="24"/>
                        <w:highlight w:val="none"/>
                        <w:lang w:val="en-US"/>
                      </w:rPr>
                    </m:ctrlPr>
                  </m:e>
                </m:d>
              </m:oMath>
            </m:oMathPara>
          </w:p>
          <w:p w14:paraId="2BE6D935">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cs="Times New Roman"/>
                <w:bCs/>
                <w:color w:val="auto"/>
                <w:spacing w:val="-10"/>
                <w:sz w:val="24"/>
                <w:szCs w:val="24"/>
                <w:highlight w:val="none"/>
                <w:lang w:val="en-US" w:eastAsia="zh-CN"/>
              </w:rPr>
            </w:pPr>
            <w:r>
              <w:rPr>
                <w:rFonts w:hint="default" w:ascii="Times New Roman" w:hAnsi="Times New Roman" w:cs="Times New Roman"/>
                <w:bCs/>
                <w:color w:val="auto"/>
                <w:spacing w:val="-10"/>
                <w:sz w:val="24"/>
                <w:szCs w:val="24"/>
                <w:highlight w:val="none"/>
                <w:lang w:val="en-US" w:eastAsia="zh-CN"/>
              </w:rPr>
              <w:t>式中：P</w:t>
            </w:r>
            <w:r>
              <w:rPr>
                <w:rFonts w:hint="eastAsia" w:cs="Times New Roman"/>
                <w:bCs/>
                <w:color w:val="auto"/>
                <w:spacing w:val="-10"/>
                <w:sz w:val="24"/>
                <w:szCs w:val="24"/>
                <w:highlight w:val="none"/>
                <w:lang w:val="en-US" w:eastAsia="zh-CN"/>
              </w:rPr>
              <w:t>——</w:t>
            </w:r>
            <w:r>
              <w:rPr>
                <w:rFonts w:hint="default" w:ascii="Times New Roman" w:hAnsi="Times New Roman" w:cs="Times New Roman"/>
                <w:bCs/>
                <w:color w:val="auto"/>
                <w:spacing w:val="-10"/>
                <w:sz w:val="24"/>
                <w:szCs w:val="24"/>
                <w:highlight w:val="none"/>
                <w:lang w:val="en-US" w:eastAsia="zh-CN"/>
              </w:rPr>
              <w:t>指颗粒物产生量（单位：吨）；</w:t>
            </w:r>
          </w:p>
          <w:p w14:paraId="73E8F7FE">
            <w:pPr>
              <w:keepNext w:val="0"/>
              <w:keepLines w:val="0"/>
              <w:pageBreakBefore w:val="0"/>
              <w:widowControl w:val="0"/>
              <w:kinsoku/>
              <w:wordWrap/>
              <w:overflowPunct/>
              <w:topLinePunct w:val="0"/>
              <w:autoSpaceDE/>
              <w:autoSpaceDN/>
              <w:bidi w:val="0"/>
              <w:adjustRightInd w:val="0"/>
              <w:snapToGrid w:val="0"/>
              <w:spacing w:line="360" w:lineRule="auto"/>
              <w:ind w:firstLine="1100" w:firstLineChars="500"/>
              <w:textAlignment w:val="auto"/>
              <w:rPr>
                <w:rFonts w:hint="default" w:ascii="Times New Roman" w:hAnsi="Times New Roman" w:cs="Times New Roman"/>
                <w:bCs/>
                <w:color w:val="auto"/>
                <w:spacing w:val="-10"/>
                <w:sz w:val="24"/>
                <w:szCs w:val="24"/>
                <w:highlight w:val="none"/>
                <w:lang w:val="en-US" w:eastAsia="zh-CN"/>
              </w:rPr>
            </w:pPr>
            <w:r>
              <w:rPr>
                <w:rFonts w:hint="default" w:ascii="Times New Roman" w:hAnsi="Times New Roman" w:cs="Times New Roman"/>
                <w:bCs/>
                <w:color w:val="auto"/>
                <w:spacing w:val="-10"/>
                <w:sz w:val="24"/>
                <w:szCs w:val="24"/>
                <w:highlight w:val="none"/>
                <w:lang w:val="en-US" w:eastAsia="zh-CN"/>
              </w:rPr>
              <w:t>U</w:t>
            </w:r>
            <w:r>
              <w:rPr>
                <w:rFonts w:hint="default" w:ascii="Times New Roman" w:hAnsi="Times New Roman" w:cs="Times New Roman"/>
                <w:bCs/>
                <w:color w:val="auto"/>
                <w:spacing w:val="-10"/>
                <w:sz w:val="24"/>
                <w:szCs w:val="24"/>
                <w:highlight w:val="none"/>
                <w:vertAlign w:val="subscript"/>
                <w:lang w:val="en-US" w:eastAsia="zh-CN"/>
              </w:rPr>
              <w:t>c</w:t>
            </w:r>
            <w:r>
              <w:rPr>
                <w:rFonts w:hint="eastAsia" w:cs="Times New Roman"/>
                <w:bCs/>
                <w:color w:val="auto"/>
                <w:spacing w:val="-10"/>
                <w:sz w:val="24"/>
                <w:szCs w:val="24"/>
                <w:highlight w:val="none"/>
                <w:lang w:val="en-US" w:eastAsia="zh-CN"/>
              </w:rPr>
              <w:t>——</w:t>
            </w:r>
            <w:r>
              <w:rPr>
                <w:rFonts w:hint="default" w:ascii="Times New Roman" w:hAnsi="Times New Roman" w:cs="Times New Roman"/>
                <w:bCs/>
                <w:color w:val="auto"/>
                <w:spacing w:val="-10"/>
                <w:sz w:val="24"/>
                <w:szCs w:val="24"/>
                <w:highlight w:val="none"/>
                <w:lang w:val="en-US" w:eastAsia="zh-CN"/>
              </w:rPr>
              <w:t>指颗粒物排放量（单位：吨）；</w:t>
            </w:r>
          </w:p>
          <w:p w14:paraId="1B437649">
            <w:pPr>
              <w:keepNext w:val="0"/>
              <w:keepLines w:val="0"/>
              <w:pageBreakBefore w:val="0"/>
              <w:widowControl w:val="0"/>
              <w:kinsoku/>
              <w:wordWrap/>
              <w:overflowPunct/>
              <w:topLinePunct w:val="0"/>
              <w:autoSpaceDE/>
              <w:autoSpaceDN/>
              <w:bidi w:val="0"/>
              <w:adjustRightInd w:val="0"/>
              <w:snapToGrid w:val="0"/>
              <w:spacing w:line="360" w:lineRule="auto"/>
              <w:ind w:firstLine="1100" w:firstLineChars="500"/>
              <w:textAlignment w:val="auto"/>
              <w:rPr>
                <w:rFonts w:hint="default" w:ascii="Times New Roman" w:hAnsi="Times New Roman" w:cs="Times New Roman"/>
                <w:bCs/>
                <w:color w:val="auto"/>
                <w:spacing w:val="-10"/>
                <w:sz w:val="24"/>
                <w:szCs w:val="24"/>
                <w:highlight w:val="none"/>
                <w:lang w:val="en-US" w:eastAsia="zh-CN"/>
              </w:rPr>
            </w:pPr>
            <w:r>
              <w:rPr>
                <w:rFonts w:hint="default" w:ascii="Times New Roman" w:hAnsi="Times New Roman" w:cs="Times New Roman"/>
                <w:bCs/>
                <w:color w:val="auto"/>
                <w:spacing w:val="-10"/>
                <w:sz w:val="24"/>
                <w:szCs w:val="24"/>
                <w:highlight w:val="none"/>
                <w:lang w:val="en-US" w:eastAsia="zh-CN"/>
              </w:rPr>
              <w:t>C</w:t>
            </w:r>
            <w:r>
              <w:rPr>
                <w:rFonts w:hint="default" w:ascii="Times New Roman" w:hAnsi="Times New Roman" w:cs="Times New Roman"/>
                <w:bCs/>
                <w:color w:val="auto"/>
                <w:spacing w:val="-10"/>
                <w:sz w:val="24"/>
                <w:szCs w:val="24"/>
                <w:highlight w:val="none"/>
                <w:vertAlign w:val="subscript"/>
                <w:lang w:val="en-US" w:eastAsia="zh-CN"/>
              </w:rPr>
              <w:t>m</w:t>
            </w:r>
            <w:r>
              <w:rPr>
                <w:rFonts w:hint="eastAsia" w:cs="Times New Roman"/>
                <w:bCs/>
                <w:color w:val="auto"/>
                <w:spacing w:val="-10"/>
                <w:sz w:val="24"/>
                <w:szCs w:val="24"/>
                <w:highlight w:val="none"/>
                <w:lang w:val="en-US" w:eastAsia="zh-CN"/>
              </w:rPr>
              <w:t>——</w:t>
            </w:r>
            <w:r>
              <w:rPr>
                <w:rFonts w:hint="default" w:ascii="Times New Roman" w:hAnsi="Times New Roman" w:cs="Times New Roman"/>
                <w:bCs/>
                <w:color w:val="auto"/>
                <w:spacing w:val="-10"/>
                <w:sz w:val="24"/>
                <w:szCs w:val="24"/>
                <w:highlight w:val="none"/>
                <w:lang w:val="en-US" w:eastAsia="zh-CN"/>
              </w:rPr>
              <w:t>指颗粒物控制措施控制效率（单位：%），见附录4；本项目使用</w:t>
            </w:r>
            <w:r>
              <w:rPr>
                <w:rFonts w:hint="eastAsia" w:ascii="Times New Roman" w:hAnsi="Times New Roman" w:cs="Times New Roman"/>
                <w:bCs/>
                <w:color w:val="auto"/>
                <w:spacing w:val="-10"/>
                <w:sz w:val="24"/>
                <w:szCs w:val="24"/>
                <w:highlight w:val="none"/>
                <w:lang w:val="en-US" w:eastAsia="zh-CN"/>
              </w:rPr>
              <w:t>雾炮</w:t>
            </w:r>
            <w:r>
              <w:rPr>
                <w:rFonts w:hint="default" w:ascii="Times New Roman" w:hAnsi="Times New Roman" w:cs="Times New Roman"/>
                <w:bCs/>
                <w:color w:val="auto"/>
                <w:spacing w:val="-10"/>
                <w:sz w:val="24"/>
                <w:szCs w:val="24"/>
                <w:highlight w:val="none"/>
                <w:lang w:val="en-US" w:eastAsia="zh-CN"/>
              </w:rPr>
              <w:t>降尘，属于洒水降尘，控制效率为74%；</w:t>
            </w:r>
          </w:p>
          <w:p w14:paraId="2FE41FC5">
            <w:pPr>
              <w:keepNext w:val="0"/>
              <w:keepLines w:val="0"/>
              <w:pageBreakBefore w:val="0"/>
              <w:widowControl w:val="0"/>
              <w:kinsoku/>
              <w:wordWrap/>
              <w:overflowPunct/>
              <w:topLinePunct w:val="0"/>
              <w:autoSpaceDE/>
              <w:autoSpaceDN/>
              <w:bidi w:val="0"/>
              <w:adjustRightInd w:val="0"/>
              <w:snapToGrid w:val="0"/>
              <w:spacing w:line="360" w:lineRule="auto"/>
              <w:ind w:firstLine="1100" w:firstLineChars="500"/>
              <w:textAlignment w:val="auto"/>
              <w:rPr>
                <w:rFonts w:hint="default"/>
                <w:color w:val="auto"/>
                <w:highlight w:val="none"/>
                <w:lang w:val="en-US"/>
              </w:rPr>
            </w:pPr>
            <w:r>
              <w:rPr>
                <w:rFonts w:hint="default" w:ascii="Times New Roman" w:hAnsi="Times New Roman" w:cs="Times New Roman"/>
                <w:bCs/>
                <w:color w:val="auto"/>
                <w:spacing w:val="-10"/>
                <w:sz w:val="24"/>
                <w:szCs w:val="24"/>
                <w:highlight w:val="none"/>
                <w:lang w:val="en-US" w:eastAsia="zh-CN"/>
              </w:rPr>
              <w:t>T</w:t>
            </w:r>
            <w:r>
              <w:rPr>
                <w:rFonts w:hint="default" w:ascii="Times New Roman" w:hAnsi="Times New Roman" w:cs="Times New Roman"/>
                <w:bCs/>
                <w:color w:val="auto"/>
                <w:spacing w:val="-10"/>
                <w:sz w:val="24"/>
                <w:szCs w:val="24"/>
                <w:highlight w:val="none"/>
                <w:vertAlign w:val="subscript"/>
                <w:lang w:val="en-US" w:eastAsia="zh-CN"/>
              </w:rPr>
              <w:t>m</w:t>
            </w:r>
            <w:r>
              <w:rPr>
                <w:rFonts w:hint="eastAsia" w:cs="Times New Roman"/>
                <w:bCs/>
                <w:color w:val="auto"/>
                <w:spacing w:val="-10"/>
                <w:sz w:val="24"/>
                <w:szCs w:val="24"/>
                <w:highlight w:val="none"/>
                <w:lang w:val="en-US" w:eastAsia="zh-CN"/>
              </w:rPr>
              <w:t>——</w:t>
            </w:r>
            <w:r>
              <w:rPr>
                <w:rFonts w:hint="default" w:ascii="Times New Roman" w:hAnsi="Times New Roman" w:cs="Times New Roman"/>
                <w:bCs/>
                <w:color w:val="auto"/>
                <w:spacing w:val="-10"/>
                <w:sz w:val="24"/>
                <w:szCs w:val="24"/>
                <w:highlight w:val="none"/>
                <w:lang w:val="en-US" w:eastAsia="zh-CN"/>
              </w:rPr>
              <w:t>指堆场类型控制效率（单位：%），</w:t>
            </w:r>
            <w:r>
              <w:rPr>
                <w:rFonts w:hint="eastAsia" w:cs="Times New Roman"/>
                <w:bCs/>
                <w:color w:val="auto"/>
                <w:spacing w:val="-10"/>
                <w:sz w:val="24"/>
                <w:szCs w:val="24"/>
                <w:highlight w:val="none"/>
                <w:lang w:val="en-US" w:eastAsia="zh-CN"/>
              </w:rPr>
              <w:t>参照</w:t>
            </w:r>
            <w:r>
              <w:rPr>
                <w:rFonts w:hint="default" w:ascii="Times New Roman" w:hAnsi="Times New Roman" w:cs="Times New Roman"/>
                <w:bCs/>
                <w:color w:val="auto"/>
                <w:spacing w:val="-10"/>
                <w:sz w:val="24"/>
                <w:szCs w:val="24"/>
                <w:highlight w:val="none"/>
                <w:lang w:val="en-US" w:eastAsia="zh-CN"/>
              </w:rPr>
              <w:t>附录5；本项目设置</w:t>
            </w:r>
            <w:r>
              <w:rPr>
                <w:rFonts w:hint="eastAsia" w:cs="Times New Roman"/>
                <w:bCs/>
                <w:color w:val="auto"/>
                <w:spacing w:val="-10"/>
                <w:sz w:val="24"/>
                <w:szCs w:val="24"/>
                <w:highlight w:val="none"/>
                <w:lang w:val="en-US" w:eastAsia="zh-CN"/>
              </w:rPr>
              <w:t>全封闭储棚</w:t>
            </w:r>
            <w:r>
              <w:rPr>
                <w:rFonts w:hint="default" w:ascii="Times New Roman" w:hAnsi="Times New Roman" w:cs="Times New Roman"/>
                <w:bCs/>
                <w:color w:val="auto"/>
                <w:spacing w:val="-10"/>
                <w:sz w:val="24"/>
                <w:szCs w:val="24"/>
                <w:highlight w:val="none"/>
                <w:lang w:val="en-US" w:eastAsia="zh-CN"/>
              </w:rPr>
              <w:t>，控制效率</w:t>
            </w:r>
            <w:r>
              <w:rPr>
                <w:rFonts w:hint="eastAsia" w:cs="Times New Roman"/>
                <w:bCs/>
                <w:color w:val="auto"/>
                <w:spacing w:val="-10"/>
                <w:sz w:val="24"/>
                <w:szCs w:val="24"/>
                <w:highlight w:val="none"/>
                <w:lang w:val="en-US" w:eastAsia="zh-CN"/>
              </w:rPr>
              <w:t>以90</w:t>
            </w:r>
            <w:r>
              <w:rPr>
                <w:rFonts w:hint="default" w:ascii="Times New Roman" w:hAnsi="Times New Roman" w:cs="Times New Roman"/>
                <w:bCs/>
                <w:color w:val="auto"/>
                <w:spacing w:val="-10"/>
                <w:sz w:val="24"/>
                <w:szCs w:val="24"/>
                <w:highlight w:val="none"/>
                <w:lang w:val="en-US" w:eastAsia="zh-CN"/>
              </w:rPr>
              <w:t>%</w:t>
            </w:r>
            <w:r>
              <w:rPr>
                <w:rFonts w:hint="eastAsia" w:cs="Times New Roman"/>
                <w:bCs/>
                <w:color w:val="auto"/>
                <w:spacing w:val="-10"/>
                <w:sz w:val="24"/>
                <w:szCs w:val="24"/>
                <w:highlight w:val="none"/>
                <w:lang w:val="en-US" w:eastAsia="zh-CN"/>
              </w:rPr>
              <w:t>计算</w:t>
            </w:r>
            <w:r>
              <w:rPr>
                <w:rFonts w:hint="default" w:ascii="Times New Roman" w:hAnsi="Times New Roman" w:cs="Times New Roman"/>
                <w:bCs/>
                <w:color w:val="auto"/>
                <w:spacing w:val="-10"/>
                <w:sz w:val="24"/>
                <w:szCs w:val="24"/>
                <w:highlight w:val="none"/>
                <w:lang w:val="en-US" w:eastAsia="zh-CN"/>
              </w:rPr>
              <w:t>。</w:t>
            </w:r>
          </w:p>
          <w:p w14:paraId="1D2AA823">
            <w:pPr>
              <w:spacing w:line="360" w:lineRule="auto"/>
              <w:ind w:firstLine="440" w:firstLineChars="200"/>
              <w:rPr>
                <w:sz w:val="24"/>
                <w:highlight w:val="none"/>
              </w:rPr>
            </w:pPr>
            <w:r>
              <w:rPr>
                <w:rFonts w:hint="default" w:ascii="Times New Roman" w:hAnsi="Times New Roman" w:cs="Times New Roman"/>
                <w:bCs/>
                <w:color w:val="auto"/>
                <w:spacing w:val="-10"/>
                <w:sz w:val="24"/>
                <w:szCs w:val="24"/>
                <w:highlight w:val="none"/>
                <w:lang w:val="en-US" w:eastAsia="zh-CN"/>
              </w:rPr>
              <w:t>本项目采用全封闭储棚并安装雾炮定期进行洒水抑尘，经计算，本项目无组织粉尘的排放量为</w:t>
            </w:r>
            <w:r>
              <w:rPr>
                <w:rFonts w:hint="eastAsia" w:ascii="Times New Roman" w:hAnsi="Times New Roman" w:cs="Times New Roman"/>
                <w:bCs/>
                <w:color w:val="auto"/>
                <w:spacing w:val="-10"/>
                <w:sz w:val="24"/>
                <w:szCs w:val="24"/>
                <w:highlight w:val="none"/>
                <w:lang w:val="en-US" w:eastAsia="zh-CN"/>
              </w:rPr>
              <w:t>39.</w:t>
            </w:r>
            <w:r>
              <w:rPr>
                <w:rFonts w:hint="eastAsia" w:cs="Times New Roman"/>
                <w:bCs/>
                <w:color w:val="auto"/>
                <w:spacing w:val="-10"/>
                <w:sz w:val="24"/>
                <w:szCs w:val="24"/>
                <w:highlight w:val="none"/>
                <w:lang w:val="en-US" w:eastAsia="zh-CN"/>
              </w:rPr>
              <w:t>08</w:t>
            </w:r>
            <w:r>
              <w:rPr>
                <w:rFonts w:hint="default" w:ascii="Times New Roman" w:hAnsi="Times New Roman" w:cs="Times New Roman"/>
                <w:bCs/>
                <w:color w:val="auto"/>
                <w:spacing w:val="-10"/>
                <w:sz w:val="24"/>
                <w:szCs w:val="24"/>
                <w:highlight w:val="none"/>
                <w:lang w:val="en-US" w:eastAsia="zh-CN"/>
              </w:rPr>
              <w:t>t/a。</w:t>
            </w:r>
            <w:r>
              <w:rPr>
                <w:rFonts w:hint="default" w:ascii="Times New Roman" w:hAnsi="Times New Roman" w:cs="Times New Roman"/>
                <w:color w:val="auto"/>
                <w:sz w:val="24"/>
                <w:szCs w:val="24"/>
                <w:highlight w:val="none"/>
                <w:lang w:val="en-US" w:eastAsia="zh-CN"/>
              </w:rPr>
              <w:t>厂界最大排放浓度小于</w:t>
            </w:r>
            <w:r>
              <w:rPr>
                <w:rFonts w:hint="eastAsia" w:ascii="Times New Roman" w:hAnsi="Times New Roman" w:cs="Times New Roman"/>
                <w:color w:val="auto"/>
                <w:sz w:val="24"/>
                <w:szCs w:val="24"/>
                <w:highlight w:val="none"/>
                <w:lang w:val="en-US" w:eastAsia="zh-CN"/>
              </w:rPr>
              <w:t>0.5</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bCs/>
                <w:color w:val="auto"/>
                <w:spacing w:val="-10"/>
                <w:sz w:val="24"/>
                <w:szCs w:val="24"/>
                <w:highlight w:val="none"/>
                <w:lang w:val="en-US" w:eastAsia="zh-CN"/>
              </w:rPr>
              <w:t>满足《水泥工业大气污染物排放标准》（GB4915-2013）无组织排放浓度要求</w:t>
            </w:r>
            <w:r>
              <w:rPr>
                <w:rFonts w:hint="default" w:ascii="Times New Roman" w:hAnsi="Times New Roman" w:cs="Times New Roman"/>
                <w:color w:val="auto"/>
                <w:kern w:val="0"/>
                <w:sz w:val="24"/>
                <w:szCs w:val="24"/>
                <w:highlight w:val="none"/>
                <w:lang w:val="en-US" w:eastAsia="zh-CN"/>
              </w:rPr>
              <w:t>。</w:t>
            </w:r>
          </w:p>
          <w:p w14:paraId="43CDE7D9">
            <w:pPr>
              <w:spacing w:line="360" w:lineRule="auto"/>
              <w:ind w:firstLine="480" w:firstLineChars="200"/>
              <w:rPr>
                <w:sz w:val="24"/>
                <w:highlight w:val="none"/>
              </w:rPr>
            </w:pPr>
            <w:r>
              <w:rPr>
                <w:rFonts w:hint="eastAsia"/>
                <w:sz w:val="24"/>
                <w:highlight w:val="none"/>
              </w:rPr>
              <w:t>⑤金属切割粉尘</w:t>
            </w:r>
          </w:p>
          <w:p w14:paraId="32C6B2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highlight w:val="none"/>
              </w:rPr>
            </w:pPr>
            <w:r>
              <w:rPr>
                <w:rFonts w:hint="eastAsia"/>
                <w:sz w:val="24"/>
                <w:highlight w:val="none"/>
              </w:rPr>
              <w:t>本项目采用切割机对钢棒进行切割，切割过程中会产生少量金属粉尘，项目年PC钢棒使用量约21816t/a。类比同类型企业运营经验，切割过程金属粉尘产生量为切割量的0.1%，则项目金属粉尘产生量为21.82/a。金属粉尘颗粒较大、质量较重，极易在切割设备周围沉降，不会长时间滞留在空气中形成飘尘。沉降至地面的金属粉尘经收集后出售给废品回收单位。</w:t>
            </w:r>
          </w:p>
          <w:p w14:paraId="28CCF2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highlight w:val="none"/>
              </w:rPr>
            </w:pPr>
            <w:r>
              <w:rPr>
                <w:rFonts w:hint="default" w:ascii="Times New Roman" w:hAnsi="Times New Roman" w:eastAsia="微软雅黑" w:cs="Times New Roman"/>
                <w:sz w:val="24"/>
                <w:highlight w:val="none"/>
              </w:rPr>
              <w:t>⑥</w:t>
            </w:r>
            <w:r>
              <w:rPr>
                <w:rFonts w:hint="eastAsia"/>
                <w:sz w:val="24"/>
                <w:highlight w:val="none"/>
              </w:rPr>
              <w:t>焊接烟尘</w:t>
            </w:r>
          </w:p>
          <w:p w14:paraId="395C54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highlight w:val="none"/>
              </w:rPr>
            </w:pPr>
            <w:r>
              <w:rPr>
                <w:rFonts w:hint="eastAsia"/>
                <w:sz w:val="24"/>
                <w:highlight w:val="none"/>
              </w:rPr>
              <w:t>项目使用的焊接方式为滚焊</w:t>
            </w:r>
            <w:r>
              <w:rPr>
                <w:rFonts w:hint="eastAsia"/>
                <w:sz w:val="24"/>
                <w:highlight w:val="none"/>
                <w:lang w:eastAsia="zh-CN"/>
              </w:rPr>
              <w:t>（</w:t>
            </w:r>
            <w:r>
              <w:rPr>
                <w:rFonts w:hint="eastAsia"/>
                <w:sz w:val="24"/>
                <w:highlight w:val="none"/>
              </w:rPr>
              <w:t>又称缝焊</w:t>
            </w:r>
            <w:r>
              <w:rPr>
                <w:rFonts w:hint="eastAsia"/>
                <w:sz w:val="24"/>
                <w:highlight w:val="none"/>
                <w:lang w:eastAsia="zh-CN"/>
              </w:rPr>
              <w:t>）</w:t>
            </w:r>
            <w:r>
              <w:rPr>
                <w:rFonts w:hint="eastAsia"/>
                <w:sz w:val="24"/>
                <w:highlight w:val="none"/>
              </w:rPr>
              <w:t>，滚焊主要用于钢筋笼的焊接，由GHJ360型自动滚焊机完成。根据郭葆华等人在《不同焊接工艺的焊接烟尘污染特征》</w:t>
            </w:r>
            <w:r>
              <w:rPr>
                <w:rFonts w:hint="eastAsia"/>
                <w:sz w:val="24"/>
                <w:highlight w:val="none"/>
                <w:lang w:eastAsia="zh-CN"/>
              </w:rPr>
              <w:t>（</w:t>
            </w:r>
            <w:r>
              <w:rPr>
                <w:rFonts w:hint="eastAsia"/>
                <w:sz w:val="24"/>
                <w:highlight w:val="none"/>
              </w:rPr>
              <w:t>科技情报开发与经济，2010年第20卷第4期</w:t>
            </w:r>
            <w:r>
              <w:rPr>
                <w:rFonts w:hint="eastAsia"/>
                <w:sz w:val="24"/>
                <w:highlight w:val="none"/>
                <w:lang w:eastAsia="zh-CN"/>
              </w:rPr>
              <w:t>）</w:t>
            </w:r>
            <w:r>
              <w:rPr>
                <w:rFonts w:hint="eastAsia"/>
                <w:sz w:val="24"/>
                <w:highlight w:val="none"/>
              </w:rPr>
              <w:t>中的研究，滚焊</w:t>
            </w:r>
            <w:r>
              <w:rPr>
                <w:rFonts w:hint="eastAsia"/>
                <w:sz w:val="24"/>
                <w:highlight w:val="none"/>
                <w:lang w:eastAsia="zh-CN"/>
              </w:rPr>
              <w:t>（</w:t>
            </w:r>
            <w:r>
              <w:rPr>
                <w:rFonts w:hint="eastAsia"/>
                <w:sz w:val="24"/>
                <w:highlight w:val="none"/>
              </w:rPr>
              <w:t>又称缝焊</w:t>
            </w:r>
            <w:r>
              <w:rPr>
                <w:rFonts w:hint="eastAsia"/>
                <w:sz w:val="24"/>
                <w:highlight w:val="none"/>
                <w:lang w:eastAsia="zh-CN"/>
              </w:rPr>
              <w:t>）</w:t>
            </w:r>
            <w:r>
              <w:rPr>
                <w:rFonts w:hint="eastAsia"/>
                <w:sz w:val="24"/>
                <w:highlight w:val="none"/>
              </w:rPr>
              <w:t xml:space="preserve">属于电阻焊。施焊时，电极对被焊接金属施压并通电，电流经过金属件紧贴的接触部位时，其电阻较大，发热并熔融接触点，在电极压力作用下，接触点处焊为一体。电阻焊无需焊材、焊剂，基本没有焊烟产生。故本次评价不对其焊接烟气产生量进行分析。 </w:t>
            </w:r>
          </w:p>
          <w:p w14:paraId="6F0208FB">
            <w:pPr>
              <w:ind w:firstLine="422" w:firstLineChars="200"/>
              <w:jc w:val="center"/>
              <w:rPr>
                <w:b/>
                <w:bCs/>
                <w:szCs w:val="21"/>
                <w:highlight w:val="none"/>
              </w:rPr>
            </w:pPr>
            <w:r>
              <w:rPr>
                <w:rFonts w:hint="eastAsia"/>
                <w:b/>
                <w:bCs/>
                <w:szCs w:val="21"/>
                <w:highlight w:val="none"/>
              </w:rPr>
              <w:t xml:space="preserve">表4-1 </w:t>
            </w:r>
            <w:r>
              <w:rPr>
                <w:b/>
                <w:bCs/>
                <w:szCs w:val="21"/>
                <w:highlight w:val="none"/>
              </w:rPr>
              <w:t>大气污染物排放情况</w:t>
            </w:r>
          </w:p>
          <w:tbl>
            <w:tblPr>
              <w:tblStyle w:val="30"/>
              <w:tblW w:w="499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1"/>
              <w:gridCol w:w="718"/>
              <w:gridCol w:w="730"/>
              <w:gridCol w:w="1065"/>
              <w:gridCol w:w="925"/>
              <w:gridCol w:w="988"/>
              <w:gridCol w:w="1824"/>
              <w:gridCol w:w="710"/>
            </w:tblGrid>
            <w:tr w14:paraId="2FF57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06" w:type="pct"/>
                  <w:vMerge w:val="restart"/>
                  <w:tcBorders>
                    <w:tl2br w:val="nil"/>
                    <w:tr2bl w:val="nil"/>
                  </w:tcBorders>
                  <w:shd w:val="clear" w:color="auto" w:fill="auto"/>
                  <w:vAlign w:val="center"/>
                </w:tcPr>
                <w:p w14:paraId="3C1F8A7B">
                  <w:pPr>
                    <w:jc w:val="center"/>
                    <w:rPr>
                      <w:szCs w:val="21"/>
                      <w:highlight w:val="none"/>
                    </w:rPr>
                  </w:pPr>
                  <w:bookmarkStart w:id="5" w:name="_Hlk173857522"/>
                  <w:r>
                    <w:rPr>
                      <w:szCs w:val="21"/>
                      <w:highlight w:val="none"/>
                    </w:rPr>
                    <w:t>污染源</w:t>
                  </w:r>
                </w:p>
              </w:tc>
              <w:tc>
                <w:tcPr>
                  <w:tcW w:w="453" w:type="pct"/>
                  <w:vMerge w:val="restart"/>
                  <w:tcBorders>
                    <w:tl2br w:val="nil"/>
                    <w:tr2bl w:val="nil"/>
                  </w:tcBorders>
                  <w:shd w:val="clear" w:color="auto" w:fill="auto"/>
                  <w:vAlign w:val="center"/>
                </w:tcPr>
                <w:p w14:paraId="21106FEB">
                  <w:pPr>
                    <w:jc w:val="center"/>
                    <w:rPr>
                      <w:szCs w:val="21"/>
                      <w:highlight w:val="none"/>
                    </w:rPr>
                  </w:pPr>
                  <w:r>
                    <w:rPr>
                      <w:szCs w:val="21"/>
                      <w:highlight w:val="none"/>
                    </w:rPr>
                    <w:t>污染物</w:t>
                  </w:r>
                </w:p>
              </w:tc>
              <w:tc>
                <w:tcPr>
                  <w:tcW w:w="460" w:type="pct"/>
                  <w:tcBorders>
                    <w:tl2br w:val="nil"/>
                    <w:tr2bl w:val="nil"/>
                  </w:tcBorders>
                  <w:shd w:val="clear" w:color="auto" w:fill="auto"/>
                  <w:vAlign w:val="center"/>
                </w:tcPr>
                <w:p w14:paraId="0EA25F0B">
                  <w:pPr>
                    <w:jc w:val="center"/>
                    <w:rPr>
                      <w:szCs w:val="21"/>
                      <w:highlight w:val="none"/>
                    </w:rPr>
                  </w:pPr>
                  <w:r>
                    <w:rPr>
                      <w:szCs w:val="21"/>
                      <w:highlight w:val="none"/>
                    </w:rPr>
                    <w:t>产生量</w:t>
                  </w:r>
                </w:p>
              </w:tc>
              <w:tc>
                <w:tcPr>
                  <w:tcW w:w="672" w:type="pct"/>
                  <w:tcBorders>
                    <w:tl2br w:val="nil"/>
                    <w:tr2bl w:val="nil"/>
                  </w:tcBorders>
                  <w:shd w:val="clear" w:color="auto" w:fill="auto"/>
                  <w:vAlign w:val="center"/>
                </w:tcPr>
                <w:p w14:paraId="0624E637">
                  <w:pPr>
                    <w:jc w:val="center"/>
                    <w:rPr>
                      <w:szCs w:val="21"/>
                      <w:highlight w:val="none"/>
                    </w:rPr>
                  </w:pPr>
                  <w:r>
                    <w:rPr>
                      <w:rFonts w:hint="eastAsia" w:ascii="宋体" w:hAnsi="宋体" w:cs="宋体"/>
                      <w:bCs/>
                      <w:kern w:val="21"/>
                      <w:szCs w:val="21"/>
                      <w:highlight w:val="none"/>
                    </w:rPr>
                    <w:t>产生浓度</w:t>
                  </w:r>
                </w:p>
              </w:tc>
              <w:tc>
                <w:tcPr>
                  <w:tcW w:w="583" w:type="pct"/>
                  <w:tcBorders>
                    <w:tl2br w:val="nil"/>
                    <w:tr2bl w:val="nil"/>
                  </w:tcBorders>
                  <w:shd w:val="clear" w:color="auto" w:fill="auto"/>
                  <w:vAlign w:val="center"/>
                </w:tcPr>
                <w:p w14:paraId="50A08ED1">
                  <w:pPr>
                    <w:jc w:val="center"/>
                    <w:rPr>
                      <w:szCs w:val="21"/>
                      <w:highlight w:val="none"/>
                    </w:rPr>
                  </w:pPr>
                  <w:r>
                    <w:rPr>
                      <w:szCs w:val="21"/>
                      <w:highlight w:val="none"/>
                    </w:rPr>
                    <w:t>排放量</w:t>
                  </w:r>
                </w:p>
              </w:tc>
              <w:tc>
                <w:tcPr>
                  <w:tcW w:w="623" w:type="pct"/>
                  <w:tcBorders>
                    <w:tl2br w:val="nil"/>
                    <w:tr2bl w:val="nil"/>
                  </w:tcBorders>
                  <w:shd w:val="clear" w:color="auto" w:fill="auto"/>
                  <w:vAlign w:val="center"/>
                </w:tcPr>
                <w:p w14:paraId="3A93C2AA">
                  <w:pPr>
                    <w:jc w:val="center"/>
                    <w:rPr>
                      <w:szCs w:val="21"/>
                      <w:highlight w:val="none"/>
                    </w:rPr>
                  </w:pPr>
                  <w:r>
                    <w:rPr>
                      <w:rFonts w:hint="eastAsia" w:ascii="宋体" w:hAnsi="宋体" w:cs="宋体"/>
                      <w:bCs/>
                      <w:kern w:val="21"/>
                      <w:szCs w:val="21"/>
                      <w:highlight w:val="none"/>
                    </w:rPr>
                    <w:t>排放浓度</w:t>
                  </w:r>
                </w:p>
              </w:tc>
              <w:tc>
                <w:tcPr>
                  <w:tcW w:w="1151" w:type="pct"/>
                  <w:vMerge w:val="restart"/>
                  <w:tcBorders>
                    <w:tl2br w:val="nil"/>
                    <w:tr2bl w:val="nil"/>
                  </w:tcBorders>
                  <w:shd w:val="clear" w:color="auto" w:fill="auto"/>
                  <w:vAlign w:val="center"/>
                </w:tcPr>
                <w:p w14:paraId="7A6E5A73">
                  <w:pPr>
                    <w:jc w:val="center"/>
                    <w:rPr>
                      <w:szCs w:val="21"/>
                      <w:highlight w:val="none"/>
                    </w:rPr>
                  </w:pPr>
                  <w:r>
                    <w:rPr>
                      <w:szCs w:val="21"/>
                      <w:highlight w:val="none"/>
                    </w:rPr>
                    <w:t>治理措施</w:t>
                  </w:r>
                </w:p>
              </w:tc>
              <w:tc>
                <w:tcPr>
                  <w:tcW w:w="448" w:type="pct"/>
                  <w:vMerge w:val="restart"/>
                  <w:tcBorders>
                    <w:tl2br w:val="nil"/>
                    <w:tr2bl w:val="nil"/>
                  </w:tcBorders>
                  <w:shd w:val="clear" w:color="auto" w:fill="auto"/>
                  <w:vAlign w:val="center"/>
                </w:tcPr>
                <w:p w14:paraId="6F929A9E">
                  <w:pPr>
                    <w:jc w:val="center"/>
                    <w:rPr>
                      <w:szCs w:val="21"/>
                      <w:highlight w:val="none"/>
                    </w:rPr>
                  </w:pPr>
                  <w:r>
                    <w:rPr>
                      <w:rFonts w:hint="eastAsia" w:ascii="宋体" w:hAnsi="宋体" w:cs="宋体"/>
                      <w:bCs/>
                      <w:kern w:val="21"/>
                      <w:szCs w:val="21"/>
                      <w:highlight w:val="none"/>
                    </w:rPr>
                    <w:t>是否为可行技术</w:t>
                  </w:r>
                </w:p>
              </w:tc>
            </w:tr>
            <w:tr w14:paraId="12925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06" w:type="pct"/>
                  <w:vMerge w:val="continue"/>
                  <w:tcBorders>
                    <w:tl2br w:val="nil"/>
                    <w:tr2bl w:val="nil"/>
                  </w:tcBorders>
                  <w:shd w:val="clear" w:color="auto" w:fill="auto"/>
                  <w:vAlign w:val="center"/>
                </w:tcPr>
                <w:p w14:paraId="76756A68">
                  <w:pPr>
                    <w:jc w:val="center"/>
                    <w:rPr>
                      <w:szCs w:val="21"/>
                      <w:highlight w:val="none"/>
                    </w:rPr>
                  </w:pPr>
                </w:p>
              </w:tc>
              <w:tc>
                <w:tcPr>
                  <w:tcW w:w="453" w:type="pct"/>
                  <w:vMerge w:val="continue"/>
                  <w:tcBorders>
                    <w:tl2br w:val="nil"/>
                    <w:tr2bl w:val="nil"/>
                  </w:tcBorders>
                  <w:shd w:val="clear" w:color="auto" w:fill="auto"/>
                  <w:vAlign w:val="center"/>
                </w:tcPr>
                <w:p w14:paraId="1180161D">
                  <w:pPr>
                    <w:jc w:val="center"/>
                    <w:rPr>
                      <w:szCs w:val="21"/>
                      <w:highlight w:val="none"/>
                    </w:rPr>
                  </w:pPr>
                </w:p>
              </w:tc>
              <w:tc>
                <w:tcPr>
                  <w:tcW w:w="460" w:type="pct"/>
                  <w:tcBorders>
                    <w:tl2br w:val="nil"/>
                    <w:tr2bl w:val="nil"/>
                  </w:tcBorders>
                  <w:shd w:val="clear" w:color="auto" w:fill="auto"/>
                  <w:vAlign w:val="center"/>
                </w:tcPr>
                <w:p w14:paraId="79DD1399">
                  <w:pPr>
                    <w:jc w:val="center"/>
                    <w:rPr>
                      <w:szCs w:val="21"/>
                      <w:highlight w:val="none"/>
                    </w:rPr>
                  </w:pPr>
                  <w:r>
                    <w:rPr>
                      <w:szCs w:val="21"/>
                      <w:highlight w:val="none"/>
                    </w:rPr>
                    <w:t>t/a</w:t>
                  </w:r>
                </w:p>
              </w:tc>
              <w:tc>
                <w:tcPr>
                  <w:tcW w:w="672" w:type="pct"/>
                  <w:tcBorders>
                    <w:tl2br w:val="nil"/>
                    <w:tr2bl w:val="nil"/>
                  </w:tcBorders>
                  <w:shd w:val="clear" w:color="auto" w:fill="auto"/>
                  <w:vAlign w:val="center"/>
                </w:tcPr>
                <w:p w14:paraId="3145D636">
                  <w:pPr>
                    <w:jc w:val="center"/>
                    <w:rPr>
                      <w:szCs w:val="21"/>
                      <w:highlight w:val="none"/>
                    </w:rPr>
                  </w:pPr>
                  <w:r>
                    <w:rPr>
                      <w:rFonts w:hint="eastAsia"/>
                      <w:szCs w:val="21"/>
                      <w:highlight w:val="none"/>
                    </w:rPr>
                    <w:t>mg/m</w:t>
                  </w:r>
                  <w:r>
                    <w:rPr>
                      <w:rFonts w:hint="eastAsia"/>
                      <w:szCs w:val="21"/>
                      <w:highlight w:val="none"/>
                      <w:vertAlign w:val="superscript"/>
                    </w:rPr>
                    <w:t>3</w:t>
                  </w:r>
                </w:p>
              </w:tc>
              <w:tc>
                <w:tcPr>
                  <w:tcW w:w="583" w:type="pct"/>
                  <w:tcBorders>
                    <w:tl2br w:val="nil"/>
                    <w:tr2bl w:val="nil"/>
                  </w:tcBorders>
                  <w:shd w:val="clear" w:color="auto" w:fill="auto"/>
                  <w:vAlign w:val="center"/>
                </w:tcPr>
                <w:p w14:paraId="5F379262">
                  <w:pPr>
                    <w:jc w:val="center"/>
                    <w:rPr>
                      <w:szCs w:val="21"/>
                      <w:highlight w:val="none"/>
                    </w:rPr>
                  </w:pPr>
                  <w:r>
                    <w:rPr>
                      <w:rFonts w:hint="eastAsia"/>
                      <w:szCs w:val="21"/>
                      <w:highlight w:val="none"/>
                    </w:rPr>
                    <w:t>t</w:t>
                  </w:r>
                  <w:r>
                    <w:rPr>
                      <w:szCs w:val="21"/>
                      <w:highlight w:val="none"/>
                    </w:rPr>
                    <w:t>/a</w:t>
                  </w:r>
                </w:p>
              </w:tc>
              <w:tc>
                <w:tcPr>
                  <w:tcW w:w="623" w:type="pct"/>
                  <w:tcBorders>
                    <w:tl2br w:val="nil"/>
                    <w:tr2bl w:val="nil"/>
                  </w:tcBorders>
                  <w:shd w:val="clear" w:color="auto" w:fill="auto"/>
                  <w:vAlign w:val="center"/>
                </w:tcPr>
                <w:p w14:paraId="71F79F5A">
                  <w:pPr>
                    <w:rPr>
                      <w:szCs w:val="21"/>
                      <w:highlight w:val="none"/>
                    </w:rPr>
                  </w:pPr>
                  <w:r>
                    <w:rPr>
                      <w:rFonts w:hint="eastAsia"/>
                      <w:szCs w:val="21"/>
                      <w:highlight w:val="none"/>
                    </w:rPr>
                    <w:t>mg/m</w:t>
                  </w:r>
                  <w:r>
                    <w:rPr>
                      <w:rFonts w:hint="eastAsia"/>
                      <w:szCs w:val="21"/>
                      <w:highlight w:val="none"/>
                      <w:vertAlign w:val="superscript"/>
                    </w:rPr>
                    <w:t>3</w:t>
                  </w:r>
                </w:p>
              </w:tc>
              <w:tc>
                <w:tcPr>
                  <w:tcW w:w="1151" w:type="pct"/>
                  <w:vMerge w:val="continue"/>
                  <w:tcBorders>
                    <w:tl2br w:val="nil"/>
                    <w:tr2bl w:val="nil"/>
                  </w:tcBorders>
                  <w:shd w:val="clear" w:color="auto" w:fill="auto"/>
                  <w:vAlign w:val="center"/>
                </w:tcPr>
                <w:p w14:paraId="4D1C8249">
                  <w:pPr>
                    <w:jc w:val="center"/>
                    <w:rPr>
                      <w:rFonts w:hint="eastAsia" w:eastAsia="宋体"/>
                      <w:szCs w:val="21"/>
                      <w:highlight w:val="none"/>
                      <w:lang w:val="en-US" w:eastAsia="zh-CN"/>
                    </w:rPr>
                  </w:pPr>
                </w:p>
              </w:tc>
              <w:tc>
                <w:tcPr>
                  <w:tcW w:w="448" w:type="pct"/>
                  <w:vMerge w:val="continue"/>
                  <w:tcBorders>
                    <w:tl2br w:val="nil"/>
                    <w:tr2bl w:val="nil"/>
                  </w:tcBorders>
                  <w:shd w:val="clear" w:color="auto" w:fill="auto"/>
                  <w:vAlign w:val="center"/>
                </w:tcPr>
                <w:p w14:paraId="59BF14EB">
                  <w:pPr>
                    <w:jc w:val="center"/>
                    <w:rPr>
                      <w:szCs w:val="21"/>
                      <w:highlight w:val="none"/>
                    </w:rPr>
                  </w:pPr>
                </w:p>
              </w:tc>
            </w:tr>
            <w:tr w14:paraId="5261C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00" w:type="pct"/>
                  <w:gridSpan w:val="8"/>
                  <w:tcBorders>
                    <w:tl2br w:val="nil"/>
                    <w:tr2bl w:val="nil"/>
                  </w:tcBorders>
                  <w:shd w:val="clear" w:color="auto" w:fill="auto"/>
                  <w:vAlign w:val="center"/>
                </w:tcPr>
                <w:p w14:paraId="13056E36">
                  <w:pPr>
                    <w:jc w:val="center"/>
                    <w:rPr>
                      <w:rFonts w:hint="eastAsia" w:eastAsia="宋体"/>
                      <w:szCs w:val="21"/>
                      <w:highlight w:val="none"/>
                      <w:lang w:val="en-US" w:eastAsia="zh-CN"/>
                    </w:rPr>
                  </w:pPr>
                  <w:r>
                    <w:rPr>
                      <w:rFonts w:hint="eastAsia"/>
                      <w:szCs w:val="21"/>
                      <w:highlight w:val="none"/>
                    </w:rPr>
                    <w:t>有组织</w:t>
                  </w:r>
                </w:p>
              </w:tc>
            </w:tr>
            <w:tr w14:paraId="5FD02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5" w:hRule="atLeast"/>
                <w:jc w:val="center"/>
              </w:trPr>
              <w:tc>
                <w:tcPr>
                  <w:tcW w:w="606" w:type="pct"/>
                  <w:tcBorders>
                    <w:tl2br w:val="nil"/>
                    <w:tr2bl w:val="nil"/>
                  </w:tcBorders>
                  <w:shd w:val="clear" w:color="auto" w:fill="auto"/>
                  <w:vAlign w:val="center"/>
                </w:tcPr>
                <w:p w14:paraId="77BB175D">
                  <w:pPr>
                    <w:jc w:val="center"/>
                    <w:rPr>
                      <w:szCs w:val="21"/>
                      <w:highlight w:val="none"/>
                    </w:rPr>
                  </w:pPr>
                  <w:r>
                    <w:rPr>
                      <w:rFonts w:hint="eastAsia"/>
                      <w:szCs w:val="21"/>
                      <w:highlight w:val="none"/>
                    </w:rPr>
                    <w:t>1#水泥筒仓</w:t>
                  </w:r>
                </w:p>
              </w:tc>
              <w:tc>
                <w:tcPr>
                  <w:tcW w:w="453" w:type="pct"/>
                  <w:tcBorders>
                    <w:tl2br w:val="nil"/>
                    <w:tr2bl w:val="nil"/>
                  </w:tcBorders>
                  <w:shd w:val="clear" w:color="auto" w:fill="auto"/>
                  <w:vAlign w:val="center"/>
                </w:tcPr>
                <w:p w14:paraId="5F7C34F5">
                  <w:pPr>
                    <w:jc w:val="center"/>
                    <w:rPr>
                      <w:szCs w:val="21"/>
                      <w:highlight w:val="none"/>
                    </w:rPr>
                  </w:pPr>
                  <w:r>
                    <w:rPr>
                      <w:rFonts w:hint="eastAsia"/>
                      <w:szCs w:val="21"/>
                      <w:highlight w:val="none"/>
                    </w:rPr>
                    <w:t>颗粒物</w:t>
                  </w:r>
                </w:p>
              </w:tc>
              <w:tc>
                <w:tcPr>
                  <w:tcW w:w="460" w:type="pct"/>
                  <w:tcBorders>
                    <w:tl2br w:val="nil"/>
                    <w:tr2bl w:val="nil"/>
                  </w:tcBorders>
                  <w:shd w:val="clear" w:color="auto" w:fill="auto"/>
                  <w:vAlign w:val="center"/>
                </w:tcPr>
                <w:p w14:paraId="3B0883AE">
                  <w:pPr>
                    <w:jc w:val="center"/>
                    <w:rPr>
                      <w:rFonts w:hint="default" w:eastAsia="宋体"/>
                      <w:szCs w:val="21"/>
                      <w:highlight w:val="none"/>
                      <w:lang w:val="en-US" w:eastAsia="zh-CN"/>
                    </w:rPr>
                  </w:pPr>
                  <w:r>
                    <w:rPr>
                      <w:rFonts w:hint="eastAsia"/>
                      <w:szCs w:val="21"/>
                      <w:highlight w:val="none"/>
                      <w:lang w:val="en-US" w:eastAsia="zh-CN"/>
                    </w:rPr>
                    <w:t>1.265</w:t>
                  </w:r>
                </w:p>
              </w:tc>
              <w:tc>
                <w:tcPr>
                  <w:tcW w:w="672" w:type="pct"/>
                  <w:tcBorders>
                    <w:tl2br w:val="nil"/>
                    <w:tr2bl w:val="nil"/>
                  </w:tcBorders>
                  <w:shd w:val="clear" w:color="auto" w:fill="auto"/>
                  <w:vAlign w:val="center"/>
                </w:tcPr>
                <w:p w14:paraId="50B07A89">
                  <w:pPr>
                    <w:jc w:val="center"/>
                    <w:rPr>
                      <w:rFonts w:hint="default" w:eastAsia="宋体"/>
                      <w:szCs w:val="21"/>
                      <w:highlight w:val="none"/>
                      <w:lang w:val="en-US" w:eastAsia="zh-CN"/>
                    </w:rPr>
                  </w:pPr>
                  <w:r>
                    <w:rPr>
                      <w:rFonts w:hint="eastAsia"/>
                      <w:szCs w:val="21"/>
                      <w:highlight w:val="none"/>
                      <w:lang w:val="en-US" w:eastAsia="zh-CN"/>
                    </w:rPr>
                    <w:t>5452.56</w:t>
                  </w:r>
                </w:p>
              </w:tc>
              <w:tc>
                <w:tcPr>
                  <w:tcW w:w="583" w:type="pct"/>
                  <w:tcBorders>
                    <w:tl2br w:val="nil"/>
                    <w:tr2bl w:val="nil"/>
                  </w:tcBorders>
                  <w:shd w:val="clear" w:color="auto" w:fill="auto"/>
                  <w:vAlign w:val="center"/>
                </w:tcPr>
                <w:p w14:paraId="1D59A8D2">
                  <w:pPr>
                    <w:jc w:val="center"/>
                    <w:rPr>
                      <w:rFonts w:hint="default" w:eastAsia="宋体"/>
                      <w:szCs w:val="21"/>
                      <w:highlight w:val="none"/>
                      <w:lang w:val="en-US" w:eastAsia="zh-CN"/>
                    </w:rPr>
                  </w:pPr>
                  <w:r>
                    <w:rPr>
                      <w:rFonts w:hint="eastAsia"/>
                      <w:szCs w:val="21"/>
                      <w:highlight w:val="none"/>
                      <w:lang w:val="en-US" w:eastAsia="zh-CN"/>
                    </w:rPr>
                    <w:t>0.00759</w:t>
                  </w:r>
                </w:p>
              </w:tc>
              <w:tc>
                <w:tcPr>
                  <w:tcW w:w="623" w:type="pct"/>
                  <w:tcBorders>
                    <w:tl2br w:val="nil"/>
                    <w:tr2bl w:val="nil"/>
                  </w:tcBorders>
                  <w:shd w:val="clear" w:color="auto" w:fill="auto"/>
                  <w:vAlign w:val="center"/>
                </w:tcPr>
                <w:p w14:paraId="13AE4BF8">
                  <w:pPr>
                    <w:jc w:val="center"/>
                    <w:rPr>
                      <w:rFonts w:hint="default" w:eastAsia="宋体"/>
                      <w:szCs w:val="21"/>
                      <w:highlight w:val="none"/>
                      <w:lang w:val="en-US" w:eastAsia="zh-CN"/>
                    </w:rPr>
                  </w:pPr>
                  <w:r>
                    <w:rPr>
                      <w:rFonts w:hint="eastAsia"/>
                      <w:szCs w:val="21"/>
                      <w:highlight w:val="none"/>
                      <w:lang w:val="en-US" w:eastAsia="zh-CN"/>
                    </w:rPr>
                    <w:t>16.36</w:t>
                  </w:r>
                </w:p>
              </w:tc>
              <w:tc>
                <w:tcPr>
                  <w:tcW w:w="1151" w:type="pct"/>
                  <w:tcBorders>
                    <w:tl2br w:val="nil"/>
                    <w:tr2bl w:val="nil"/>
                  </w:tcBorders>
                  <w:shd w:val="clear" w:color="auto" w:fill="auto"/>
                  <w:vAlign w:val="center"/>
                </w:tcPr>
                <w:p w14:paraId="7BE68072">
                  <w:pPr>
                    <w:jc w:val="center"/>
                    <w:rPr>
                      <w:szCs w:val="21"/>
                      <w:highlight w:val="none"/>
                    </w:rPr>
                  </w:pPr>
                  <w:r>
                    <w:rPr>
                      <w:rFonts w:hint="eastAsia"/>
                      <w:szCs w:val="21"/>
                      <w:highlight w:val="none"/>
                    </w:rPr>
                    <w:t>筒仓顶部自带滤芯除尘器进行过滤除尘，处理效率约99.</w:t>
                  </w:r>
                  <w:r>
                    <w:rPr>
                      <w:rFonts w:hint="eastAsia"/>
                      <w:szCs w:val="21"/>
                      <w:highlight w:val="none"/>
                      <w:lang w:val="en-US" w:eastAsia="zh-CN"/>
                    </w:rPr>
                    <w:t>7</w:t>
                  </w:r>
                  <w:r>
                    <w:rPr>
                      <w:rFonts w:hint="eastAsia"/>
                      <w:szCs w:val="21"/>
                      <w:highlight w:val="none"/>
                    </w:rPr>
                    <w:t>%</w:t>
                  </w:r>
                </w:p>
              </w:tc>
              <w:tc>
                <w:tcPr>
                  <w:tcW w:w="448" w:type="pct"/>
                  <w:tcBorders>
                    <w:tl2br w:val="nil"/>
                    <w:tr2bl w:val="nil"/>
                  </w:tcBorders>
                  <w:shd w:val="clear" w:color="auto" w:fill="auto"/>
                  <w:vAlign w:val="center"/>
                </w:tcPr>
                <w:p w14:paraId="54DA8FEC">
                  <w:pPr>
                    <w:jc w:val="center"/>
                    <w:rPr>
                      <w:szCs w:val="21"/>
                      <w:highlight w:val="none"/>
                    </w:rPr>
                  </w:pPr>
                  <w:r>
                    <w:rPr>
                      <w:rFonts w:hint="eastAsia"/>
                      <w:szCs w:val="21"/>
                      <w:highlight w:val="none"/>
                    </w:rPr>
                    <w:t>是</w:t>
                  </w:r>
                </w:p>
              </w:tc>
            </w:tr>
            <w:tr w14:paraId="123D7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606" w:type="pct"/>
                  <w:tcBorders>
                    <w:tl2br w:val="nil"/>
                    <w:tr2bl w:val="nil"/>
                  </w:tcBorders>
                  <w:shd w:val="clear" w:color="auto" w:fill="auto"/>
                  <w:vAlign w:val="center"/>
                </w:tcPr>
                <w:p w14:paraId="401DB2FD">
                  <w:pPr>
                    <w:jc w:val="center"/>
                    <w:rPr>
                      <w:szCs w:val="21"/>
                      <w:highlight w:val="none"/>
                    </w:rPr>
                  </w:pPr>
                  <w:r>
                    <w:rPr>
                      <w:rFonts w:hint="eastAsia"/>
                      <w:szCs w:val="21"/>
                      <w:highlight w:val="none"/>
                    </w:rPr>
                    <w:t>2#水泥筒仓</w:t>
                  </w:r>
                </w:p>
              </w:tc>
              <w:tc>
                <w:tcPr>
                  <w:tcW w:w="453" w:type="pct"/>
                  <w:tcBorders>
                    <w:tl2br w:val="nil"/>
                    <w:tr2bl w:val="nil"/>
                  </w:tcBorders>
                  <w:shd w:val="clear" w:color="auto" w:fill="auto"/>
                  <w:vAlign w:val="center"/>
                </w:tcPr>
                <w:p w14:paraId="4E685792">
                  <w:pPr>
                    <w:jc w:val="center"/>
                    <w:rPr>
                      <w:szCs w:val="21"/>
                      <w:highlight w:val="none"/>
                    </w:rPr>
                  </w:pPr>
                  <w:r>
                    <w:rPr>
                      <w:rFonts w:hint="eastAsia"/>
                      <w:szCs w:val="21"/>
                      <w:highlight w:val="none"/>
                    </w:rPr>
                    <w:t>颗粒物</w:t>
                  </w:r>
                </w:p>
              </w:tc>
              <w:tc>
                <w:tcPr>
                  <w:tcW w:w="460" w:type="pct"/>
                  <w:tcBorders>
                    <w:tl2br w:val="nil"/>
                    <w:tr2bl w:val="nil"/>
                  </w:tcBorders>
                  <w:shd w:val="clear" w:color="auto" w:fill="auto"/>
                  <w:vAlign w:val="center"/>
                </w:tcPr>
                <w:p w14:paraId="13F4622B">
                  <w:pPr>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1.265</w:t>
                  </w:r>
                </w:p>
              </w:tc>
              <w:tc>
                <w:tcPr>
                  <w:tcW w:w="672" w:type="pct"/>
                  <w:tcBorders>
                    <w:tl2br w:val="nil"/>
                    <w:tr2bl w:val="nil"/>
                  </w:tcBorders>
                  <w:shd w:val="clear" w:color="auto" w:fill="auto"/>
                  <w:vAlign w:val="center"/>
                </w:tcPr>
                <w:p w14:paraId="2166D534">
                  <w:pPr>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5452.56</w:t>
                  </w:r>
                </w:p>
              </w:tc>
              <w:tc>
                <w:tcPr>
                  <w:tcW w:w="583" w:type="pct"/>
                  <w:tcBorders>
                    <w:tl2br w:val="nil"/>
                    <w:tr2bl w:val="nil"/>
                  </w:tcBorders>
                  <w:shd w:val="clear" w:color="auto" w:fill="auto"/>
                  <w:vAlign w:val="center"/>
                </w:tcPr>
                <w:p w14:paraId="010DED9B">
                  <w:pPr>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0.00759</w:t>
                  </w:r>
                </w:p>
              </w:tc>
              <w:tc>
                <w:tcPr>
                  <w:tcW w:w="623" w:type="pct"/>
                  <w:tcBorders>
                    <w:tl2br w:val="nil"/>
                    <w:tr2bl w:val="nil"/>
                  </w:tcBorders>
                  <w:shd w:val="clear" w:color="auto" w:fill="auto"/>
                  <w:vAlign w:val="center"/>
                </w:tcPr>
                <w:p w14:paraId="0E611240">
                  <w:pPr>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16.36</w:t>
                  </w:r>
                </w:p>
              </w:tc>
              <w:tc>
                <w:tcPr>
                  <w:tcW w:w="1151" w:type="pct"/>
                  <w:tcBorders>
                    <w:tl2br w:val="nil"/>
                    <w:tr2bl w:val="nil"/>
                  </w:tcBorders>
                  <w:shd w:val="clear" w:color="auto" w:fill="auto"/>
                  <w:vAlign w:val="center"/>
                </w:tcPr>
                <w:p w14:paraId="27119A77">
                  <w:pPr>
                    <w:jc w:val="center"/>
                    <w:rPr>
                      <w:szCs w:val="21"/>
                      <w:highlight w:val="none"/>
                    </w:rPr>
                  </w:pPr>
                  <w:r>
                    <w:rPr>
                      <w:rFonts w:hint="eastAsia"/>
                      <w:szCs w:val="21"/>
                      <w:highlight w:val="none"/>
                    </w:rPr>
                    <w:t>筒仓顶部自带布袋除尘器进行过滤除尘，处理效率约99</w:t>
                  </w:r>
                  <w:r>
                    <w:rPr>
                      <w:rFonts w:hint="eastAsia"/>
                      <w:szCs w:val="21"/>
                      <w:highlight w:val="none"/>
                      <w:lang w:val="en-US" w:eastAsia="zh-CN"/>
                    </w:rPr>
                    <w:t>.7</w:t>
                  </w:r>
                  <w:r>
                    <w:rPr>
                      <w:rFonts w:hint="eastAsia"/>
                      <w:szCs w:val="21"/>
                      <w:highlight w:val="none"/>
                    </w:rPr>
                    <w:t>%</w:t>
                  </w:r>
                </w:p>
              </w:tc>
              <w:tc>
                <w:tcPr>
                  <w:tcW w:w="448" w:type="pct"/>
                  <w:tcBorders>
                    <w:tl2br w:val="nil"/>
                    <w:tr2bl w:val="nil"/>
                  </w:tcBorders>
                  <w:shd w:val="clear" w:color="auto" w:fill="auto"/>
                  <w:vAlign w:val="center"/>
                </w:tcPr>
                <w:p w14:paraId="695F90A8">
                  <w:pPr>
                    <w:jc w:val="center"/>
                    <w:rPr>
                      <w:szCs w:val="21"/>
                      <w:highlight w:val="none"/>
                    </w:rPr>
                  </w:pPr>
                  <w:r>
                    <w:rPr>
                      <w:rFonts w:hint="eastAsia"/>
                      <w:szCs w:val="21"/>
                      <w:highlight w:val="none"/>
                    </w:rPr>
                    <w:t>是</w:t>
                  </w:r>
                </w:p>
              </w:tc>
            </w:tr>
            <w:tr w14:paraId="0C7E38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606" w:type="pct"/>
                  <w:tcBorders>
                    <w:tl2br w:val="nil"/>
                    <w:tr2bl w:val="nil"/>
                  </w:tcBorders>
                  <w:shd w:val="clear" w:color="auto" w:fill="auto"/>
                  <w:vAlign w:val="center"/>
                </w:tcPr>
                <w:p w14:paraId="122900A0">
                  <w:pPr>
                    <w:jc w:val="center"/>
                    <w:rPr>
                      <w:szCs w:val="21"/>
                      <w:highlight w:val="none"/>
                    </w:rPr>
                  </w:pPr>
                  <w:r>
                    <w:rPr>
                      <w:rFonts w:hint="eastAsia"/>
                      <w:szCs w:val="21"/>
                      <w:highlight w:val="none"/>
                    </w:rPr>
                    <w:t>矿粉筒仓</w:t>
                  </w:r>
                </w:p>
              </w:tc>
              <w:tc>
                <w:tcPr>
                  <w:tcW w:w="453" w:type="pct"/>
                  <w:tcBorders>
                    <w:tl2br w:val="nil"/>
                    <w:tr2bl w:val="nil"/>
                  </w:tcBorders>
                  <w:shd w:val="clear" w:color="auto" w:fill="auto"/>
                  <w:vAlign w:val="center"/>
                </w:tcPr>
                <w:p w14:paraId="4A09A608">
                  <w:pPr>
                    <w:jc w:val="center"/>
                    <w:rPr>
                      <w:szCs w:val="21"/>
                      <w:highlight w:val="none"/>
                    </w:rPr>
                  </w:pPr>
                  <w:r>
                    <w:rPr>
                      <w:rFonts w:hint="eastAsia"/>
                      <w:szCs w:val="21"/>
                      <w:highlight w:val="none"/>
                    </w:rPr>
                    <w:t>颗粒物</w:t>
                  </w:r>
                </w:p>
              </w:tc>
              <w:tc>
                <w:tcPr>
                  <w:tcW w:w="460" w:type="pct"/>
                  <w:tcBorders>
                    <w:tl2br w:val="nil"/>
                    <w:tr2bl w:val="nil"/>
                  </w:tcBorders>
                  <w:shd w:val="clear" w:color="auto" w:fill="auto"/>
                  <w:vAlign w:val="center"/>
                </w:tcPr>
                <w:p w14:paraId="6F336BAD">
                  <w:pPr>
                    <w:jc w:val="center"/>
                    <w:rPr>
                      <w:rFonts w:hint="default" w:eastAsia="宋体"/>
                      <w:szCs w:val="21"/>
                      <w:highlight w:val="none"/>
                      <w:lang w:val="en-US" w:eastAsia="zh-CN"/>
                    </w:rPr>
                  </w:pPr>
                  <w:r>
                    <w:rPr>
                      <w:rFonts w:hint="eastAsia"/>
                      <w:szCs w:val="21"/>
                      <w:highlight w:val="none"/>
                      <w:lang w:val="en-US" w:eastAsia="zh-CN"/>
                    </w:rPr>
                    <w:t>0.74</w:t>
                  </w:r>
                </w:p>
              </w:tc>
              <w:tc>
                <w:tcPr>
                  <w:tcW w:w="672" w:type="pct"/>
                  <w:tcBorders>
                    <w:tl2br w:val="nil"/>
                    <w:tr2bl w:val="nil"/>
                  </w:tcBorders>
                  <w:shd w:val="clear" w:color="auto" w:fill="auto"/>
                  <w:vAlign w:val="center"/>
                </w:tcPr>
                <w:p w14:paraId="22B6C5D5">
                  <w:pPr>
                    <w:jc w:val="center"/>
                    <w:rPr>
                      <w:rFonts w:hint="default" w:eastAsia="宋体"/>
                      <w:szCs w:val="21"/>
                      <w:highlight w:val="none"/>
                      <w:lang w:val="en-US" w:eastAsia="zh-CN"/>
                    </w:rPr>
                  </w:pPr>
                  <w:r>
                    <w:rPr>
                      <w:rFonts w:hint="eastAsia"/>
                      <w:szCs w:val="21"/>
                      <w:highlight w:val="none"/>
                      <w:lang w:val="en-US" w:eastAsia="zh-CN"/>
                    </w:rPr>
                    <w:t>3189.64</w:t>
                  </w:r>
                </w:p>
              </w:tc>
              <w:tc>
                <w:tcPr>
                  <w:tcW w:w="583" w:type="pct"/>
                  <w:tcBorders>
                    <w:tl2br w:val="nil"/>
                    <w:tr2bl w:val="nil"/>
                  </w:tcBorders>
                  <w:shd w:val="clear" w:color="auto" w:fill="auto"/>
                  <w:vAlign w:val="center"/>
                </w:tcPr>
                <w:p w14:paraId="58D04B21">
                  <w:pPr>
                    <w:jc w:val="center"/>
                    <w:rPr>
                      <w:rFonts w:hint="default" w:eastAsia="宋体"/>
                      <w:szCs w:val="21"/>
                      <w:highlight w:val="none"/>
                      <w:lang w:val="en-US" w:eastAsia="zh-CN"/>
                    </w:rPr>
                  </w:pPr>
                  <w:r>
                    <w:rPr>
                      <w:rFonts w:hint="eastAsia"/>
                      <w:szCs w:val="21"/>
                      <w:highlight w:val="none"/>
                      <w:lang w:val="en-US" w:eastAsia="zh-CN"/>
                    </w:rPr>
                    <w:t>0.00222</w:t>
                  </w:r>
                </w:p>
              </w:tc>
              <w:tc>
                <w:tcPr>
                  <w:tcW w:w="623" w:type="pct"/>
                  <w:tcBorders>
                    <w:tl2br w:val="nil"/>
                    <w:tr2bl w:val="nil"/>
                  </w:tcBorders>
                  <w:shd w:val="clear" w:color="auto" w:fill="auto"/>
                  <w:vAlign w:val="center"/>
                </w:tcPr>
                <w:p w14:paraId="49DF0728">
                  <w:pPr>
                    <w:jc w:val="center"/>
                    <w:rPr>
                      <w:rFonts w:hint="default" w:eastAsia="宋体"/>
                      <w:szCs w:val="21"/>
                      <w:highlight w:val="none"/>
                      <w:lang w:val="en-US" w:eastAsia="zh-CN"/>
                    </w:rPr>
                  </w:pPr>
                  <w:r>
                    <w:rPr>
                      <w:rFonts w:hint="eastAsia"/>
                      <w:szCs w:val="21"/>
                      <w:highlight w:val="none"/>
                      <w:lang w:val="en-US" w:eastAsia="zh-CN"/>
                    </w:rPr>
                    <w:t>9.57</w:t>
                  </w:r>
                </w:p>
              </w:tc>
              <w:tc>
                <w:tcPr>
                  <w:tcW w:w="1151" w:type="pct"/>
                  <w:tcBorders>
                    <w:tl2br w:val="nil"/>
                    <w:tr2bl w:val="nil"/>
                  </w:tcBorders>
                  <w:shd w:val="clear" w:color="auto" w:fill="auto"/>
                  <w:vAlign w:val="center"/>
                </w:tcPr>
                <w:p w14:paraId="1DA44CB0">
                  <w:pPr>
                    <w:jc w:val="center"/>
                    <w:rPr>
                      <w:szCs w:val="21"/>
                      <w:highlight w:val="none"/>
                    </w:rPr>
                  </w:pPr>
                  <w:r>
                    <w:rPr>
                      <w:rFonts w:hint="eastAsia"/>
                      <w:szCs w:val="21"/>
                      <w:highlight w:val="none"/>
                    </w:rPr>
                    <w:t>筒仓顶部自带布袋除尘器进行过滤除尘，处理效率约99</w:t>
                  </w:r>
                  <w:r>
                    <w:rPr>
                      <w:rFonts w:hint="eastAsia"/>
                      <w:szCs w:val="21"/>
                      <w:highlight w:val="none"/>
                      <w:lang w:val="en-US" w:eastAsia="zh-CN"/>
                    </w:rPr>
                    <w:t>.7</w:t>
                  </w:r>
                  <w:r>
                    <w:rPr>
                      <w:rFonts w:hint="eastAsia"/>
                      <w:szCs w:val="21"/>
                      <w:highlight w:val="none"/>
                    </w:rPr>
                    <w:t>%</w:t>
                  </w:r>
                </w:p>
              </w:tc>
              <w:tc>
                <w:tcPr>
                  <w:tcW w:w="448" w:type="pct"/>
                  <w:tcBorders>
                    <w:tl2br w:val="nil"/>
                    <w:tr2bl w:val="nil"/>
                  </w:tcBorders>
                  <w:shd w:val="clear" w:color="auto" w:fill="auto"/>
                  <w:vAlign w:val="center"/>
                </w:tcPr>
                <w:p w14:paraId="431EB7CE">
                  <w:pPr>
                    <w:jc w:val="center"/>
                    <w:rPr>
                      <w:szCs w:val="21"/>
                      <w:highlight w:val="none"/>
                    </w:rPr>
                  </w:pPr>
                  <w:r>
                    <w:rPr>
                      <w:rFonts w:hint="eastAsia"/>
                      <w:szCs w:val="21"/>
                      <w:highlight w:val="none"/>
                    </w:rPr>
                    <w:t>是</w:t>
                  </w:r>
                </w:p>
              </w:tc>
            </w:tr>
            <w:tr w14:paraId="5C541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606" w:type="pct"/>
                  <w:tcBorders>
                    <w:tl2br w:val="nil"/>
                    <w:tr2bl w:val="nil"/>
                  </w:tcBorders>
                  <w:shd w:val="clear" w:color="auto" w:fill="auto"/>
                  <w:vAlign w:val="center"/>
                </w:tcPr>
                <w:p w14:paraId="760CD2E8">
                  <w:pPr>
                    <w:jc w:val="center"/>
                    <w:rPr>
                      <w:szCs w:val="21"/>
                      <w:highlight w:val="none"/>
                    </w:rPr>
                  </w:pPr>
                  <w:r>
                    <w:rPr>
                      <w:rFonts w:hint="eastAsia"/>
                      <w:szCs w:val="21"/>
                      <w:highlight w:val="none"/>
                    </w:rPr>
                    <w:t>硅粉筒仓</w:t>
                  </w:r>
                </w:p>
              </w:tc>
              <w:tc>
                <w:tcPr>
                  <w:tcW w:w="453" w:type="pct"/>
                  <w:tcBorders>
                    <w:tl2br w:val="nil"/>
                    <w:tr2bl w:val="nil"/>
                  </w:tcBorders>
                  <w:shd w:val="clear" w:color="auto" w:fill="auto"/>
                  <w:vAlign w:val="center"/>
                </w:tcPr>
                <w:p w14:paraId="6503FE72">
                  <w:pPr>
                    <w:jc w:val="center"/>
                    <w:rPr>
                      <w:szCs w:val="21"/>
                      <w:highlight w:val="none"/>
                    </w:rPr>
                  </w:pPr>
                  <w:r>
                    <w:rPr>
                      <w:rFonts w:hint="eastAsia"/>
                      <w:szCs w:val="21"/>
                      <w:highlight w:val="none"/>
                    </w:rPr>
                    <w:t>颗粒物</w:t>
                  </w:r>
                </w:p>
              </w:tc>
              <w:tc>
                <w:tcPr>
                  <w:tcW w:w="460" w:type="pct"/>
                  <w:tcBorders>
                    <w:tl2br w:val="nil"/>
                    <w:tr2bl w:val="nil"/>
                  </w:tcBorders>
                  <w:shd w:val="clear" w:color="auto" w:fill="auto"/>
                  <w:vAlign w:val="center"/>
                </w:tcPr>
                <w:p w14:paraId="65455878">
                  <w:pPr>
                    <w:jc w:val="center"/>
                    <w:rPr>
                      <w:rFonts w:hint="default" w:eastAsia="宋体"/>
                      <w:szCs w:val="21"/>
                      <w:highlight w:val="none"/>
                      <w:lang w:val="en-US" w:eastAsia="zh-CN"/>
                    </w:rPr>
                  </w:pPr>
                  <w:r>
                    <w:rPr>
                      <w:rFonts w:hint="eastAsia"/>
                      <w:szCs w:val="21"/>
                      <w:highlight w:val="none"/>
                      <w:lang w:val="en-US" w:eastAsia="zh-CN"/>
                    </w:rPr>
                    <w:t>0.12</w:t>
                  </w:r>
                </w:p>
              </w:tc>
              <w:tc>
                <w:tcPr>
                  <w:tcW w:w="672" w:type="pct"/>
                  <w:tcBorders>
                    <w:tl2br w:val="nil"/>
                    <w:tr2bl w:val="nil"/>
                  </w:tcBorders>
                  <w:shd w:val="clear" w:color="auto" w:fill="auto"/>
                  <w:vAlign w:val="center"/>
                </w:tcPr>
                <w:p w14:paraId="305FD381">
                  <w:pPr>
                    <w:jc w:val="center"/>
                    <w:rPr>
                      <w:szCs w:val="21"/>
                      <w:highlight w:val="none"/>
                    </w:rPr>
                  </w:pPr>
                  <w:r>
                    <w:rPr>
                      <w:rFonts w:hint="eastAsia"/>
                      <w:szCs w:val="21"/>
                      <w:highlight w:val="none"/>
                      <w:lang w:val="en-US" w:eastAsia="zh-CN"/>
                    </w:rPr>
                    <w:t>517.24</w:t>
                  </w:r>
                  <w:r>
                    <w:rPr>
                      <w:rFonts w:hint="eastAsia"/>
                      <w:szCs w:val="21"/>
                      <w:highlight w:val="none"/>
                    </w:rPr>
                    <w:t>5</w:t>
                  </w:r>
                </w:p>
              </w:tc>
              <w:tc>
                <w:tcPr>
                  <w:tcW w:w="583" w:type="pct"/>
                  <w:tcBorders>
                    <w:tl2br w:val="nil"/>
                    <w:tr2bl w:val="nil"/>
                  </w:tcBorders>
                  <w:shd w:val="clear" w:color="auto" w:fill="auto"/>
                  <w:vAlign w:val="center"/>
                </w:tcPr>
                <w:p w14:paraId="6741C285">
                  <w:pPr>
                    <w:jc w:val="center"/>
                    <w:rPr>
                      <w:rFonts w:hint="default" w:eastAsia="宋体"/>
                      <w:szCs w:val="21"/>
                      <w:highlight w:val="none"/>
                      <w:lang w:val="en-US" w:eastAsia="zh-CN"/>
                    </w:rPr>
                  </w:pPr>
                  <w:r>
                    <w:rPr>
                      <w:rFonts w:hint="eastAsia"/>
                      <w:szCs w:val="21"/>
                      <w:highlight w:val="none"/>
                      <w:lang w:val="en-US" w:eastAsia="zh-CN"/>
                    </w:rPr>
                    <w:t>0.00036</w:t>
                  </w:r>
                </w:p>
              </w:tc>
              <w:tc>
                <w:tcPr>
                  <w:tcW w:w="623" w:type="pct"/>
                  <w:tcBorders>
                    <w:tl2br w:val="nil"/>
                    <w:tr2bl w:val="nil"/>
                  </w:tcBorders>
                  <w:shd w:val="clear" w:color="auto" w:fill="auto"/>
                  <w:vAlign w:val="center"/>
                </w:tcPr>
                <w:p w14:paraId="60D04D2B">
                  <w:pPr>
                    <w:jc w:val="center"/>
                    <w:rPr>
                      <w:rFonts w:hint="default" w:eastAsia="宋体"/>
                      <w:szCs w:val="21"/>
                      <w:highlight w:val="none"/>
                      <w:lang w:val="en-US" w:eastAsia="zh-CN"/>
                    </w:rPr>
                  </w:pPr>
                  <w:r>
                    <w:rPr>
                      <w:rFonts w:hint="eastAsia"/>
                      <w:szCs w:val="21"/>
                      <w:highlight w:val="none"/>
                      <w:lang w:val="en-US" w:eastAsia="zh-CN"/>
                    </w:rPr>
                    <w:t>15.52</w:t>
                  </w:r>
                </w:p>
              </w:tc>
              <w:tc>
                <w:tcPr>
                  <w:tcW w:w="1151" w:type="pct"/>
                  <w:tcBorders>
                    <w:tl2br w:val="nil"/>
                    <w:tr2bl w:val="nil"/>
                  </w:tcBorders>
                  <w:shd w:val="clear" w:color="auto" w:fill="auto"/>
                  <w:vAlign w:val="center"/>
                </w:tcPr>
                <w:p w14:paraId="1076D436">
                  <w:pPr>
                    <w:jc w:val="center"/>
                    <w:rPr>
                      <w:szCs w:val="21"/>
                      <w:highlight w:val="none"/>
                    </w:rPr>
                  </w:pPr>
                  <w:r>
                    <w:rPr>
                      <w:rFonts w:hint="eastAsia"/>
                      <w:szCs w:val="21"/>
                      <w:highlight w:val="none"/>
                    </w:rPr>
                    <w:t>筒仓顶部自带布袋除尘器进行过滤除尘，处理效率约99</w:t>
                  </w:r>
                  <w:r>
                    <w:rPr>
                      <w:rFonts w:hint="eastAsia"/>
                      <w:szCs w:val="21"/>
                      <w:highlight w:val="none"/>
                      <w:lang w:val="en-US" w:eastAsia="zh-CN"/>
                    </w:rPr>
                    <w:t>.7</w:t>
                  </w:r>
                  <w:r>
                    <w:rPr>
                      <w:rFonts w:hint="eastAsia"/>
                      <w:szCs w:val="21"/>
                      <w:highlight w:val="none"/>
                    </w:rPr>
                    <w:t>%</w:t>
                  </w:r>
                </w:p>
              </w:tc>
              <w:tc>
                <w:tcPr>
                  <w:tcW w:w="448" w:type="pct"/>
                  <w:tcBorders>
                    <w:tl2br w:val="nil"/>
                    <w:tr2bl w:val="nil"/>
                  </w:tcBorders>
                  <w:shd w:val="clear" w:color="auto" w:fill="auto"/>
                  <w:vAlign w:val="center"/>
                </w:tcPr>
                <w:p w14:paraId="39B7D430">
                  <w:pPr>
                    <w:jc w:val="center"/>
                    <w:rPr>
                      <w:szCs w:val="21"/>
                      <w:highlight w:val="none"/>
                    </w:rPr>
                  </w:pPr>
                  <w:r>
                    <w:rPr>
                      <w:rFonts w:hint="eastAsia"/>
                      <w:szCs w:val="21"/>
                      <w:highlight w:val="none"/>
                    </w:rPr>
                    <w:t>是</w:t>
                  </w:r>
                </w:p>
              </w:tc>
            </w:tr>
            <w:tr w14:paraId="6767D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06" w:type="pct"/>
                  <w:tcBorders>
                    <w:tl2br w:val="nil"/>
                    <w:tr2bl w:val="nil"/>
                  </w:tcBorders>
                  <w:shd w:val="clear" w:color="auto" w:fill="auto"/>
                  <w:vAlign w:val="center"/>
                </w:tcPr>
                <w:p w14:paraId="4FE71C1C">
                  <w:pPr>
                    <w:jc w:val="center"/>
                    <w:rPr>
                      <w:szCs w:val="21"/>
                      <w:highlight w:val="none"/>
                    </w:rPr>
                  </w:pPr>
                  <w:r>
                    <w:rPr>
                      <w:rFonts w:hint="eastAsia"/>
                      <w:szCs w:val="21"/>
                      <w:highlight w:val="none"/>
                    </w:rPr>
                    <w:t>搅拌机</w:t>
                  </w:r>
                </w:p>
              </w:tc>
              <w:tc>
                <w:tcPr>
                  <w:tcW w:w="453" w:type="pct"/>
                  <w:tcBorders>
                    <w:tl2br w:val="nil"/>
                    <w:tr2bl w:val="nil"/>
                  </w:tcBorders>
                  <w:shd w:val="clear" w:color="auto" w:fill="auto"/>
                  <w:vAlign w:val="center"/>
                </w:tcPr>
                <w:p w14:paraId="702E322A">
                  <w:pPr>
                    <w:jc w:val="center"/>
                    <w:rPr>
                      <w:szCs w:val="21"/>
                      <w:highlight w:val="none"/>
                    </w:rPr>
                  </w:pPr>
                  <w:r>
                    <w:rPr>
                      <w:rFonts w:hint="eastAsia"/>
                      <w:szCs w:val="21"/>
                      <w:highlight w:val="none"/>
                    </w:rPr>
                    <w:t>颗粒物</w:t>
                  </w:r>
                </w:p>
              </w:tc>
              <w:tc>
                <w:tcPr>
                  <w:tcW w:w="460" w:type="pct"/>
                  <w:tcBorders>
                    <w:tl2br w:val="nil"/>
                    <w:tr2bl w:val="nil"/>
                  </w:tcBorders>
                  <w:shd w:val="clear" w:color="auto" w:fill="auto"/>
                  <w:vAlign w:val="center"/>
                </w:tcPr>
                <w:p w14:paraId="374766DA">
                  <w:pPr>
                    <w:jc w:val="center"/>
                    <w:rPr>
                      <w:rFonts w:hint="default" w:eastAsia="宋体"/>
                      <w:szCs w:val="21"/>
                      <w:highlight w:val="none"/>
                      <w:lang w:val="en-US" w:eastAsia="zh-CN"/>
                    </w:rPr>
                  </w:pPr>
                  <w:r>
                    <w:rPr>
                      <w:rFonts w:hint="eastAsia"/>
                      <w:szCs w:val="21"/>
                      <w:highlight w:val="none"/>
                    </w:rPr>
                    <w:t>15</w:t>
                  </w:r>
                  <w:r>
                    <w:rPr>
                      <w:rFonts w:hint="eastAsia"/>
                      <w:szCs w:val="21"/>
                      <w:highlight w:val="none"/>
                      <w:lang w:val="en-US" w:eastAsia="zh-CN"/>
                    </w:rPr>
                    <w:t>.0</w:t>
                  </w:r>
                </w:p>
              </w:tc>
              <w:tc>
                <w:tcPr>
                  <w:tcW w:w="672" w:type="pct"/>
                  <w:tcBorders>
                    <w:tl2br w:val="nil"/>
                    <w:tr2bl w:val="nil"/>
                  </w:tcBorders>
                  <w:shd w:val="clear" w:color="auto" w:fill="auto"/>
                  <w:vAlign w:val="center"/>
                </w:tcPr>
                <w:p w14:paraId="49417AC2">
                  <w:pPr>
                    <w:jc w:val="center"/>
                    <w:rPr>
                      <w:rFonts w:hint="default" w:eastAsia="宋体"/>
                      <w:szCs w:val="21"/>
                      <w:highlight w:val="none"/>
                      <w:lang w:val="en-US" w:eastAsia="zh-CN"/>
                    </w:rPr>
                  </w:pPr>
                  <w:r>
                    <w:rPr>
                      <w:rFonts w:hint="eastAsia"/>
                      <w:szCs w:val="21"/>
                      <w:highlight w:val="none"/>
                      <w:lang w:val="en-US" w:eastAsia="zh-CN"/>
                    </w:rPr>
                    <w:t>5190.31</w:t>
                  </w:r>
                </w:p>
              </w:tc>
              <w:tc>
                <w:tcPr>
                  <w:tcW w:w="583" w:type="pct"/>
                  <w:tcBorders>
                    <w:tl2br w:val="nil"/>
                    <w:tr2bl w:val="nil"/>
                  </w:tcBorders>
                  <w:shd w:val="clear" w:color="auto" w:fill="auto"/>
                  <w:vAlign w:val="center"/>
                </w:tcPr>
                <w:p w14:paraId="700F3BD7">
                  <w:pPr>
                    <w:jc w:val="center"/>
                    <w:rPr>
                      <w:rFonts w:hint="default" w:eastAsia="宋体"/>
                      <w:szCs w:val="21"/>
                      <w:highlight w:val="none"/>
                      <w:lang w:val="en-US" w:eastAsia="zh-CN"/>
                    </w:rPr>
                  </w:pPr>
                  <w:r>
                    <w:rPr>
                      <w:rFonts w:hint="eastAsia"/>
                      <w:szCs w:val="21"/>
                      <w:highlight w:val="none"/>
                      <w:lang w:val="en-US" w:eastAsia="zh-CN"/>
                    </w:rPr>
                    <w:t>0.045</w:t>
                  </w:r>
                </w:p>
              </w:tc>
              <w:tc>
                <w:tcPr>
                  <w:tcW w:w="623" w:type="pct"/>
                  <w:tcBorders>
                    <w:tl2br w:val="nil"/>
                    <w:tr2bl w:val="nil"/>
                  </w:tcBorders>
                  <w:shd w:val="clear" w:color="auto" w:fill="auto"/>
                  <w:vAlign w:val="center"/>
                </w:tcPr>
                <w:p w14:paraId="13779F5E">
                  <w:pPr>
                    <w:jc w:val="center"/>
                    <w:rPr>
                      <w:rFonts w:hint="default" w:eastAsia="宋体"/>
                      <w:szCs w:val="21"/>
                      <w:highlight w:val="none"/>
                      <w:lang w:val="en-US" w:eastAsia="zh-CN"/>
                    </w:rPr>
                  </w:pPr>
                  <w:r>
                    <w:rPr>
                      <w:rFonts w:hint="eastAsia"/>
                      <w:szCs w:val="21"/>
                      <w:highlight w:val="none"/>
                      <w:lang w:val="en-US" w:eastAsia="zh-CN"/>
                    </w:rPr>
                    <w:t>15.57</w:t>
                  </w:r>
                </w:p>
              </w:tc>
              <w:tc>
                <w:tcPr>
                  <w:tcW w:w="1151" w:type="pct"/>
                  <w:tcBorders>
                    <w:tl2br w:val="nil"/>
                    <w:tr2bl w:val="nil"/>
                  </w:tcBorders>
                  <w:shd w:val="clear" w:color="auto" w:fill="auto"/>
                  <w:vAlign w:val="center"/>
                </w:tcPr>
                <w:p w14:paraId="2B18445D">
                  <w:pPr>
                    <w:jc w:val="center"/>
                    <w:rPr>
                      <w:szCs w:val="21"/>
                      <w:highlight w:val="none"/>
                    </w:rPr>
                  </w:pPr>
                  <w:r>
                    <w:rPr>
                      <w:szCs w:val="21"/>
                      <w:highlight w:val="none"/>
                    </w:rPr>
                    <w:t>全封闭</w:t>
                  </w:r>
                  <w:r>
                    <w:rPr>
                      <w:rFonts w:hint="eastAsia"/>
                      <w:szCs w:val="21"/>
                      <w:highlight w:val="none"/>
                    </w:rPr>
                    <w:t>生产车间+集尘罩+布袋除尘器+15m排气筒</w:t>
                  </w:r>
                </w:p>
              </w:tc>
              <w:tc>
                <w:tcPr>
                  <w:tcW w:w="448" w:type="pct"/>
                  <w:tcBorders>
                    <w:tl2br w:val="nil"/>
                    <w:tr2bl w:val="nil"/>
                  </w:tcBorders>
                  <w:shd w:val="clear" w:color="auto" w:fill="auto"/>
                  <w:vAlign w:val="center"/>
                </w:tcPr>
                <w:p w14:paraId="5D036C8A">
                  <w:pPr>
                    <w:jc w:val="center"/>
                    <w:rPr>
                      <w:szCs w:val="21"/>
                      <w:highlight w:val="none"/>
                    </w:rPr>
                  </w:pPr>
                  <w:r>
                    <w:rPr>
                      <w:rFonts w:hint="eastAsia"/>
                      <w:szCs w:val="21"/>
                      <w:highlight w:val="none"/>
                    </w:rPr>
                    <w:t>是</w:t>
                  </w:r>
                </w:p>
              </w:tc>
            </w:tr>
            <w:tr w14:paraId="5A742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06" w:type="pct"/>
                  <w:tcBorders>
                    <w:tl2br w:val="nil"/>
                    <w:tr2bl w:val="nil"/>
                  </w:tcBorders>
                  <w:shd w:val="clear" w:color="auto" w:fill="auto"/>
                  <w:vAlign w:val="center"/>
                </w:tcPr>
                <w:p w14:paraId="14FB006E">
                  <w:pPr>
                    <w:jc w:val="center"/>
                    <w:rPr>
                      <w:szCs w:val="21"/>
                      <w:highlight w:val="none"/>
                    </w:rPr>
                  </w:pPr>
                  <w:r>
                    <w:rPr>
                      <w:rFonts w:hint="eastAsia"/>
                      <w:szCs w:val="21"/>
                      <w:highlight w:val="none"/>
                    </w:rPr>
                    <w:t>总计</w:t>
                  </w:r>
                </w:p>
              </w:tc>
              <w:tc>
                <w:tcPr>
                  <w:tcW w:w="453" w:type="pct"/>
                  <w:tcBorders>
                    <w:tl2br w:val="nil"/>
                    <w:tr2bl w:val="nil"/>
                  </w:tcBorders>
                  <w:shd w:val="clear" w:color="auto" w:fill="auto"/>
                  <w:vAlign w:val="center"/>
                </w:tcPr>
                <w:p w14:paraId="7C4C417E">
                  <w:pPr>
                    <w:jc w:val="center"/>
                    <w:rPr>
                      <w:szCs w:val="21"/>
                      <w:highlight w:val="none"/>
                    </w:rPr>
                  </w:pPr>
                  <w:r>
                    <w:rPr>
                      <w:rFonts w:hint="eastAsia"/>
                      <w:szCs w:val="21"/>
                      <w:highlight w:val="none"/>
                    </w:rPr>
                    <w:t>颗粒物</w:t>
                  </w:r>
                </w:p>
              </w:tc>
              <w:tc>
                <w:tcPr>
                  <w:tcW w:w="460" w:type="pct"/>
                  <w:tcBorders>
                    <w:tl2br w:val="nil"/>
                    <w:tr2bl w:val="nil"/>
                  </w:tcBorders>
                  <w:shd w:val="clear" w:color="auto" w:fill="auto"/>
                  <w:vAlign w:val="center"/>
                </w:tcPr>
                <w:p w14:paraId="14796E32">
                  <w:pPr>
                    <w:jc w:val="center"/>
                    <w:rPr>
                      <w:rFonts w:hint="default" w:eastAsia="宋体"/>
                      <w:szCs w:val="21"/>
                      <w:highlight w:val="none"/>
                      <w:lang w:val="en-US" w:eastAsia="zh-CN"/>
                    </w:rPr>
                  </w:pPr>
                  <w:r>
                    <w:rPr>
                      <w:rFonts w:hint="eastAsia"/>
                      <w:szCs w:val="21"/>
                      <w:highlight w:val="none"/>
                      <w:lang w:val="en-US" w:eastAsia="zh-CN"/>
                    </w:rPr>
                    <w:t>18.39</w:t>
                  </w:r>
                </w:p>
              </w:tc>
              <w:tc>
                <w:tcPr>
                  <w:tcW w:w="672" w:type="pct"/>
                  <w:tcBorders>
                    <w:tl2br w:val="nil"/>
                    <w:tr2bl w:val="nil"/>
                  </w:tcBorders>
                  <w:shd w:val="clear" w:color="auto" w:fill="auto"/>
                  <w:vAlign w:val="center"/>
                </w:tcPr>
                <w:p w14:paraId="11852B8A">
                  <w:pPr>
                    <w:jc w:val="center"/>
                    <w:rPr>
                      <w:szCs w:val="21"/>
                      <w:highlight w:val="none"/>
                    </w:rPr>
                  </w:pPr>
                  <w:r>
                    <w:rPr>
                      <w:rFonts w:hint="eastAsia"/>
                      <w:szCs w:val="21"/>
                      <w:highlight w:val="none"/>
                    </w:rPr>
                    <w:t>/</w:t>
                  </w:r>
                </w:p>
              </w:tc>
              <w:tc>
                <w:tcPr>
                  <w:tcW w:w="583" w:type="pct"/>
                  <w:tcBorders>
                    <w:tl2br w:val="nil"/>
                    <w:tr2bl w:val="nil"/>
                  </w:tcBorders>
                  <w:shd w:val="clear" w:color="auto" w:fill="auto"/>
                  <w:vAlign w:val="center"/>
                </w:tcPr>
                <w:p w14:paraId="3CE40987">
                  <w:pPr>
                    <w:jc w:val="center"/>
                    <w:rPr>
                      <w:rFonts w:hint="default" w:eastAsia="宋体"/>
                      <w:szCs w:val="21"/>
                      <w:highlight w:val="none"/>
                      <w:lang w:val="en-US" w:eastAsia="zh-CN"/>
                    </w:rPr>
                  </w:pPr>
                  <w:r>
                    <w:rPr>
                      <w:rFonts w:hint="eastAsia"/>
                      <w:szCs w:val="21"/>
                      <w:highlight w:val="none"/>
                      <w:lang w:val="en-US" w:eastAsia="zh-CN"/>
                    </w:rPr>
                    <w:t>0.06275</w:t>
                  </w:r>
                </w:p>
              </w:tc>
              <w:tc>
                <w:tcPr>
                  <w:tcW w:w="623" w:type="pct"/>
                  <w:tcBorders>
                    <w:tl2br w:val="nil"/>
                    <w:tr2bl w:val="nil"/>
                  </w:tcBorders>
                  <w:shd w:val="clear" w:color="auto" w:fill="auto"/>
                  <w:vAlign w:val="center"/>
                </w:tcPr>
                <w:p w14:paraId="134E42F5">
                  <w:pPr>
                    <w:jc w:val="center"/>
                    <w:rPr>
                      <w:szCs w:val="21"/>
                      <w:highlight w:val="none"/>
                    </w:rPr>
                  </w:pPr>
                  <w:r>
                    <w:rPr>
                      <w:rFonts w:hint="eastAsia"/>
                      <w:szCs w:val="21"/>
                      <w:highlight w:val="none"/>
                    </w:rPr>
                    <w:t>/</w:t>
                  </w:r>
                </w:p>
              </w:tc>
              <w:tc>
                <w:tcPr>
                  <w:tcW w:w="1151" w:type="pct"/>
                  <w:tcBorders>
                    <w:tl2br w:val="nil"/>
                    <w:tr2bl w:val="nil"/>
                  </w:tcBorders>
                  <w:shd w:val="clear" w:color="auto" w:fill="auto"/>
                  <w:vAlign w:val="center"/>
                </w:tcPr>
                <w:p w14:paraId="002866C8">
                  <w:pPr>
                    <w:jc w:val="center"/>
                    <w:rPr>
                      <w:szCs w:val="21"/>
                      <w:highlight w:val="none"/>
                    </w:rPr>
                  </w:pPr>
                  <w:r>
                    <w:rPr>
                      <w:rFonts w:hint="eastAsia"/>
                      <w:szCs w:val="21"/>
                      <w:highlight w:val="none"/>
                    </w:rPr>
                    <w:t>/</w:t>
                  </w:r>
                </w:p>
              </w:tc>
              <w:tc>
                <w:tcPr>
                  <w:tcW w:w="448" w:type="pct"/>
                  <w:tcBorders>
                    <w:tl2br w:val="nil"/>
                    <w:tr2bl w:val="nil"/>
                  </w:tcBorders>
                  <w:shd w:val="clear" w:color="auto" w:fill="auto"/>
                  <w:vAlign w:val="center"/>
                </w:tcPr>
                <w:p w14:paraId="28FBAEF8">
                  <w:pPr>
                    <w:jc w:val="center"/>
                    <w:rPr>
                      <w:szCs w:val="21"/>
                      <w:highlight w:val="none"/>
                    </w:rPr>
                  </w:pPr>
                  <w:r>
                    <w:rPr>
                      <w:rFonts w:hint="eastAsia"/>
                      <w:szCs w:val="21"/>
                      <w:highlight w:val="none"/>
                    </w:rPr>
                    <w:t>/</w:t>
                  </w:r>
                </w:p>
              </w:tc>
            </w:tr>
            <w:tr w14:paraId="3C2D03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3" w:hRule="atLeast"/>
                <w:jc w:val="center"/>
              </w:trPr>
              <w:tc>
                <w:tcPr>
                  <w:tcW w:w="5000" w:type="pct"/>
                  <w:gridSpan w:val="8"/>
                  <w:tcBorders>
                    <w:tl2br w:val="nil"/>
                    <w:tr2bl w:val="nil"/>
                  </w:tcBorders>
                  <w:shd w:val="clear" w:color="auto" w:fill="auto"/>
                  <w:vAlign w:val="center"/>
                </w:tcPr>
                <w:p w14:paraId="6545A738">
                  <w:pPr>
                    <w:jc w:val="center"/>
                    <w:rPr>
                      <w:rFonts w:hint="eastAsia" w:eastAsia="宋体"/>
                      <w:szCs w:val="21"/>
                      <w:highlight w:val="none"/>
                      <w:lang w:val="en-US" w:eastAsia="zh-CN"/>
                    </w:rPr>
                  </w:pPr>
                  <w:r>
                    <w:rPr>
                      <w:rFonts w:hint="eastAsia"/>
                      <w:szCs w:val="21"/>
                      <w:highlight w:val="none"/>
                    </w:rPr>
                    <w:t>无组织</w:t>
                  </w:r>
                </w:p>
              </w:tc>
            </w:tr>
            <w:tr w14:paraId="78B59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606" w:type="pct"/>
                  <w:tcBorders>
                    <w:tl2br w:val="nil"/>
                    <w:tr2bl w:val="nil"/>
                  </w:tcBorders>
                  <w:shd w:val="clear" w:color="auto" w:fill="auto"/>
                  <w:vAlign w:val="center"/>
                </w:tcPr>
                <w:p w14:paraId="25EB745B">
                  <w:pPr>
                    <w:jc w:val="center"/>
                    <w:rPr>
                      <w:rFonts w:hint="eastAsia" w:eastAsia="宋体"/>
                      <w:szCs w:val="21"/>
                      <w:highlight w:val="none"/>
                      <w:lang w:eastAsia="zh-CN"/>
                    </w:rPr>
                  </w:pPr>
                  <w:r>
                    <w:rPr>
                      <w:rFonts w:hint="eastAsia"/>
                      <w:szCs w:val="21"/>
                      <w:highlight w:val="none"/>
                      <w:lang w:val="en-US" w:eastAsia="zh-CN"/>
                    </w:rPr>
                    <w:t>原料库</w:t>
                  </w:r>
                </w:p>
              </w:tc>
              <w:tc>
                <w:tcPr>
                  <w:tcW w:w="453" w:type="pct"/>
                  <w:tcBorders>
                    <w:tl2br w:val="nil"/>
                    <w:tr2bl w:val="nil"/>
                  </w:tcBorders>
                  <w:shd w:val="clear" w:color="auto" w:fill="auto"/>
                  <w:vAlign w:val="center"/>
                </w:tcPr>
                <w:p w14:paraId="54DB8566">
                  <w:pPr>
                    <w:jc w:val="center"/>
                    <w:rPr>
                      <w:szCs w:val="21"/>
                      <w:highlight w:val="none"/>
                    </w:rPr>
                  </w:pPr>
                  <w:r>
                    <w:rPr>
                      <w:rFonts w:hint="eastAsia"/>
                      <w:szCs w:val="21"/>
                      <w:highlight w:val="none"/>
                    </w:rPr>
                    <w:t>颗粒物</w:t>
                  </w:r>
                </w:p>
              </w:tc>
              <w:tc>
                <w:tcPr>
                  <w:tcW w:w="460" w:type="pct"/>
                  <w:tcBorders>
                    <w:tl2br w:val="nil"/>
                    <w:tr2bl w:val="nil"/>
                  </w:tcBorders>
                  <w:shd w:val="clear" w:color="auto" w:fill="auto"/>
                  <w:vAlign w:val="center"/>
                </w:tcPr>
                <w:p w14:paraId="049978B1">
                  <w:pPr>
                    <w:jc w:val="center"/>
                    <w:rPr>
                      <w:rFonts w:hint="default" w:eastAsia="宋体"/>
                      <w:szCs w:val="21"/>
                      <w:highlight w:val="none"/>
                      <w:lang w:val="en-US" w:eastAsia="zh-CN"/>
                    </w:rPr>
                  </w:pPr>
                  <w:r>
                    <w:rPr>
                      <w:rFonts w:hint="eastAsia"/>
                      <w:szCs w:val="21"/>
                      <w:highlight w:val="none"/>
                      <w:lang w:val="en-US" w:eastAsia="zh-CN"/>
                    </w:rPr>
                    <w:t>1503</w:t>
                  </w:r>
                </w:p>
              </w:tc>
              <w:tc>
                <w:tcPr>
                  <w:tcW w:w="672" w:type="pct"/>
                  <w:tcBorders>
                    <w:tl2br w:val="nil"/>
                    <w:tr2bl w:val="nil"/>
                  </w:tcBorders>
                  <w:shd w:val="clear" w:color="auto" w:fill="auto"/>
                  <w:vAlign w:val="center"/>
                </w:tcPr>
                <w:p w14:paraId="0EB7E197">
                  <w:pPr>
                    <w:jc w:val="center"/>
                    <w:rPr>
                      <w:szCs w:val="21"/>
                      <w:highlight w:val="none"/>
                    </w:rPr>
                  </w:pPr>
                  <w:r>
                    <w:rPr>
                      <w:rFonts w:hint="eastAsia"/>
                      <w:szCs w:val="21"/>
                      <w:highlight w:val="none"/>
                    </w:rPr>
                    <w:t>/</w:t>
                  </w:r>
                </w:p>
              </w:tc>
              <w:tc>
                <w:tcPr>
                  <w:tcW w:w="583" w:type="pct"/>
                  <w:tcBorders>
                    <w:tl2br w:val="nil"/>
                    <w:tr2bl w:val="nil"/>
                  </w:tcBorders>
                  <w:shd w:val="clear" w:color="auto" w:fill="auto"/>
                  <w:vAlign w:val="center"/>
                </w:tcPr>
                <w:p w14:paraId="3F5615AD">
                  <w:pPr>
                    <w:jc w:val="center"/>
                    <w:rPr>
                      <w:rFonts w:hint="default" w:eastAsia="宋体"/>
                      <w:szCs w:val="21"/>
                      <w:highlight w:val="none"/>
                      <w:lang w:val="en-US" w:eastAsia="zh-CN"/>
                    </w:rPr>
                  </w:pPr>
                  <w:r>
                    <w:rPr>
                      <w:rFonts w:hint="eastAsia"/>
                      <w:szCs w:val="21"/>
                      <w:highlight w:val="none"/>
                      <w:lang w:val="en-US" w:eastAsia="zh-CN"/>
                    </w:rPr>
                    <w:t>39.08</w:t>
                  </w:r>
                </w:p>
              </w:tc>
              <w:tc>
                <w:tcPr>
                  <w:tcW w:w="623" w:type="pct"/>
                  <w:tcBorders>
                    <w:tl2br w:val="nil"/>
                    <w:tr2bl w:val="nil"/>
                  </w:tcBorders>
                  <w:shd w:val="clear" w:color="auto" w:fill="auto"/>
                  <w:vAlign w:val="center"/>
                </w:tcPr>
                <w:p w14:paraId="648A740C">
                  <w:pPr>
                    <w:jc w:val="center"/>
                    <w:rPr>
                      <w:szCs w:val="21"/>
                      <w:highlight w:val="none"/>
                    </w:rPr>
                  </w:pPr>
                  <w:r>
                    <w:rPr>
                      <w:rFonts w:hint="eastAsia"/>
                      <w:szCs w:val="21"/>
                      <w:highlight w:val="none"/>
                    </w:rPr>
                    <w:t>/</w:t>
                  </w:r>
                </w:p>
              </w:tc>
              <w:tc>
                <w:tcPr>
                  <w:tcW w:w="1151" w:type="pct"/>
                  <w:tcBorders>
                    <w:tl2br w:val="nil"/>
                    <w:tr2bl w:val="nil"/>
                  </w:tcBorders>
                  <w:shd w:val="clear" w:color="auto" w:fill="auto"/>
                  <w:vAlign w:val="center"/>
                </w:tcPr>
                <w:p w14:paraId="54BF2605">
                  <w:pPr>
                    <w:jc w:val="center"/>
                    <w:rPr>
                      <w:rFonts w:hint="default" w:eastAsia="宋体"/>
                      <w:szCs w:val="21"/>
                      <w:highlight w:val="none"/>
                      <w:lang w:val="en-US" w:eastAsia="zh-CN"/>
                    </w:rPr>
                  </w:pPr>
                  <w:r>
                    <w:rPr>
                      <w:rFonts w:hint="eastAsia"/>
                      <w:szCs w:val="21"/>
                      <w:highlight w:val="none"/>
                      <w:lang w:val="en-US" w:eastAsia="zh-CN"/>
                    </w:rPr>
                    <w:t>全封闭库房90%；雾炮抑尘74%</w:t>
                  </w:r>
                </w:p>
              </w:tc>
              <w:tc>
                <w:tcPr>
                  <w:tcW w:w="448" w:type="pct"/>
                  <w:tcBorders>
                    <w:tl2br w:val="nil"/>
                    <w:tr2bl w:val="nil"/>
                  </w:tcBorders>
                  <w:shd w:val="clear" w:color="auto" w:fill="auto"/>
                  <w:vAlign w:val="center"/>
                </w:tcPr>
                <w:p w14:paraId="4422737F">
                  <w:pPr>
                    <w:jc w:val="center"/>
                    <w:rPr>
                      <w:szCs w:val="21"/>
                      <w:highlight w:val="none"/>
                    </w:rPr>
                  </w:pPr>
                  <w:r>
                    <w:rPr>
                      <w:rFonts w:hint="eastAsia"/>
                      <w:szCs w:val="21"/>
                      <w:highlight w:val="none"/>
                    </w:rPr>
                    <w:t>是</w:t>
                  </w:r>
                </w:p>
              </w:tc>
            </w:tr>
            <w:tr w14:paraId="2EE3C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06" w:type="pct"/>
                  <w:tcBorders>
                    <w:tl2br w:val="nil"/>
                    <w:tr2bl w:val="nil"/>
                  </w:tcBorders>
                  <w:shd w:val="clear" w:color="auto" w:fill="auto"/>
                  <w:vAlign w:val="center"/>
                </w:tcPr>
                <w:p w14:paraId="692C5281">
                  <w:pPr>
                    <w:jc w:val="center"/>
                    <w:rPr>
                      <w:rFonts w:hint="default" w:eastAsia="宋体"/>
                      <w:szCs w:val="21"/>
                      <w:highlight w:val="none"/>
                      <w:lang w:val="en-US" w:eastAsia="zh-CN"/>
                    </w:rPr>
                  </w:pPr>
                  <w:r>
                    <w:rPr>
                      <w:rFonts w:hint="eastAsia"/>
                      <w:szCs w:val="21"/>
                      <w:highlight w:val="none"/>
                      <w:lang w:val="en-US" w:eastAsia="zh-CN"/>
                    </w:rPr>
                    <w:t>输送皮带</w:t>
                  </w:r>
                </w:p>
              </w:tc>
              <w:tc>
                <w:tcPr>
                  <w:tcW w:w="453" w:type="pct"/>
                  <w:tcBorders>
                    <w:tl2br w:val="nil"/>
                    <w:tr2bl w:val="nil"/>
                  </w:tcBorders>
                  <w:shd w:val="clear" w:color="auto" w:fill="auto"/>
                  <w:vAlign w:val="center"/>
                </w:tcPr>
                <w:p w14:paraId="646601FE">
                  <w:pPr>
                    <w:jc w:val="center"/>
                    <w:rPr>
                      <w:szCs w:val="21"/>
                      <w:highlight w:val="none"/>
                    </w:rPr>
                  </w:pPr>
                  <w:r>
                    <w:rPr>
                      <w:rFonts w:hint="eastAsia"/>
                      <w:szCs w:val="21"/>
                      <w:highlight w:val="none"/>
                    </w:rPr>
                    <w:t>颗粒物</w:t>
                  </w:r>
                </w:p>
              </w:tc>
              <w:tc>
                <w:tcPr>
                  <w:tcW w:w="460" w:type="pct"/>
                  <w:tcBorders>
                    <w:tl2br w:val="nil"/>
                    <w:tr2bl w:val="nil"/>
                  </w:tcBorders>
                  <w:shd w:val="clear" w:color="auto" w:fill="auto"/>
                  <w:vAlign w:val="center"/>
                </w:tcPr>
                <w:p w14:paraId="38675307">
                  <w:pPr>
                    <w:jc w:val="center"/>
                    <w:rPr>
                      <w:rFonts w:hint="default" w:eastAsia="宋体"/>
                      <w:szCs w:val="21"/>
                      <w:highlight w:val="none"/>
                      <w:lang w:val="en-US" w:eastAsia="zh-CN"/>
                    </w:rPr>
                  </w:pPr>
                  <w:r>
                    <w:rPr>
                      <w:rFonts w:hint="eastAsia"/>
                      <w:szCs w:val="21"/>
                      <w:highlight w:val="none"/>
                      <w:lang w:val="en-US" w:eastAsia="zh-CN"/>
                    </w:rPr>
                    <w:t>10.61</w:t>
                  </w:r>
                </w:p>
              </w:tc>
              <w:tc>
                <w:tcPr>
                  <w:tcW w:w="672" w:type="pct"/>
                  <w:tcBorders>
                    <w:tl2br w:val="nil"/>
                    <w:tr2bl w:val="nil"/>
                  </w:tcBorders>
                  <w:shd w:val="clear" w:color="auto" w:fill="auto"/>
                  <w:vAlign w:val="center"/>
                </w:tcPr>
                <w:p w14:paraId="6EE900A4">
                  <w:pPr>
                    <w:jc w:val="center"/>
                    <w:rPr>
                      <w:szCs w:val="21"/>
                      <w:highlight w:val="none"/>
                    </w:rPr>
                  </w:pPr>
                  <w:r>
                    <w:rPr>
                      <w:rFonts w:hint="eastAsia"/>
                      <w:szCs w:val="21"/>
                      <w:highlight w:val="none"/>
                    </w:rPr>
                    <w:t>/</w:t>
                  </w:r>
                </w:p>
              </w:tc>
              <w:tc>
                <w:tcPr>
                  <w:tcW w:w="583" w:type="pct"/>
                  <w:tcBorders>
                    <w:tl2br w:val="nil"/>
                    <w:tr2bl w:val="nil"/>
                  </w:tcBorders>
                  <w:shd w:val="clear" w:color="auto" w:fill="auto"/>
                  <w:vAlign w:val="center"/>
                </w:tcPr>
                <w:p w14:paraId="7BCA9041">
                  <w:pPr>
                    <w:jc w:val="center"/>
                    <w:rPr>
                      <w:rFonts w:hint="default" w:eastAsia="宋体"/>
                      <w:szCs w:val="21"/>
                      <w:highlight w:val="none"/>
                      <w:lang w:val="en-US" w:eastAsia="zh-CN"/>
                    </w:rPr>
                  </w:pPr>
                  <w:r>
                    <w:rPr>
                      <w:rFonts w:hint="eastAsia"/>
                      <w:szCs w:val="21"/>
                      <w:highlight w:val="none"/>
                      <w:lang w:val="en-US" w:eastAsia="zh-CN"/>
                    </w:rPr>
                    <w:t>1.1</w:t>
                  </w:r>
                </w:p>
              </w:tc>
              <w:tc>
                <w:tcPr>
                  <w:tcW w:w="623" w:type="pct"/>
                  <w:tcBorders>
                    <w:tl2br w:val="nil"/>
                    <w:tr2bl w:val="nil"/>
                  </w:tcBorders>
                  <w:shd w:val="clear" w:color="auto" w:fill="auto"/>
                  <w:vAlign w:val="center"/>
                </w:tcPr>
                <w:p w14:paraId="250D1769">
                  <w:pPr>
                    <w:jc w:val="center"/>
                    <w:rPr>
                      <w:szCs w:val="21"/>
                      <w:highlight w:val="none"/>
                    </w:rPr>
                  </w:pPr>
                  <w:r>
                    <w:rPr>
                      <w:rFonts w:hint="eastAsia"/>
                      <w:szCs w:val="21"/>
                      <w:highlight w:val="none"/>
                    </w:rPr>
                    <w:t>/</w:t>
                  </w:r>
                </w:p>
              </w:tc>
              <w:tc>
                <w:tcPr>
                  <w:tcW w:w="1151" w:type="pct"/>
                  <w:tcBorders>
                    <w:tl2br w:val="nil"/>
                    <w:tr2bl w:val="nil"/>
                  </w:tcBorders>
                  <w:shd w:val="clear" w:color="auto" w:fill="auto"/>
                  <w:vAlign w:val="center"/>
                </w:tcPr>
                <w:p w14:paraId="176E84DA">
                  <w:pPr>
                    <w:jc w:val="center"/>
                    <w:rPr>
                      <w:rFonts w:hint="default" w:eastAsia="宋体"/>
                      <w:szCs w:val="21"/>
                      <w:highlight w:val="none"/>
                      <w:lang w:val="en-US" w:eastAsia="zh-CN"/>
                    </w:rPr>
                  </w:pPr>
                  <w:r>
                    <w:rPr>
                      <w:rFonts w:hint="eastAsia"/>
                      <w:szCs w:val="21"/>
                      <w:highlight w:val="none"/>
                      <w:lang w:val="en-US" w:eastAsia="zh-CN"/>
                    </w:rPr>
                    <w:t>全封闭输送皮带90%</w:t>
                  </w:r>
                </w:p>
              </w:tc>
              <w:tc>
                <w:tcPr>
                  <w:tcW w:w="448" w:type="pct"/>
                  <w:tcBorders>
                    <w:tl2br w:val="nil"/>
                    <w:tr2bl w:val="nil"/>
                  </w:tcBorders>
                  <w:shd w:val="clear" w:color="auto" w:fill="auto"/>
                  <w:vAlign w:val="center"/>
                </w:tcPr>
                <w:p w14:paraId="05EB4C88">
                  <w:pPr>
                    <w:jc w:val="center"/>
                    <w:rPr>
                      <w:szCs w:val="21"/>
                      <w:highlight w:val="none"/>
                    </w:rPr>
                  </w:pPr>
                  <w:r>
                    <w:rPr>
                      <w:rFonts w:hint="eastAsia"/>
                      <w:szCs w:val="21"/>
                      <w:highlight w:val="none"/>
                    </w:rPr>
                    <w:t>是</w:t>
                  </w:r>
                </w:p>
              </w:tc>
            </w:tr>
            <w:tr w14:paraId="2EB8BF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06" w:type="pct"/>
                  <w:tcBorders>
                    <w:tl2br w:val="nil"/>
                    <w:tr2bl w:val="nil"/>
                  </w:tcBorders>
                  <w:shd w:val="clear" w:color="auto" w:fill="auto"/>
                  <w:vAlign w:val="center"/>
                </w:tcPr>
                <w:p w14:paraId="72D9FF2E">
                  <w:pPr>
                    <w:jc w:val="center"/>
                    <w:rPr>
                      <w:szCs w:val="21"/>
                      <w:highlight w:val="none"/>
                    </w:rPr>
                  </w:pPr>
                  <w:r>
                    <w:rPr>
                      <w:rFonts w:hint="eastAsia"/>
                      <w:szCs w:val="21"/>
                      <w:highlight w:val="none"/>
                    </w:rPr>
                    <w:t>总计</w:t>
                  </w:r>
                </w:p>
              </w:tc>
              <w:tc>
                <w:tcPr>
                  <w:tcW w:w="453" w:type="pct"/>
                  <w:tcBorders>
                    <w:tl2br w:val="nil"/>
                    <w:tr2bl w:val="nil"/>
                  </w:tcBorders>
                  <w:shd w:val="clear" w:color="auto" w:fill="auto"/>
                  <w:vAlign w:val="center"/>
                </w:tcPr>
                <w:p w14:paraId="301F84C4">
                  <w:pPr>
                    <w:jc w:val="center"/>
                    <w:rPr>
                      <w:szCs w:val="21"/>
                      <w:highlight w:val="none"/>
                    </w:rPr>
                  </w:pPr>
                  <w:r>
                    <w:rPr>
                      <w:rFonts w:hint="eastAsia"/>
                      <w:szCs w:val="21"/>
                      <w:highlight w:val="none"/>
                    </w:rPr>
                    <w:t>无组织</w:t>
                  </w:r>
                </w:p>
              </w:tc>
              <w:tc>
                <w:tcPr>
                  <w:tcW w:w="460" w:type="pct"/>
                  <w:tcBorders>
                    <w:tl2br w:val="nil"/>
                    <w:tr2bl w:val="nil"/>
                  </w:tcBorders>
                  <w:shd w:val="clear" w:color="auto" w:fill="auto"/>
                  <w:vAlign w:val="center"/>
                </w:tcPr>
                <w:p w14:paraId="44353330">
                  <w:pPr>
                    <w:jc w:val="center"/>
                    <w:rPr>
                      <w:rFonts w:hint="default" w:eastAsia="宋体"/>
                      <w:szCs w:val="21"/>
                      <w:highlight w:val="none"/>
                      <w:lang w:val="en-US" w:eastAsia="zh-CN"/>
                    </w:rPr>
                  </w:pPr>
                  <w:r>
                    <w:rPr>
                      <w:rFonts w:hint="eastAsia"/>
                      <w:szCs w:val="21"/>
                      <w:highlight w:val="none"/>
                      <w:lang w:val="en-US" w:eastAsia="zh-CN"/>
                    </w:rPr>
                    <w:t>1522.68</w:t>
                  </w:r>
                </w:p>
              </w:tc>
              <w:tc>
                <w:tcPr>
                  <w:tcW w:w="672" w:type="pct"/>
                  <w:tcBorders>
                    <w:tl2br w:val="nil"/>
                    <w:tr2bl w:val="nil"/>
                  </w:tcBorders>
                  <w:shd w:val="clear" w:color="auto" w:fill="auto"/>
                  <w:vAlign w:val="center"/>
                </w:tcPr>
                <w:p w14:paraId="47F98610">
                  <w:pPr>
                    <w:jc w:val="center"/>
                    <w:rPr>
                      <w:szCs w:val="21"/>
                      <w:highlight w:val="none"/>
                    </w:rPr>
                  </w:pPr>
                  <w:r>
                    <w:rPr>
                      <w:rFonts w:hint="eastAsia"/>
                      <w:szCs w:val="21"/>
                      <w:highlight w:val="none"/>
                    </w:rPr>
                    <w:t>/</w:t>
                  </w:r>
                </w:p>
              </w:tc>
              <w:tc>
                <w:tcPr>
                  <w:tcW w:w="583" w:type="pct"/>
                  <w:tcBorders>
                    <w:tl2br w:val="nil"/>
                    <w:tr2bl w:val="nil"/>
                  </w:tcBorders>
                  <w:shd w:val="clear" w:color="auto" w:fill="auto"/>
                  <w:vAlign w:val="center"/>
                </w:tcPr>
                <w:p w14:paraId="4A98F48B">
                  <w:pPr>
                    <w:jc w:val="center"/>
                    <w:rPr>
                      <w:rFonts w:hint="default" w:eastAsia="宋体"/>
                      <w:szCs w:val="21"/>
                      <w:highlight w:val="none"/>
                      <w:lang w:val="en-US" w:eastAsia="zh-CN"/>
                    </w:rPr>
                  </w:pPr>
                  <w:r>
                    <w:rPr>
                      <w:rFonts w:hint="eastAsia"/>
                      <w:szCs w:val="21"/>
                      <w:highlight w:val="none"/>
                      <w:lang w:val="en-US" w:eastAsia="zh-CN"/>
                    </w:rPr>
                    <w:t>40.18</w:t>
                  </w:r>
                </w:p>
              </w:tc>
              <w:tc>
                <w:tcPr>
                  <w:tcW w:w="623" w:type="pct"/>
                  <w:tcBorders>
                    <w:tl2br w:val="nil"/>
                    <w:tr2bl w:val="nil"/>
                  </w:tcBorders>
                  <w:shd w:val="clear" w:color="auto" w:fill="auto"/>
                  <w:vAlign w:val="center"/>
                </w:tcPr>
                <w:p w14:paraId="68EA6571">
                  <w:pPr>
                    <w:jc w:val="center"/>
                    <w:rPr>
                      <w:szCs w:val="21"/>
                      <w:highlight w:val="none"/>
                    </w:rPr>
                  </w:pPr>
                  <w:r>
                    <w:rPr>
                      <w:rFonts w:hint="eastAsia"/>
                      <w:szCs w:val="21"/>
                      <w:highlight w:val="none"/>
                    </w:rPr>
                    <w:t>/</w:t>
                  </w:r>
                </w:p>
              </w:tc>
              <w:tc>
                <w:tcPr>
                  <w:tcW w:w="1151" w:type="pct"/>
                  <w:tcBorders>
                    <w:tl2br w:val="nil"/>
                    <w:tr2bl w:val="nil"/>
                  </w:tcBorders>
                  <w:shd w:val="clear" w:color="auto" w:fill="auto"/>
                  <w:vAlign w:val="center"/>
                </w:tcPr>
                <w:p w14:paraId="28E62A85">
                  <w:pPr>
                    <w:jc w:val="center"/>
                    <w:rPr>
                      <w:szCs w:val="21"/>
                      <w:highlight w:val="none"/>
                    </w:rPr>
                  </w:pPr>
                  <w:r>
                    <w:rPr>
                      <w:rFonts w:hint="eastAsia"/>
                      <w:szCs w:val="21"/>
                      <w:highlight w:val="none"/>
                    </w:rPr>
                    <w:t>/</w:t>
                  </w:r>
                </w:p>
              </w:tc>
              <w:tc>
                <w:tcPr>
                  <w:tcW w:w="448" w:type="pct"/>
                  <w:tcBorders>
                    <w:tl2br w:val="nil"/>
                    <w:tr2bl w:val="nil"/>
                  </w:tcBorders>
                  <w:shd w:val="clear" w:color="auto" w:fill="auto"/>
                  <w:vAlign w:val="center"/>
                </w:tcPr>
                <w:p w14:paraId="20F9EAFD">
                  <w:pPr>
                    <w:jc w:val="center"/>
                    <w:rPr>
                      <w:szCs w:val="21"/>
                      <w:highlight w:val="none"/>
                    </w:rPr>
                  </w:pPr>
                  <w:r>
                    <w:rPr>
                      <w:rFonts w:hint="eastAsia"/>
                      <w:szCs w:val="21"/>
                      <w:highlight w:val="none"/>
                    </w:rPr>
                    <w:t>/</w:t>
                  </w:r>
                </w:p>
              </w:tc>
            </w:tr>
            <w:bookmarkEnd w:id="5"/>
          </w:tbl>
          <w:p w14:paraId="62647821">
            <w:pPr>
              <w:pStyle w:val="45"/>
              <w:keepNext w:val="0"/>
              <w:keepLines w:val="0"/>
              <w:pageBreakBefore w:val="0"/>
              <w:widowControl/>
              <w:kinsoku/>
              <w:wordWrap/>
              <w:overflowPunct/>
              <w:topLinePunct w:val="0"/>
              <w:autoSpaceDE/>
              <w:autoSpaceDN/>
              <w:bidi w:val="0"/>
              <w:adjustRightInd/>
              <w:snapToGrid w:val="0"/>
              <w:spacing w:before="0" w:line="240" w:lineRule="auto"/>
              <w:ind w:right="0" w:firstLine="0" w:firstLineChars="0"/>
              <w:jc w:val="center"/>
              <w:textAlignment w:val="auto"/>
              <w:rPr>
                <w:rFonts w:hint="default" w:eastAsia="宋体"/>
                <w:highlight w:val="none"/>
                <w:lang w:val="en-US" w:eastAsia="zh-CN"/>
              </w:rPr>
            </w:pPr>
            <w:r>
              <w:rPr>
                <w:rFonts w:hint="eastAsia"/>
                <w:highlight w:val="none"/>
                <w:lang w:val="en-US" w:eastAsia="zh-CN"/>
              </w:rPr>
              <w:t>表4-2 排放口基本信息情况表</w:t>
            </w:r>
          </w:p>
          <w:tbl>
            <w:tblPr>
              <w:tblStyle w:val="31"/>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2334"/>
              <w:gridCol w:w="1589"/>
              <w:gridCol w:w="1589"/>
              <w:gridCol w:w="1590"/>
            </w:tblGrid>
            <w:tr w14:paraId="1651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vAlign w:val="center"/>
                </w:tcPr>
                <w:p w14:paraId="6167555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序号</w:t>
                  </w:r>
                </w:p>
              </w:tc>
              <w:tc>
                <w:tcPr>
                  <w:tcW w:w="2334" w:type="dxa"/>
                  <w:vAlign w:val="center"/>
                </w:tcPr>
                <w:p w14:paraId="178A82B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排放口名称</w:t>
                  </w:r>
                </w:p>
              </w:tc>
              <w:tc>
                <w:tcPr>
                  <w:tcW w:w="1589" w:type="dxa"/>
                  <w:vAlign w:val="center"/>
                </w:tcPr>
                <w:p w14:paraId="584D3B3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排放口编号</w:t>
                  </w:r>
                </w:p>
              </w:tc>
              <w:tc>
                <w:tcPr>
                  <w:tcW w:w="1589" w:type="dxa"/>
                  <w:vAlign w:val="center"/>
                </w:tcPr>
                <w:p w14:paraId="6F249E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排放口高度</w:t>
                  </w:r>
                </w:p>
              </w:tc>
              <w:tc>
                <w:tcPr>
                  <w:tcW w:w="1590" w:type="dxa"/>
                  <w:vAlign w:val="center"/>
                </w:tcPr>
                <w:p w14:paraId="3E5C5F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排放口内径</w:t>
                  </w:r>
                </w:p>
              </w:tc>
            </w:tr>
            <w:tr w14:paraId="14AD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vAlign w:val="center"/>
                </w:tcPr>
                <w:p w14:paraId="3D41660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w:t>
                  </w:r>
                </w:p>
              </w:tc>
              <w:tc>
                <w:tcPr>
                  <w:tcW w:w="2334" w:type="dxa"/>
                  <w:vAlign w:val="center"/>
                </w:tcPr>
                <w:p w14:paraId="6E92B49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1号水泥筒仓排放口</w:t>
                  </w:r>
                </w:p>
              </w:tc>
              <w:tc>
                <w:tcPr>
                  <w:tcW w:w="1589" w:type="dxa"/>
                  <w:vAlign w:val="center"/>
                </w:tcPr>
                <w:p w14:paraId="3A1969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P1</w:t>
                  </w:r>
                </w:p>
              </w:tc>
              <w:tc>
                <w:tcPr>
                  <w:tcW w:w="1589" w:type="dxa"/>
                  <w:vAlign w:val="center"/>
                </w:tcPr>
                <w:p w14:paraId="315E6BC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highlight w:val="none"/>
                      <w:lang w:val="en-US" w:eastAsia="zh-CN"/>
                    </w:rPr>
                  </w:pPr>
                  <w:r>
                    <w:rPr>
                      <w:rFonts w:hint="eastAsia"/>
                      <w:sz w:val="21"/>
                      <w:szCs w:val="21"/>
                      <w:highlight w:val="none"/>
                      <w:vertAlign w:val="baseline"/>
                      <w:lang w:val="en-US" w:eastAsia="zh-CN"/>
                    </w:rPr>
                    <w:t>15m</w:t>
                  </w:r>
                </w:p>
              </w:tc>
              <w:tc>
                <w:tcPr>
                  <w:tcW w:w="1590" w:type="dxa"/>
                  <w:vAlign w:val="center"/>
                </w:tcPr>
                <w:p w14:paraId="37823E0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0.4m</w:t>
                  </w:r>
                </w:p>
              </w:tc>
            </w:tr>
            <w:tr w14:paraId="45EE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vAlign w:val="center"/>
                </w:tcPr>
                <w:p w14:paraId="04591B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w:t>
                  </w:r>
                </w:p>
              </w:tc>
              <w:tc>
                <w:tcPr>
                  <w:tcW w:w="2334" w:type="dxa"/>
                  <w:vAlign w:val="center"/>
                </w:tcPr>
                <w:p w14:paraId="24047B6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2号水泥筒仓排放口</w:t>
                  </w:r>
                </w:p>
              </w:tc>
              <w:tc>
                <w:tcPr>
                  <w:tcW w:w="1589" w:type="dxa"/>
                  <w:vAlign w:val="center"/>
                </w:tcPr>
                <w:p w14:paraId="384692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P2</w:t>
                  </w:r>
                </w:p>
              </w:tc>
              <w:tc>
                <w:tcPr>
                  <w:tcW w:w="1589" w:type="dxa"/>
                  <w:vAlign w:val="center"/>
                </w:tcPr>
                <w:p w14:paraId="7C7C9A1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15m</w:t>
                  </w:r>
                </w:p>
              </w:tc>
              <w:tc>
                <w:tcPr>
                  <w:tcW w:w="1590" w:type="dxa"/>
                  <w:vAlign w:val="center"/>
                </w:tcPr>
                <w:p w14:paraId="03A0C9E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0.4m</w:t>
                  </w:r>
                </w:p>
              </w:tc>
            </w:tr>
            <w:tr w14:paraId="1B62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vAlign w:val="center"/>
                </w:tcPr>
                <w:p w14:paraId="36BBBB7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3</w:t>
                  </w:r>
                </w:p>
              </w:tc>
              <w:tc>
                <w:tcPr>
                  <w:tcW w:w="2334" w:type="dxa"/>
                  <w:vAlign w:val="center"/>
                </w:tcPr>
                <w:p w14:paraId="619B473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矿粉筒仓排放口</w:t>
                  </w:r>
                </w:p>
              </w:tc>
              <w:tc>
                <w:tcPr>
                  <w:tcW w:w="1589" w:type="dxa"/>
                  <w:vAlign w:val="center"/>
                </w:tcPr>
                <w:p w14:paraId="10F2ED6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P3</w:t>
                  </w:r>
                </w:p>
              </w:tc>
              <w:tc>
                <w:tcPr>
                  <w:tcW w:w="1589" w:type="dxa"/>
                  <w:vAlign w:val="center"/>
                </w:tcPr>
                <w:p w14:paraId="6AC7FFC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15m</w:t>
                  </w:r>
                </w:p>
              </w:tc>
              <w:tc>
                <w:tcPr>
                  <w:tcW w:w="1590" w:type="dxa"/>
                  <w:vAlign w:val="center"/>
                </w:tcPr>
                <w:p w14:paraId="74FA6C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0.4m</w:t>
                  </w:r>
                </w:p>
              </w:tc>
            </w:tr>
            <w:tr w14:paraId="2C5D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vAlign w:val="center"/>
                </w:tcPr>
                <w:p w14:paraId="1B12CC5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4</w:t>
                  </w:r>
                </w:p>
              </w:tc>
              <w:tc>
                <w:tcPr>
                  <w:tcW w:w="2334" w:type="dxa"/>
                  <w:vAlign w:val="center"/>
                </w:tcPr>
                <w:p w14:paraId="5CB589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硅粉筒仓排放口</w:t>
                  </w:r>
                </w:p>
              </w:tc>
              <w:tc>
                <w:tcPr>
                  <w:tcW w:w="1589" w:type="dxa"/>
                  <w:vAlign w:val="center"/>
                </w:tcPr>
                <w:p w14:paraId="120BCD2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P4</w:t>
                  </w:r>
                </w:p>
              </w:tc>
              <w:tc>
                <w:tcPr>
                  <w:tcW w:w="1589" w:type="dxa"/>
                  <w:vAlign w:val="center"/>
                </w:tcPr>
                <w:p w14:paraId="3894E41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15m</w:t>
                  </w:r>
                </w:p>
              </w:tc>
              <w:tc>
                <w:tcPr>
                  <w:tcW w:w="1590" w:type="dxa"/>
                  <w:vAlign w:val="center"/>
                </w:tcPr>
                <w:p w14:paraId="168FA91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0.4m</w:t>
                  </w:r>
                </w:p>
              </w:tc>
            </w:tr>
            <w:tr w14:paraId="32E6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vAlign w:val="center"/>
                </w:tcPr>
                <w:p w14:paraId="74CB30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5</w:t>
                  </w:r>
                </w:p>
              </w:tc>
              <w:tc>
                <w:tcPr>
                  <w:tcW w:w="2334" w:type="dxa"/>
                  <w:vAlign w:val="center"/>
                </w:tcPr>
                <w:p w14:paraId="3B065D8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搅拌机排放口</w:t>
                  </w:r>
                </w:p>
              </w:tc>
              <w:tc>
                <w:tcPr>
                  <w:tcW w:w="1589" w:type="dxa"/>
                  <w:vAlign w:val="center"/>
                </w:tcPr>
                <w:p w14:paraId="316C11A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P5</w:t>
                  </w:r>
                </w:p>
              </w:tc>
              <w:tc>
                <w:tcPr>
                  <w:tcW w:w="1589" w:type="dxa"/>
                  <w:vAlign w:val="center"/>
                </w:tcPr>
                <w:p w14:paraId="3793303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sz w:val="21"/>
                      <w:szCs w:val="21"/>
                      <w:highlight w:val="none"/>
                      <w:vertAlign w:val="baseline"/>
                      <w:lang w:val="en-US" w:eastAsia="zh-CN"/>
                    </w:rPr>
                  </w:pPr>
                  <w:r>
                    <w:rPr>
                      <w:rFonts w:hint="eastAsia"/>
                      <w:sz w:val="21"/>
                      <w:szCs w:val="21"/>
                      <w:highlight w:val="none"/>
                      <w:vertAlign w:val="baseline"/>
                      <w:lang w:val="en-US" w:eastAsia="zh-CN"/>
                    </w:rPr>
                    <w:t>15m</w:t>
                  </w:r>
                </w:p>
              </w:tc>
              <w:tc>
                <w:tcPr>
                  <w:tcW w:w="1590" w:type="dxa"/>
                  <w:vAlign w:val="center"/>
                </w:tcPr>
                <w:p w14:paraId="7A8C903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sz w:val="21"/>
                      <w:szCs w:val="21"/>
                      <w:highlight w:val="none"/>
                      <w:vertAlign w:val="baseline"/>
                      <w:lang w:val="en-US" w:eastAsia="zh-CN"/>
                    </w:rPr>
                  </w:pPr>
                  <w:r>
                    <w:rPr>
                      <w:rFonts w:hint="eastAsia"/>
                      <w:sz w:val="21"/>
                      <w:szCs w:val="21"/>
                      <w:highlight w:val="none"/>
                      <w:vertAlign w:val="baseline"/>
                      <w:lang w:val="en-US" w:eastAsia="zh-CN"/>
                    </w:rPr>
                    <w:t>0.4m</w:t>
                  </w:r>
                </w:p>
              </w:tc>
            </w:tr>
          </w:tbl>
          <w:p w14:paraId="56C5CB4C">
            <w:pPr>
              <w:pStyle w:val="45"/>
              <w:spacing w:before="0"/>
              <w:ind w:right="0" w:firstLine="440" w:firstLineChars="200"/>
              <w:jc w:val="both"/>
              <w:rPr>
                <w:color w:val="auto"/>
                <w:highlight w:val="none"/>
              </w:rPr>
            </w:pPr>
            <w:r>
              <w:rPr>
                <w:b w:val="0"/>
                <w:bCs/>
                <w:color w:val="auto"/>
                <w:spacing w:val="-10"/>
                <w:kern w:val="2"/>
                <w:highlight w:val="none"/>
              </w:rPr>
              <w:t>本项目</w:t>
            </w:r>
            <w:r>
              <w:rPr>
                <w:rFonts w:hint="eastAsia"/>
                <w:b w:val="0"/>
                <w:bCs/>
                <w:color w:val="auto"/>
                <w:spacing w:val="-10"/>
                <w:kern w:val="2"/>
                <w:highlight w:val="none"/>
              </w:rPr>
              <w:t>生产车间</w:t>
            </w:r>
            <w:r>
              <w:rPr>
                <w:rFonts w:hint="eastAsia"/>
                <w:b w:val="0"/>
                <w:bCs/>
                <w:color w:val="auto"/>
                <w:spacing w:val="-10"/>
                <w:kern w:val="2"/>
                <w:highlight w:val="none"/>
                <w:lang w:eastAsia="zh-CN"/>
              </w:rPr>
              <w:t>为</w:t>
            </w:r>
            <w:r>
              <w:rPr>
                <w:b w:val="0"/>
                <w:bCs/>
                <w:color w:val="auto"/>
                <w:spacing w:val="-10"/>
                <w:kern w:val="2"/>
                <w:highlight w:val="none"/>
              </w:rPr>
              <w:t>全封闭式</w:t>
            </w:r>
            <w:r>
              <w:rPr>
                <w:rFonts w:hint="eastAsia"/>
                <w:b w:val="0"/>
                <w:bCs/>
                <w:color w:val="auto"/>
                <w:spacing w:val="-10"/>
                <w:kern w:val="2"/>
                <w:highlight w:val="none"/>
              </w:rPr>
              <w:t>车间</w:t>
            </w:r>
            <w:r>
              <w:rPr>
                <w:b w:val="0"/>
                <w:bCs/>
                <w:color w:val="auto"/>
                <w:spacing w:val="-10"/>
                <w:kern w:val="2"/>
                <w:highlight w:val="none"/>
              </w:rPr>
              <w:t>，</w:t>
            </w:r>
            <w:r>
              <w:rPr>
                <w:rFonts w:hint="eastAsia"/>
                <w:b w:val="0"/>
                <w:bCs/>
                <w:color w:val="auto"/>
                <w:spacing w:val="-10"/>
                <w:kern w:val="2"/>
                <w:highlight w:val="none"/>
              </w:rPr>
              <w:t>搅拌机顶部设有布袋除尘器+15m高排气筒，可使搅拌粉尘达标排放；</w:t>
            </w:r>
            <w:r>
              <w:rPr>
                <w:rFonts w:hint="eastAsia"/>
                <w:b w:val="0"/>
                <w:bCs/>
                <w:color w:val="auto"/>
                <w:spacing w:val="-10"/>
                <w:kern w:val="2"/>
                <w:highlight w:val="none"/>
                <w:lang w:val="en-US" w:eastAsia="zh-CN"/>
              </w:rPr>
              <w:t>原料库</w:t>
            </w:r>
            <w:r>
              <w:rPr>
                <w:rFonts w:hint="eastAsia"/>
                <w:b w:val="0"/>
                <w:bCs/>
                <w:color w:val="auto"/>
                <w:spacing w:val="-10"/>
                <w:kern w:val="2"/>
                <w:highlight w:val="none"/>
              </w:rPr>
              <w:t>扬尘采用</w:t>
            </w:r>
            <w:r>
              <w:rPr>
                <w:rFonts w:hint="eastAsia"/>
                <w:b w:val="0"/>
                <w:bCs/>
                <w:color w:val="auto"/>
                <w:spacing w:val="-10"/>
                <w:kern w:val="2"/>
                <w:highlight w:val="none"/>
                <w:lang w:val="en-US" w:eastAsia="zh-CN"/>
              </w:rPr>
              <w:t>雾炮</w:t>
            </w:r>
            <w:r>
              <w:rPr>
                <w:rFonts w:hint="eastAsia"/>
                <w:b w:val="0"/>
                <w:bCs/>
                <w:color w:val="auto"/>
                <w:spacing w:val="-10"/>
                <w:kern w:val="2"/>
                <w:highlight w:val="none"/>
              </w:rPr>
              <w:t>抑尘；水泥、矿粉、硅粉筒仓顶部自带滤芯除尘器对呼吸粉尘进行过滤处理，处理后呼吸粉尘可达标排放。</w:t>
            </w:r>
            <w:r>
              <w:rPr>
                <w:b w:val="0"/>
                <w:bCs/>
                <w:color w:val="auto"/>
                <w:spacing w:val="-10"/>
                <w:kern w:val="2"/>
                <w:highlight w:val="none"/>
              </w:rPr>
              <w:t>本项目产生的废气对周围环境影响较小。</w:t>
            </w:r>
          </w:p>
          <w:p w14:paraId="2B772D9F">
            <w:pPr>
              <w:adjustRightInd w:val="0"/>
              <w:snapToGrid w:val="0"/>
              <w:spacing w:line="360" w:lineRule="auto"/>
              <w:rPr>
                <w:b/>
                <w:bCs w:val="0"/>
                <w:spacing w:val="-10"/>
                <w:sz w:val="24"/>
                <w:highlight w:val="none"/>
              </w:rPr>
            </w:pPr>
            <w:r>
              <w:rPr>
                <w:rFonts w:hint="eastAsia"/>
                <w:b/>
                <w:bCs w:val="0"/>
                <w:spacing w:val="-10"/>
                <w:sz w:val="24"/>
                <w:highlight w:val="none"/>
                <w:lang w:val="en-US" w:eastAsia="zh-CN"/>
              </w:rPr>
              <w:t>2.</w:t>
            </w:r>
            <w:r>
              <w:rPr>
                <w:b/>
                <w:bCs w:val="0"/>
                <w:spacing w:val="-10"/>
                <w:sz w:val="24"/>
                <w:highlight w:val="none"/>
              </w:rPr>
              <w:t>水环境影响分析</w:t>
            </w:r>
          </w:p>
          <w:p w14:paraId="5D7AE9A8">
            <w:pPr>
              <w:pStyle w:val="54"/>
              <w:rPr>
                <w:highlight w:val="none"/>
              </w:rPr>
            </w:pPr>
            <w:r>
              <w:rPr>
                <w:highlight w:val="none"/>
              </w:rPr>
              <w:t>（1）本项目劳动定员</w:t>
            </w:r>
            <w:r>
              <w:rPr>
                <w:rFonts w:hint="eastAsia"/>
                <w:highlight w:val="none"/>
              </w:rPr>
              <w:t>10</w:t>
            </w:r>
            <w:r>
              <w:rPr>
                <w:highlight w:val="none"/>
              </w:rPr>
              <w:t>人，用水量按照</w:t>
            </w:r>
            <w:r>
              <w:rPr>
                <w:rFonts w:hint="eastAsia"/>
                <w:bCs/>
                <w:spacing w:val="-10"/>
                <w:highlight w:val="none"/>
              </w:rPr>
              <w:t>60L/（人·d）</w:t>
            </w:r>
            <w:r>
              <w:rPr>
                <w:highlight w:val="none"/>
              </w:rPr>
              <w:t>核算，则生活用水量为</w:t>
            </w:r>
            <w:r>
              <w:rPr>
                <w:rFonts w:hint="eastAsia"/>
                <w:bCs/>
                <w:spacing w:val="-10"/>
                <w:highlight w:val="none"/>
              </w:rPr>
              <w:t>0.6m</w:t>
            </w:r>
            <w:r>
              <w:rPr>
                <w:rFonts w:hint="eastAsia"/>
                <w:bCs/>
                <w:spacing w:val="-10"/>
                <w:highlight w:val="none"/>
                <w:vertAlign w:val="superscript"/>
              </w:rPr>
              <w:t>3</w:t>
            </w:r>
            <w:r>
              <w:rPr>
                <w:rFonts w:hint="eastAsia"/>
                <w:bCs/>
                <w:spacing w:val="-10"/>
                <w:highlight w:val="none"/>
              </w:rPr>
              <w:t>/d（198m</w:t>
            </w:r>
            <w:r>
              <w:rPr>
                <w:rFonts w:hint="eastAsia"/>
                <w:bCs/>
                <w:spacing w:val="-10"/>
                <w:highlight w:val="none"/>
                <w:vertAlign w:val="superscript"/>
              </w:rPr>
              <w:t>3</w:t>
            </w:r>
            <w:r>
              <w:rPr>
                <w:rFonts w:hint="eastAsia"/>
                <w:bCs/>
                <w:spacing w:val="-10"/>
                <w:highlight w:val="none"/>
              </w:rPr>
              <w:t>/a）</w:t>
            </w:r>
            <w:r>
              <w:rPr>
                <w:highlight w:val="none"/>
              </w:rPr>
              <w:t>，污水产生量按用水量</w:t>
            </w:r>
            <w:r>
              <w:rPr>
                <w:rFonts w:hint="eastAsia"/>
                <w:highlight w:val="none"/>
                <w:lang w:eastAsia="zh-CN"/>
              </w:rPr>
              <w:t>的</w:t>
            </w:r>
            <w:r>
              <w:rPr>
                <w:highlight w:val="none"/>
              </w:rPr>
              <w:t>80%计</w:t>
            </w:r>
            <w:r>
              <w:rPr>
                <w:rFonts w:hint="eastAsia"/>
                <w:highlight w:val="none"/>
                <w:lang w:eastAsia="zh-CN"/>
              </w:rPr>
              <w:t>算</w:t>
            </w:r>
            <w:r>
              <w:rPr>
                <w:highlight w:val="none"/>
              </w:rPr>
              <w:t>，产生量为</w:t>
            </w:r>
            <w:r>
              <w:rPr>
                <w:rFonts w:hint="eastAsia"/>
                <w:highlight w:val="none"/>
              </w:rPr>
              <w:t>185.4</w:t>
            </w:r>
            <w:r>
              <w:rPr>
                <w:highlight w:val="none"/>
              </w:rPr>
              <w:t>m</w:t>
            </w:r>
            <w:r>
              <w:rPr>
                <w:highlight w:val="none"/>
                <w:vertAlign w:val="superscript"/>
              </w:rPr>
              <w:t>3</w:t>
            </w:r>
            <w:r>
              <w:rPr>
                <w:highlight w:val="none"/>
              </w:rPr>
              <w:t>/a，</w:t>
            </w:r>
            <w:r>
              <w:rPr>
                <w:rFonts w:hint="eastAsia"/>
                <w:highlight w:val="none"/>
              </w:rPr>
              <w:t>生活污水排放至化粪池内处理后排放至园区污水处理厂</w:t>
            </w:r>
            <w:r>
              <w:rPr>
                <w:highlight w:val="none"/>
              </w:rPr>
              <w:t>。</w:t>
            </w:r>
          </w:p>
          <w:p w14:paraId="712AAF5A">
            <w:pPr>
              <w:pStyle w:val="6"/>
              <w:spacing w:line="360" w:lineRule="auto"/>
              <w:ind w:firstLine="480"/>
              <w:rPr>
                <w:sz w:val="24"/>
                <w:highlight w:val="none"/>
              </w:rPr>
            </w:pPr>
            <w:r>
              <w:rPr>
                <w:sz w:val="24"/>
                <w:highlight w:val="none"/>
              </w:rPr>
              <w:t>（2）生产废水</w:t>
            </w:r>
          </w:p>
          <w:p w14:paraId="46E059E6">
            <w:pPr>
              <w:adjustRightInd w:val="0"/>
              <w:snapToGrid w:val="0"/>
              <w:spacing w:line="360" w:lineRule="auto"/>
              <w:ind w:firstLine="480" w:firstLineChars="200"/>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①混凝土搅拌罐清洗废水：</w:t>
            </w:r>
          </w:p>
          <w:p w14:paraId="42295D43">
            <w:pPr>
              <w:adjustRightInd w:val="0"/>
              <w:snapToGrid w:val="0"/>
              <w:spacing w:line="360" w:lineRule="auto"/>
              <w:ind w:firstLine="480" w:firstLineChars="200"/>
              <w:rPr>
                <w:rFonts w:hint="eastAsia"/>
                <w:color w:val="000000" w:themeColor="text1"/>
                <w:sz w:val="24"/>
                <w:highlight w:val="none"/>
                <w:lang w:eastAsia="zh-CN"/>
                <w14:textFill>
                  <w14:solidFill>
                    <w14:schemeClr w14:val="tx1"/>
                  </w14:solidFill>
                </w14:textFill>
              </w:rPr>
            </w:pPr>
            <w:r>
              <w:rPr>
                <w:rFonts w:hint="eastAsia"/>
                <w:bCs/>
                <w:color w:val="000000" w:themeColor="text1"/>
                <w:kern w:val="0"/>
                <w:sz w:val="24"/>
                <w:highlight w:val="none"/>
                <w:lang w:val="en-US" w:eastAsia="zh-CN"/>
                <w14:textFill>
                  <w14:solidFill>
                    <w14:schemeClr w14:val="tx1"/>
                  </w14:solidFill>
                </w14:textFill>
              </w:rPr>
              <w:t>本项目安装180型混凝土搅拌机1座，根据企业要求，下班前对搅拌罐进行冲洗。每次冲洗用水量为1m</w:t>
            </w:r>
            <w:r>
              <w:rPr>
                <w:rFonts w:hint="eastAsia"/>
                <w:bCs/>
                <w:color w:val="000000" w:themeColor="text1"/>
                <w:kern w:val="0"/>
                <w:sz w:val="24"/>
                <w:highlight w:val="none"/>
                <w:vertAlign w:val="superscript"/>
                <w:lang w:val="en-US" w:eastAsia="zh-CN"/>
                <w14:textFill>
                  <w14:solidFill>
                    <w14:schemeClr w14:val="tx1"/>
                  </w14:solidFill>
                </w14:textFill>
              </w:rPr>
              <w:t>3</w:t>
            </w:r>
            <w:r>
              <w:rPr>
                <w:rFonts w:hint="eastAsia"/>
                <w:bCs/>
                <w:color w:val="000000" w:themeColor="text1"/>
                <w:kern w:val="0"/>
                <w:sz w:val="24"/>
                <w:highlight w:val="none"/>
                <w:lang w:val="en-US" w:eastAsia="zh-CN"/>
                <w14:textFill>
                  <w14:solidFill>
                    <w14:schemeClr w14:val="tx1"/>
                  </w14:solidFill>
                </w14:textFill>
              </w:rPr>
              <w:t>/次，每天1次，则搅拌罐冲洗用水量为300m</w:t>
            </w:r>
            <w:r>
              <w:rPr>
                <w:rFonts w:hint="eastAsia"/>
                <w:bCs/>
                <w:color w:val="000000" w:themeColor="text1"/>
                <w:kern w:val="0"/>
                <w:sz w:val="24"/>
                <w:highlight w:val="none"/>
                <w:vertAlign w:val="superscript"/>
                <w:lang w:val="en-US" w:eastAsia="zh-CN"/>
                <w14:textFill>
                  <w14:solidFill>
                    <w14:schemeClr w14:val="tx1"/>
                  </w14:solidFill>
                </w14:textFill>
              </w:rPr>
              <w:t>3</w:t>
            </w:r>
            <w:r>
              <w:rPr>
                <w:rFonts w:hint="eastAsia"/>
                <w:bCs/>
                <w:color w:val="000000" w:themeColor="text1"/>
                <w:kern w:val="0"/>
                <w:sz w:val="24"/>
                <w:highlight w:val="none"/>
                <w:lang w:val="en-US" w:eastAsia="zh-CN"/>
                <w14:textFill>
                  <w14:solidFill>
                    <w14:schemeClr w14:val="tx1"/>
                  </w14:solidFill>
                </w14:textFill>
              </w:rPr>
              <w:t>/a（1m</w:t>
            </w:r>
            <w:r>
              <w:rPr>
                <w:rFonts w:hint="eastAsia"/>
                <w:bCs/>
                <w:color w:val="000000" w:themeColor="text1"/>
                <w:kern w:val="0"/>
                <w:sz w:val="24"/>
                <w:highlight w:val="none"/>
                <w:vertAlign w:val="superscript"/>
                <w:lang w:val="en-US" w:eastAsia="zh-CN"/>
                <w14:textFill>
                  <w14:solidFill>
                    <w14:schemeClr w14:val="tx1"/>
                  </w14:solidFill>
                </w14:textFill>
              </w:rPr>
              <w:t>3</w:t>
            </w:r>
            <w:r>
              <w:rPr>
                <w:rFonts w:hint="eastAsia"/>
                <w:bCs/>
                <w:color w:val="000000" w:themeColor="text1"/>
                <w:kern w:val="0"/>
                <w:sz w:val="24"/>
                <w:highlight w:val="none"/>
                <w:lang w:val="en-US" w:eastAsia="zh-CN"/>
                <w14:textFill>
                  <w14:solidFill>
                    <w14:schemeClr w14:val="tx1"/>
                  </w14:solidFill>
                </w14:textFill>
              </w:rPr>
              <w:t>/d）。搅拌罐冲洗废水直接进入下次混凝土搅拌生产使用，清洗废水不出搅拌罐，不外排。</w:t>
            </w:r>
          </w:p>
          <w:p w14:paraId="48AD79B8">
            <w:pPr>
              <w:adjustRightInd w:val="0"/>
              <w:snapToGrid w:val="0"/>
              <w:spacing w:line="360" w:lineRule="auto"/>
              <w:ind w:firstLine="480" w:firstLineChars="200"/>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②管桩离心成型废水：</w:t>
            </w:r>
          </w:p>
          <w:p w14:paraId="32E1CE00">
            <w:pPr>
              <w:pStyle w:val="6"/>
              <w:spacing w:line="360" w:lineRule="auto"/>
              <w:ind w:firstLine="480"/>
              <w:rPr>
                <w:sz w:val="24"/>
                <w:highlight w:val="none"/>
              </w:rPr>
            </w:pPr>
            <w:r>
              <w:rPr>
                <w:rFonts w:hint="eastAsia"/>
                <w:color w:val="000000" w:themeColor="text1"/>
                <w:sz w:val="24"/>
                <w:highlight w:val="none"/>
                <w:lang w:val="en-US" w:eastAsia="zh-CN"/>
                <w14:textFill>
                  <w14:solidFill>
                    <w14:schemeClr w14:val="tx1"/>
                  </w14:solidFill>
                </w14:textFill>
              </w:rPr>
              <w:t>本项目管桩成型采用离心形式进行成型，在离心成型过程中物料中的水分在离心力的作用下从物料中脱除，离心成型工序废水产生量为物料含水量的15%，本项目混凝土搅拌工序加入的水量为</w:t>
            </w:r>
            <w:r>
              <w:rPr>
                <w:rFonts w:hint="eastAsia"/>
                <w:bCs/>
                <w:color w:val="000000" w:themeColor="text1"/>
                <w:sz w:val="24"/>
                <w:szCs w:val="24"/>
                <w:highlight w:val="none"/>
                <w:lang w:val="en-US" w:eastAsia="zh-CN"/>
                <w14:textFill>
                  <w14:solidFill>
                    <w14:schemeClr w14:val="tx1"/>
                  </w14:solidFill>
                </w14:textFill>
              </w:rPr>
              <w:t>5354.328</w:t>
            </w:r>
            <w:r>
              <w:rPr>
                <w:rFonts w:hint="eastAsia"/>
                <w:bCs/>
                <w:color w:val="000000" w:themeColor="text1"/>
                <w:kern w:val="0"/>
                <w:sz w:val="24"/>
                <w:szCs w:val="24"/>
                <w:highlight w:val="none"/>
                <w:lang w:val="en-US" w:eastAsia="zh-CN"/>
                <w14:textFill>
                  <w14:solidFill>
                    <w14:schemeClr w14:val="tx1"/>
                  </w14:solidFill>
                </w14:textFill>
              </w:rPr>
              <w:t>m</w:t>
            </w:r>
            <w:r>
              <w:rPr>
                <w:rFonts w:hint="eastAsia"/>
                <w:bCs/>
                <w:color w:val="000000" w:themeColor="text1"/>
                <w:kern w:val="0"/>
                <w:sz w:val="24"/>
                <w:szCs w:val="24"/>
                <w:highlight w:val="none"/>
                <w:vertAlign w:val="superscript"/>
                <w:lang w:val="en-US" w:eastAsia="zh-CN"/>
                <w14:textFill>
                  <w14:solidFill>
                    <w14:schemeClr w14:val="tx1"/>
                  </w14:solidFill>
                </w14:textFill>
              </w:rPr>
              <w:t>3</w:t>
            </w:r>
            <w:r>
              <w:rPr>
                <w:rFonts w:hint="eastAsia"/>
                <w:bCs/>
                <w:color w:val="000000" w:themeColor="text1"/>
                <w:kern w:val="0"/>
                <w:sz w:val="24"/>
                <w:szCs w:val="24"/>
                <w:highlight w:val="none"/>
                <w:lang w:val="en-US" w:eastAsia="zh-CN"/>
                <w14:textFill>
                  <w14:solidFill>
                    <w14:schemeClr w14:val="tx1"/>
                  </w14:solidFill>
                </w14:textFill>
              </w:rPr>
              <w:t>/a</w:t>
            </w:r>
            <w:r>
              <w:rPr>
                <w:rFonts w:hint="eastAsia"/>
                <w:bCs/>
                <w:color w:val="000000" w:themeColor="text1"/>
                <w:kern w:val="0"/>
                <w:sz w:val="24"/>
                <w:highlight w:val="none"/>
                <w:lang w:val="en-US" w:eastAsia="zh-CN"/>
                <w14:textFill>
                  <w14:solidFill>
                    <w14:schemeClr w14:val="tx1"/>
                  </w14:solidFill>
                </w14:textFill>
              </w:rPr>
              <w:t>，则离心成型工序废水量为803.15m</w:t>
            </w:r>
            <w:r>
              <w:rPr>
                <w:rFonts w:hint="eastAsia"/>
                <w:bCs/>
                <w:color w:val="000000" w:themeColor="text1"/>
                <w:kern w:val="0"/>
                <w:sz w:val="24"/>
                <w:highlight w:val="none"/>
                <w:vertAlign w:val="superscript"/>
                <w:lang w:val="en-US" w:eastAsia="zh-CN"/>
                <w14:textFill>
                  <w14:solidFill>
                    <w14:schemeClr w14:val="tx1"/>
                  </w14:solidFill>
                </w14:textFill>
              </w:rPr>
              <w:t>3</w:t>
            </w:r>
            <w:r>
              <w:rPr>
                <w:rFonts w:hint="eastAsia"/>
                <w:bCs/>
                <w:color w:val="000000" w:themeColor="text1"/>
                <w:kern w:val="0"/>
                <w:sz w:val="24"/>
                <w:highlight w:val="none"/>
                <w:lang w:val="en-US" w:eastAsia="zh-CN"/>
                <w14:textFill>
                  <w14:solidFill>
                    <w14:schemeClr w14:val="tx1"/>
                  </w14:solidFill>
                </w14:textFill>
              </w:rPr>
              <w:t>/a，离心成型工序产生的废水全部回用于混凝土生产用水，不外排。</w:t>
            </w:r>
          </w:p>
          <w:p w14:paraId="37CD8A50">
            <w:pPr>
              <w:adjustRightInd w:val="0"/>
              <w:snapToGrid w:val="0"/>
              <w:spacing w:line="360" w:lineRule="auto"/>
              <w:ind w:firstLine="440" w:firstLineChars="200"/>
              <w:rPr>
                <w:rFonts w:hint="default" w:eastAsia="宋体"/>
                <w:bCs/>
                <w:spacing w:val="-10"/>
                <w:sz w:val="24"/>
                <w:highlight w:val="none"/>
                <w:lang w:val="en-US" w:eastAsia="zh-CN"/>
              </w:rPr>
            </w:pPr>
            <w:r>
              <w:rPr>
                <w:rFonts w:hint="eastAsia"/>
                <w:bCs/>
                <w:spacing w:val="-10"/>
                <w:sz w:val="24"/>
                <w:highlight w:val="none"/>
                <w:lang w:val="en-US" w:eastAsia="zh-CN"/>
              </w:rPr>
              <w:t>综上所述，本项目生产废水和生活污水均可得到有效处理，不外排，不会对水环境造成不良影响。</w:t>
            </w:r>
          </w:p>
          <w:p w14:paraId="40B32C11">
            <w:pPr>
              <w:adjustRightInd w:val="0"/>
              <w:snapToGrid w:val="0"/>
              <w:spacing w:line="360" w:lineRule="auto"/>
              <w:rPr>
                <w:b/>
                <w:bCs w:val="0"/>
                <w:spacing w:val="-10"/>
                <w:sz w:val="24"/>
                <w:highlight w:val="none"/>
              </w:rPr>
            </w:pPr>
            <w:r>
              <w:rPr>
                <w:b/>
                <w:bCs w:val="0"/>
                <w:spacing w:val="-10"/>
                <w:sz w:val="24"/>
                <w:highlight w:val="none"/>
              </w:rPr>
              <w:t>3</w:t>
            </w:r>
            <w:r>
              <w:rPr>
                <w:rFonts w:hint="eastAsia"/>
                <w:b/>
                <w:bCs w:val="0"/>
                <w:spacing w:val="-10"/>
                <w:sz w:val="24"/>
                <w:highlight w:val="none"/>
                <w:lang w:val="en-US" w:eastAsia="zh-CN"/>
              </w:rPr>
              <w:t>.</w:t>
            </w:r>
            <w:r>
              <w:rPr>
                <w:b/>
                <w:bCs w:val="0"/>
                <w:spacing w:val="-10"/>
                <w:sz w:val="24"/>
                <w:highlight w:val="none"/>
              </w:rPr>
              <w:t>声环境影响分析</w:t>
            </w:r>
          </w:p>
          <w:p w14:paraId="34AE5F9E">
            <w:pPr>
              <w:spacing w:line="360" w:lineRule="auto"/>
              <w:ind w:firstLine="480" w:firstLineChars="200"/>
              <w:rPr>
                <w:sz w:val="24"/>
                <w:highlight w:val="none"/>
              </w:rPr>
            </w:pPr>
            <w:r>
              <w:rPr>
                <w:bCs/>
                <w:sz w:val="24"/>
                <w:highlight w:val="none"/>
              </w:rPr>
              <w:t>项目运营过程中主要为</w:t>
            </w:r>
            <w:r>
              <w:rPr>
                <w:rFonts w:hint="eastAsia"/>
                <w:bCs/>
                <w:sz w:val="24"/>
                <w:highlight w:val="none"/>
              </w:rPr>
              <w:t>搅拌机、装载机、叉车、皮带输送机、离心机、风机</w:t>
            </w:r>
            <w:r>
              <w:rPr>
                <w:bCs/>
                <w:sz w:val="24"/>
                <w:highlight w:val="none"/>
              </w:rPr>
              <w:t>等设备运行时产生的噪声，</w:t>
            </w:r>
            <w:r>
              <w:rPr>
                <w:rFonts w:hint="eastAsia"/>
                <w:bCs/>
                <w:sz w:val="24"/>
                <w:highlight w:val="none"/>
              </w:rPr>
              <w:t>噪声源强约为75~85</w:t>
            </w:r>
            <w:r>
              <w:rPr>
                <w:bCs/>
                <w:sz w:val="24"/>
                <w:highlight w:val="none"/>
              </w:rPr>
              <w:t>dB(A</w:t>
            </w:r>
            <w:r>
              <w:rPr>
                <w:rFonts w:hint="eastAsia"/>
                <w:bCs/>
                <w:sz w:val="24"/>
                <w:highlight w:val="none"/>
                <w:lang w:eastAsia="zh-CN"/>
              </w:rPr>
              <w:t>）</w:t>
            </w:r>
            <w:r>
              <w:rPr>
                <w:bCs/>
                <w:sz w:val="24"/>
                <w:highlight w:val="none"/>
              </w:rPr>
              <w:t>，</w:t>
            </w:r>
            <w:r>
              <w:rPr>
                <w:rFonts w:hint="eastAsia"/>
                <w:bCs/>
                <w:sz w:val="24"/>
                <w:highlight w:val="none"/>
              </w:rPr>
              <w:t>具体噪声值见下表</w:t>
            </w:r>
            <w:r>
              <w:rPr>
                <w:rFonts w:hint="eastAsia"/>
                <w:sz w:val="24"/>
                <w:highlight w:val="none"/>
              </w:rPr>
              <w:t>。</w:t>
            </w:r>
          </w:p>
          <w:p w14:paraId="20970944">
            <w:pPr>
              <w:keepNext w:val="0"/>
              <w:keepLines w:val="0"/>
              <w:pageBreakBefore w:val="0"/>
              <w:widowControl w:val="0"/>
              <w:kinsoku/>
              <w:wordWrap/>
              <w:overflowPunct/>
              <w:topLinePunct w:val="0"/>
              <w:autoSpaceDE/>
              <w:autoSpaceDN/>
              <w:bidi w:val="0"/>
              <w:adjustRightInd w:val="0"/>
              <w:snapToGrid w:val="0"/>
              <w:jc w:val="center"/>
              <w:textAlignment w:val="auto"/>
              <w:rPr>
                <w:b/>
                <w:bCs/>
                <w:sz w:val="24"/>
                <w:szCs w:val="24"/>
                <w:highlight w:val="none"/>
              </w:rPr>
            </w:pPr>
            <w:r>
              <w:rPr>
                <w:b/>
                <w:bCs/>
                <w:sz w:val="24"/>
                <w:szCs w:val="24"/>
                <w:highlight w:val="none"/>
              </w:rPr>
              <w:t>表4-</w:t>
            </w:r>
            <w:r>
              <w:rPr>
                <w:rFonts w:hint="eastAsia"/>
                <w:b/>
                <w:bCs/>
                <w:sz w:val="24"/>
                <w:szCs w:val="24"/>
                <w:highlight w:val="none"/>
              </w:rPr>
              <w:t xml:space="preserve">3 </w:t>
            </w:r>
            <w:r>
              <w:rPr>
                <w:b/>
                <w:bCs/>
                <w:sz w:val="24"/>
                <w:szCs w:val="24"/>
                <w:highlight w:val="none"/>
              </w:rPr>
              <w:t>噪声污染源源强</w:t>
            </w:r>
            <w:r>
              <w:rPr>
                <w:rFonts w:hint="eastAsia"/>
                <w:b/>
                <w:bCs/>
                <w:sz w:val="24"/>
                <w:szCs w:val="24"/>
                <w:highlight w:val="none"/>
              </w:rPr>
              <w:t>与治理措施</w:t>
            </w:r>
            <w:r>
              <w:rPr>
                <w:b/>
                <w:bCs/>
                <w:sz w:val="24"/>
                <w:szCs w:val="24"/>
                <w:highlight w:val="none"/>
              </w:rPr>
              <w:t>一览表</w:t>
            </w:r>
          </w:p>
          <w:tbl>
            <w:tblPr>
              <w:tblStyle w:val="31"/>
              <w:tblpPr w:leftFromText="180" w:rightFromText="180" w:vertAnchor="text" w:horzAnchor="page" w:tblpX="155" w:tblpY="148"/>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394"/>
              <w:gridCol w:w="1025"/>
              <w:gridCol w:w="1662"/>
              <w:gridCol w:w="1538"/>
              <w:gridCol w:w="1658"/>
            </w:tblGrid>
            <w:tr w14:paraId="3631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412" w:type="pct"/>
                  <w:vAlign w:val="center"/>
                </w:tcPr>
                <w:p w14:paraId="5D4B3983">
                  <w:pPr>
                    <w:bidi w:val="0"/>
                    <w:jc w:val="center"/>
                    <w:rPr>
                      <w:highlight w:val="none"/>
                    </w:rPr>
                  </w:pPr>
                  <w:r>
                    <w:rPr>
                      <w:rFonts w:hint="eastAsia"/>
                      <w:highlight w:val="none"/>
                    </w:rPr>
                    <w:t>序号</w:t>
                  </w:r>
                </w:p>
              </w:tc>
              <w:tc>
                <w:tcPr>
                  <w:tcW w:w="878" w:type="pct"/>
                  <w:vAlign w:val="center"/>
                </w:tcPr>
                <w:p w14:paraId="29EA3F31">
                  <w:pPr>
                    <w:bidi w:val="0"/>
                    <w:jc w:val="center"/>
                    <w:rPr>
                      <w:highlight w:val="none"/>
                    </w:rPr>
                  </w:pPr>
                  <w:r>
                    <w:rPr>
                      <w:rFonts w:hint="eastAsia"/>
                      <w:highlight w:val="none"/>
                    </w:rPr>
                    <w:t>名称</w:t>
                  </w:r>
                </w:p>
              </w:tc>
              <w:tc>
                <w:tcPr>
                  <w:tcW w:w="646" w:type="pct"/>
                  <w:vAlign w:val="center"/>
                </w:tcPr>
                <w:p w14:paraId="1A870428">
                  <w:pPr>
                    <w:bidi w:val="0"/>
                    <w:jc w:val="center"/>
                    <w:rPr>
                      <w:highlight w:val="none"/>
                    </w:rPr>
                  </w:pPr>
                  <w:r>
                    <w:rPr>
                      <w:rFonts w:hint="eastAsia"/>
                      <w:highlight w:val="none"/>
                    </w:rPr>
                    <w:t>数量</w:t>
                  </w:r>
                </w:p>
              </w:tc>
              <w:tc>
                <w:tcPr>
                  <w:tcW w:w="1047" w:type="pct"/>
                  <w:vAlign w:val="center"/>
                </w:tcPr>
                <w:p w14:paraId="48B745B4">
                  <w:pPr>
                    <w:bidi w:val="0"/>
                    <w:jc w:val="center"/>
                    <w:rPr>
                      <w:highlight w:val="none"/>
                    </w:rPr>
                  </w:pPr>
                  <w:r>
                    <w:rPr>
                      <w:rFonts w:hint="eastAsia"/>
                      <w:highlight w:val="none"/>
                    </w:rPr>
                    <w:t>位置</w:t>
                  </w:r>
                </w:p>
              </w:tc>
              <w:tc>
                <w:tcPr>
                  <w:tcW w:w="969" w:type="pct"/>
                  <w:vAlign w:val="center"/>
                </w:tcPr>
                <w:p w14:paraId="39F9D5B2">
                  <w:pPr>
                    <w:bidi w:val="0"/>
                    <w:jc w:val="center"/>
                    <w:rPr>
                      <w:highlight w:val="none"/>
                    </w:rPr>
                  </w:pPr>
                  <w:r>
                    <w:rPr>
                      <w:rFonts w:hint="eastAsia"/>
                      <w:highlight w:val="none"/>
                    </w:rPr>
                    <w:t>发生持续事件</w:t>
                  </w:r>
                </w:p>
              </w:tc>
              <w:tc>
                <w:tcPr>
                  <w:tcW w:w="1045" w:type="pct"/>
                  <w:vAlign w:val="center"/>
                </w:tcPr>
                <w:p w14:paraId="4087D632">
                  <w:pPr>
                    <w:bidi w:val="0"/>
                    <w:jc w:val="center"/>
                    <w:rPr>
                      <w:highlight w:val="none"/>
                    </w:rPr>
                  </w:pPr>
                  <w:r>
                    <w:rPr>
                      <w:rFonts w:hint="eastAsia"/>
                      <w:highlight w:val="none"/>
                    </w:rPr>
                    <w:t>声级dB</w:t>
                  </w:r>
                  <w:r>
                    <w:rPr>
                      <w:rFonts w:hint="eastAsia"/>
                      <w:highlight w:val="none"/>
                      <w:lang w:eastAsia="zh-CN"/>
                    </w:rPr>
                    <w:t>（</w:t>
                  </w:r>
                  <w:r>
                    <w:rPr>
                      <w:rFonts w:hint="eastAsia"/>
                      <w:highlight w:val="none"/>
                      <w:lang w:val="en-US" w:eastAsia="zh-CN"/>
                    </w:rPr>
                    <w:t>A</w:t>
                  </w:r>
                  <w:r>
                    <w:rPr>
                      <w:rFonts w:hint="eastAsia"/>
                      <w:highlight w:val="none"/>
                      <w:lang w:eastAsia="zh-CN"/>
                    </w:rPr>
                    <w:t>）</w:t>
                  </w:r>
                </w:p>
              </w:tc>
            </w:tr>
            <w:tr w14:paraId="4DDD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Align w:val="center"/>
                </w:tcPr>
                <w:p w14:paraId="1329016B">
                  <w:pPr>
                    <w:bidi w:val="0"/>
                    <w:jc w:val="center"/>
                    <w:rPr>
                      <w:highlight w:val="none"/>
                    </w:rPr>
                  </w:pPr>
                  <w:r>
                    <w:rPr>
                      <w:rFonts w:hint="eastAsia"/>
                      <w:highlight w:val="none"/>
                    </w:rPr>
                    <w:t>1</w:t>
                  </w:r>
                </w:p>
              </w:tc>
              <w:tc>
                <w:tcPr>
                  <w:tcW w:w="878" w:type="pct"/>
                  <w:vAlign w:val="center"/>
                </w:tcPr>
                <w:p w14:paraId="27282A48">
                  <w:pPr>
                    <w:bidi w:val="0"/>
                    <w:jc w:val="center"/>
                    <w:rPr>
                      <w:highlight w:val="none"/>
                    </w:rPr>
                  </w:pPr>
                  <w:r>
                    <w:rPr>
                      <w:rFonts w:hint="eastAsia"/>
                      <w:highlight w:val="none"/>
                    </w:rPr>
                    <w:t>搅拌机</w:t>
                  </w:r>
                </w:p>
              </w:tc>
              <w:tc>
                <w:tcPr>
                  <w:tcW w:w="646" w:type="pct"/>
                  <w:vAlign w:val="center"/>
                </w:tcPr>
                <w:p w14:paraId="4AEADFC7">
                  <w:pPr>
                    <w:bidi w:val="0"/>
                    <w:jc w:val="center"/>
                    <w:rPr>
                      <w:highlight w:val="none"/>
                    </w:rPr>
                  </w:pPr>
                  <w:r>
                    <w:rPr>
                      <w:rFonts w:hint="eastAsia"/>
                      <w:highlight w:val="none"/>
                    </w:rPr>
                    <w:t>1台</w:t>
                  </w:r>
                </w:p>
              </w:tc>
              <w:tc>
                <w:tcPr>
                  <w:tcW w:w="1047" w:type="pct"/>
                  <w:vAlign w:val="center"/>
                </w:tcPr>
                <w:p w14:paraId="2F97A40B">
                  <w:pPr>
                    <w:bidi w:val="0"/>
                    <w:jc w:val="center"/>
                    <w:rPr>
                      <w:highlight w:val="none"/>
                    </w:rPr>
                  </w:pPr>
                  <w:r>
                    <w:rPr>
                      <w:rFonts w:hint="eastAsia"/>
                      <w:highlight w:val="none"/>
                    </w:rPr>
                    <w:t>生产车间内</w:t>
                  </w:r>
                </w:p>
              </w:tc>
              <w:tc>
                <w:tcPr>
                  <w:tcW w:w="969" w:type="pct"/>
                  <w:vAlign w:val="center"/>
                </w:tcPr>
                <w:p w14:paraId="677D1029">
                  <w:pPr>
                    <w:bidi w:val="0"/>
                    <w:jc w:val="center"/>
                    <w:rPr>
                      <w:highlight w:val="none"/>
                    </w:rPr>
                  </w:pPr>
                  <w:r>
                    <w:rPr>
                      <w:rFonts w:hint="eastAsia"/>
                      <w:highlight w:val="none"/>
                    </w:rPr>
                    <w:t>8h</w:t>
                  </w:r>
                </w:p>
              </w:tc>
              <w:tc>
                <w:tcPr>
                  <w:tcW w:w="1045" w:type="pct"/>
                  <w:vAlign w:val="center"/>
                </w:tcPr>
                <w:p w14:paraId="43E1F0C0">
                  <w:pPr>
                    <w:bidi w:val="0"/>
                    <w:jc w:val="center"/>
                    <w:rPr>
                      <w:highlight w:val="none"/>
                    </w:rPr>
                  </w:pPr>
                  <w:r>
                    <w:rPr>
                      <w:rFonts w:hint="eastAsia"/>
                      <w:highlight w:val="none"/>
                    </w:rPr>
                    <w:t>75</w:t>
                  </w:r>
                </w:p>
              </w:tc>
            </w:tr>
            <w:tr w14:paraId="7D97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Align w:val="center"/>
                </w:tcPr>
                <w:p w14:paraId="52E474D8">
                  <w:pPr>
                    <w:bidi w:val="0"/>
                    <w:jc w:val="center"/>
                    <w:rPr>
                      <w:highlight w:val="none"/>
                    </w:rPr>
                  </w:pPr>
                  <w:r>
                    <w:rPr>
                      <w:rFonts w:hint="eastAsia"/>
                      <w:highlight w:val="none"/>
                    </w:rPr>
                    <w:t>2</w:t>
                  </w:r>
                </w:p>
              </w:tc>
              <w:tc>
                <w:tcPr>
                  <w:tcW w:w="878" w:type="pct"/>
                  <w:vAlign w:val="center"/>
                </w:tcPr>
                <w:p w14:paraId="21636155">
                  <w:pPr>
                    <w:bidi w:val="0"/>
                    <w:jc w:val="center"/>
                    <w:rPr>
                      <w:highlight w:val="none"/>
                    </w:rPr>
                  </w:pPr>
                  <w:r>
                    <w:rPr>
                      <w:rFonts w:hint="eastAsia"/>
                      <w:highlight w:val="none"/>
                    </w:rPr>
                    <w:t>装载机</w:t>
                  </w:r>
                </w:p>
              </w:tc>
              <w:tc>
                <w:tcPr>
                  <w:tcW w:w="646" w:type="pct"/>
                  <w:vAlign w:val="center"/>
                </w:tcPr>
                <w:p w14:paraId="7C99ABB4">
                  <w:pPr>
                    <w:bidi w:val="0"/>
                    <w:jc w:val="center"/>
                    <w:rPr>
                      <w:highlight w:val="none"/>
                    </w:rPr>
                  </w:pPr>
                  <w:r>
                    <w:rPr>
                      <w:rFonts w:hint="eastAsia"/>
                      <w:highlight w:val="none"/>
                    </w:rPr>
                    <w:t>1台</w:t>
                  </w:r>
                </w:p>
              </w:tc>
              <w:tc>
                <w:tcPr>
                  <w:tcW w:w="1047" w:type="pct"/>
                  <w:vAlign w:val="center"/>
                </w:tcPr>
                <w:p w14:paraId="2E5D1094">
                  <w:pPr>
                    <w:bidi w:val="0"/>
                    <w:jc w:val="center"/>
                    <w:rPr>
                      <w:highlight w:val="none"/>
                    </w:rPr>
                  </w:pPr>
                  <w:r>
                    <w:rPr>
                      <w:rFonts w:hint="eastAsia"/>
                      <w:highlight w:val="none"/>
                    </w:rPr>
                    <w:t>生产车间内</w:t>
                  </w:r>
                </w:p>
              </w:tc>
              <w:tc>
                <w:tcPr>
                  <w:tcW w:w="969" w:type="pct"/>
                  <w:vAlign w:val="center"/>
                </w:tcPr>
                <w:p w14:paraId="4351BEBB">
                  <w:pPr>
                    <w:bidi w:val="0"/>
                    <w:jc w:val="center"/>
                    <w:rPr>
                      <w:highlight w:val="none"/>
                    </w:rPr>
                  </w:pPr>
                  <w:r>
                    <w:rPr>
                      <w:rFonts w:hint="eastAsia"/>
                      <w:highlight w:val="none"/>
                    </w:rPr>
                    <w:t>8h</w:t>
                  </w:r>
                </w:p>
              </w:tc>
              <w:tc>
                <w:tcPr>
                  <w:tcW w:w="1045" w:type="pct"/>
                  <w:vAlign w:val="center"/>
                </w:tcPr>
                <w:p w14:paraId="320ED1EB">
                  <w:pPr>
                    <w:bidi w:val="0"/>
                    <w:jc w:val="center"/>
                    <w:rPr>
                      <w:highlight w:val="none"/>
                    </w:rPr>
                  </w:pPr>
                  <w:r>
                    <w:rPr>
                      <w:rFonts w:hint="eastAsia"/>
                      <w:highlight w:val="none"/>
                    </w:rPr>
                    <w:t>80</w:t>
                  </w:r>
                </w:p>
              </w:tc>
            </w:tr>
            <w:tr w14:paraId="1EF47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Align w:val="center"/>
                </w:tcPr>
                <w:p w14:paraId="4900864F">
                  <w:pPr>
                    <w:bidi w:val="0"/>
                    <w:jc w:val="center"/>
                    <w:rPr>
                      <w:highlight w:val="none"/>
                    </w:rPr>
                  </w:pPr>
                  <w:r>
                    <w:rPr>
                      <w:rFonts w:hint="eastAsia"/>
                      <w:highlight w:val="none"/>
                    </w:rPr>
                    <w:t>3</w:t>
                  </w:r>
                </w:p>
              </w:tc>
              <w:tc>
                <w:tcPr>
                  <w:tcW w:w="878" w:type="pct"/>
                  <w:vAlign w:val="center"/>
                </w:tcPr>
                <w:p w14:paraId="342D62BC">
                  <w:pPr>
                    <w:bidi w:val="0"/>
                    <w:jc w:val="center"/>
                    <w:rPr>
                      <w:highlight w:val="none"/>
                    </w:rPr>
                  </w:pPr>
                  <w:r>
                    <w:rPr>
                      <w:rFonts w:hint="eastAsia"/>
                      <w:highlight w:val="none"/>
                    </w:rPr>
                    <w:t>叉车</w:t>
                  </w:r>
                </w:p>
              </w:tc>
              <w:tc>
                <w:tcPr>
                  <w:tcW w:w="646" w:type="pct"/>
                  <w:vAlign w:val="center"/>
                </w:tcPr>
                <w:p w14:paraId="4C319E90">
                  <w:pPr>
                    <w:bidi w:val="0"/>
                    <w:jc w:val="center"/>
                    <w:rPr>
                      <w:highlight w:val="none"/>
                    </w:rPr>
                  </w:pPr>
                  <w:r>
                    <w:rPr>
                      <w:rFonts w:hint="eastAsia"/>
                      <w:highlight w:val="none"/>
                    </w:rPr>
                    <w:t>1台</w:t>
                  </w:r>
                </w:p>
              </w:tc>
              <w:tc>
                <w:tcPr>
                  <w:tcW w:w="1047" w:type="pct"/>
                  <w:vAlign w:val="center"/>
                </w:tcPr>
                <w:p w14:paraId="269CD31B">
                  <w:pPr>
                    <w:bidi w:val="0"/>
                    <w:jc w:val="center"/>
                    <w:rPr>
                      <w:highlight w:val="none"/>
                    </w:rPr>
                  </w:pPr>
                  <w:r>
                    <w:rPr>
                      <w:rFonts w:hint="eastAsia"/>
                      <w:highlight w:val="none"/>
                    </w:rPr>
                    <w:t>生产车间内</w:t>
                  </w:r>
                </w:p>
              </w:tc>
              <w:tc>
                <w:tcPr>
                  <w:tcW w:w="969" w:type="pct"/>
                  <w:vAlign w:val="center"/>
                </w:tcPr>
                <w:p w14:paraId="695B6FA6">
                  <w:pPr>
                    <w:bidi w:val="0"/>
                    <w:jc w:val="center"/>
                    <w:rPr>
                      <w:highlight w:val="none"/>
                    </w:rPr>
                  </w:pPr>
                  <w:r>
                    <w:rPr>
                      <w:rFonts w:hint="eastAsia"/>
                      <w:highlight w:val="none"/>
                    </w:rPr>
                    <w:t>4h</w:t>
                  </w:r>
                </w:p>
              </w:tc>
              <w:tc>
                <w:tcPr>
                  <w:tcW w:w="1045" w:type="pct"/>
                  <w:vAlign w:val="center"/>
                </w:tcPr>
                <w:p w14:paraId="73D72006">
                  <w:pPr>
                    <w:bidi w:val="0"/>
                    <w:jc w:val="center"/>
                    <w:rPr>
                      <w:highlight w:val="none"/>
                    </w:rPr>
                  </w:pPr>
                  <w:r>
                    <w:rPr>
                      <w:rFonts w:hint="eastAsia"/>
                      <w:highlight w:val="none"/>
                    </w:rPr>
                    <w:t>75</w:t>
                  </w:r>
                </w:p>
              </w:tc>
            </w:tr>
            <w:tr w14:paraId="3D264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Align w:val="center"/>
                </w:tcPr>
                <w:p w14:paraId="234D6C86">
                  <w:pPr>
                    <w:bidi w:val="0"/>
                    <w:jc w:val="center"/>
                    <w:rPr>
                      <w:highlight w:val="none"/>
                    </w:rPr>
                  </w:pPr>
                  <w:r>
                    <w:rPr>
                      <w:rFonts w:hint="eastAsia"/>
                      <w:highlight w:val="none"/>
                    </w:rPr>
                    <w:t>4</w:t>
                  </w:r>
                </w:p>
              </w:tc>
              <w:tc>
                <w:tcPr>
                  <w:tcW w:w="878" w:type="pct"/>
                  <w:vAlign w:val="center"/>
                </w:tcPr>
                <w:p w14:paraId="6C491829">
                  <w:pPr>
                    <w:bidi w:val="0"/>
                    <w:jc w:val="center"/>
                    <w:rPr>
                      <w:highlight w:val="none"/>
                    </w:rPr>
                  </w:pPr>
                  <w:r>
                    <w:rPr>
                      <w:rFonts w:hint="eastAsia"/>
                      <w:highlight w:val="none"/>
                    </w:rPr>
                    <w:t>皮带输送机</w:t>
                  </w:r>
                </w:p>
              </w:tc>
              <w:tc>
                <w:tcPr>
                  <w:tcW w:w="646" w:type="pct"/>
                  <w:vAlign w:val="center"/>
                </w:tcPr>
                <w:p w14:paraId="4B30C1AC">
                  <w:pPr>
                    <w:bidi w:val="0"/>
                    <w:jc w:val="center"/>
                    <w:rPr>
                      <w:highlight w:val="none"/>
                    </w:rPr>
                  </w:pPr>
                  <w:r>
                    <w:rPr>
                      <w:rFonts w:hint="eastAsia"/>
                      <w:highlight w:val="none"/>
                    </w:rPr>
                    <w:t>2套</w:t>
                  </w:r>
                </w:p>
              </w:tc>
              <w:tc>
                <w:tcPr>
                  <w:tcW w:w="1047" w:type="pct"/>
                  <w:vAlign w:val="center"/>
                </w:tcPr>
                <w:p w14:paraId="2882C92A">
                  <w:pPr>
                    <w:bidi w:val="0"/>
                    <w:jc w:val="center"/>
                    <w:rPr>
                      <w:highlight w:val="none"/>
                    </w:rPr>
                  </w:pPr>
                  <w:r>
                    <w:rPr>
                      <w:rFonts w:hint="eastAsia"/>
                      <w:highlight w:val="none"/>
                    </w:rPr>
                    <w:t>生产车间内</w:t>
                  </w:r>
                </w:p>
              </w:tc>
              <w:tc>
                <w:tcPr>
                  <w:tcW w:w="969" w:type="pct"/>
                  <w:vAlign w:val="center"/>
                </w:tcPr>
                <w:p w14:paraId="3C6C1664">
                  <w:pPr>
                    <w:bidi w:val="0"/>
                    <w:jc w:val="center"/>
                    <w:rPr>
                      <w:highlight w:val="none"/>
                    </w:rPr>
                  </w:pPr>
                  <w:r>
                    <w:rPr>
                      <w:rFonts w:hint="eastAsia"/>
                      <w:highlight w:val="none"/>
                    </w:rPr>
                    <w:t>8h</w:t>
                  </w:r>
                </w:p>
              </w:tc>
              <w:tc>
                <w:tcPr>
                  <w:tcW w:w="1045" w:type="pct"/>
                  <w:vAlign w:val="center"/>
                </w:tcPr>
                <w:p w14:paraId="19A3D4C5">
                  <w:pPr>
                    <w:bidi w:val="0"/>
                    <w:jc w:val="center"/>
                    <w:rPr>
                      <w:highlight w:val="none"/>
                    </w:rPr>
                  </w:pPr>
                  <w:r>
                    <w:rPr>
                      <w:rFonts w:hint="eastAsia"/>
                      <w:highlight w:val="none"/>
                    </w:rPr>
                    <w:t>75</w:t>
                  </w:r>
                </w:p>
              </w:tc>
            </w:tr>
            <w:tr w14:paraId="7D2D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Align w:val="center"/>
                </w:tcPr>
                <w:p w14:paraId="006230C4">
                  <w:pPr>
                    <w:bidi w:val="0"/>
                    <w:jc w:val="center"/>
                    <w:rPr>
                      <w:highlight w:val="none"/>
                    </w:rPr>
                  </w:pPr>
                  <w:r>
                    <w:rPr>
                      <w:rFonts w:hint="eastAsia"/>
                      <w:highlight w:val="none"/>
                    </w:rPr>
                    <w:t>5</w:t>
                  </w:r>
                </w:p>
              </w:tc>
              <w:tc>
                <w:tcPr>
                  <w:tcW w:w="878" w:type="pct"/>
                  <w:vAlign w:val="center"/>
                </w:tcPr>
                <w:p w14:paraId="51F57A10">
                  <w:pPr>
                    <w:bidi w:val="0"/>
                    <w:jc w:val="center"/>
                    <w:rPr>
                      <w:highlight w:val="none"/>
                    </w:rPr>
                  </w:pPr>
                  <w:r>
                    <w:rPr>
                      <w:rFonts w:hint="eastAsia"/>
                      <w:highlight w:val="none"/>
                    </w:rPr>
                    <w:t>离心机</w:t>
                  </w:r>
                </w:p>
              </w:tc>
              <w:tc>
                <w:tcPr>
                  <w:tcW w:w="646" w:type="pct"/>
                  <w:vAlign w:val="center"/>
                </w:tcPr>
                <w:p w14:paraId="51588DC2">
                  <w:pPr>
                    <w:bidi w:val="0"/>
                    <w:jc w:val="center"/>
                    <w:rPr>
                      <w:highlight w:val="none"/>
                    </w:rPr>
                  </w:pPr>
                  <w:r>
                    <w:rPr>
                      <w:rFonts w:hint="eastAsia"/>
                      <w:highlight w:val="none"/>
                    </w:rPr>
                    <w:t>1台</w:t>
                  </w:r>
                </w:p>
              </w:tc>
              <w:tc>
                <w:tcPr>
                  <w:tcW w:w="1047" w:type="pct"/>
                  <w:vAlign w:val="center"/>
                </w:tcPr>
                <w:p w14:paraId="4D431A73">
                  <w:pPr>
                    <w:bidi w:val="0"/>
                    <w:jc w:val="center"/>
                    <w:rPr>
                      <w:highlight w:val="none"/>
                    </w:rPr>
                  </w:pPr>
                  <w:r>
                    <w:rPr>
                      <w:rFonts w:hint="eastAsia"/>
                      <w:highlight w:val="none"/>
                    </w:rPr>
                    <w:t>生产车间内</w:t>
                  </w:r>
                </w:p>
              </w:tc>
              <w:tc>
                <w:tcPr>
                  <w:tcW w:w="969" w:type="pct"/>
                  <w:vAlign w:val="center"/>
                </w:tcPr>
                <w:p w14:paraId="225A98DA">
                  <w:pPr>
                    <w:bidi w:val="0"/>
                    <w:jc w:val="center"/>
                    <w:rPr>
                      <w:highlight w:val="none"/>
                    </w:rPr>
                  </w:pPr>
                  <w:r>
                    <w:rPr>
                      <w:rFonts w:hint="eastAsia"/>
                      <w:highlight w:val="none"/>
                    </w:rPr>
                    <w:t>8h</w:t>
                  </w:r>
                </w:p>
              </w:tc>
              <w:tc>
                <w:tcPr>
                  <w:tcW w:w="1045" w:type="pct"/>
                  <w:vAlign w:val="center"/>
                </w:tcPr>
                <w:p w14:paraId="08A6AC54">
                  <w:pPr>
                    <w:bidi w:val="0"/>
                    <w:jc w:val="center"/>
                    <w:rPr>
                      <w:highlight w:val="none"/>
                    </w:rPr>
                  </w:pPr>
                  <w:r>
                    <w:rPr>
                      <w:rFonts w:hint="eastAsia"/>
                      <w:highlight w:val="none"/>
                    </w:rPr>
                    <w:t>85</w:t>
                  </w:r>
                </w:p>
              </w:tc>
            </w:tr>
          </w:tbl>
          <w:p w14:paraId="200F17B6">
            <w:pPr>
              <w:spacing w:line="360" w:lineRule="auto"/>
              <w:ind w:firstLine="480" w:firstLineChars="200"/>
              <w:rPr>
                <w:sz w:val="24"/>
                <w:highlight w:val="none"/>
              </w:rPr>
            </w:pPr>
            <w:r>
              <w:rPr>
                <w:rFonts w:hint="eastAsia"/>
                <w:sz w:val="24"/>
                <w:highlight w:val="none"/>
              </w:rPr>
              <w:t>按照《环境影响评价技术导则 声环境》（HJ2.4-2021）的要求，计算项目运营期对厂界的贡献值。</w:t>
            </w:r>
          </w:p>
          <w:p w14:paraId="7E0D667F">
            <w:pPr>
              <w:spacing w:line="360" w:lineRule="auto"/>
              <w:ind w:firstLine="480" w:firstLineChars="200"/>
              <w:rPr>
                <w:sz w:val="24"/>
                <w:highlight w:val="none"/>
              </w:rPr>
            </w:pPr>
            <w:r>
              <w:rPr>
                <w:sz w:val="24"/>
                <w:highlight w:val="none"/>
              </w:rPr>
              <w:t>本项目噪声</w:t>
            </w:r>
            <w:r>
              <w:rPr>
                <w:rFonts w:hint="eastAsia"/>
                <w:sz w:val="24"/>
                <w:highlight w:val="none"/>
              </w:rPr>
              <w:t>贡献值</w:t>
            </w:r>
            <w:r>
              <w:rPr>
                <w:rFonts w:hint="eastAsia"/>
                <w:sz w:val="24"/>
                <w:highlight w:val="none"/>
                <w:lang w:eastAsia="zh-CN"/>
              </w:rPr>
              <w:t>的</w:t>
            </w:r>
            <w:r>
              <w:rPr>
                <w:rFonts w:hint="eastAsia"/>
                <w:sz w:val="24"/>
                <w:highlight w:val="none"/>
              </w:rPr>
              <w:t>计算公式为</w:t>
            </w:r>
            <w:r>
              <w:rPr>
                <w:sz w:val="24"/>
                <w:highlight w:val="none"/>
              </w:rPr>
              <w:t>：</w:t>
            </w:r>
          </w:p>
          <w:p w14:paraId="63221DFB">
            <w:pPr>
              <w:spacing w:line="360" w:lineRule="auto"/>
              <w:jc w:val="center"/>
              <w:rPr>
                <w:b/>
                <w:bCs/>
                <w:sz w:val="24"/>
                <w:highlight w:val="none"/>
              </w:rPr>
            </w:pPr>
            <w:r>
              <w:rPr>
                <w:rFonts w:hint="eastAsia"/>
                <w:b/>
                <w:bCs/>
                <w:position w:val="-30"/>
                <w:sz w:val="24"/>
                <w:highlight w:val="none"/>
              </w:rPr>
              <w:object>
                <v:shape id="_x0000_i1026" o:spt="75" type="#_x0000_t75" style="height:36pt;width:129.0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p>
          <w:p w14:paraId="2EE50C2A">
            <w:pPr>
              <w:spacing w:line="360" w:lineRule="auto"/>
              <w:ind w:firstLine="480" w:firstLineChars="200"/>
              <w:rPr>
                <w:sz w:val="24"/>
                <w:highlight w:val="none"/>
              </w:rPr>
            </w:pPr>
            <w:r>
              <w:rPr>
                <w:sz w:val="24"/>
                <w:highlight w:val="none"/>
              </w:rPr>
              <w:t>式中：</w:t>
            </w:r>
            <w:r>
              <w:rPr>
                <w:sz w:val="24"/>
                <w:highlight w:val="none"/>
              </w:rPr>
              <w:drawing>
                <wp:inline distT="0" distB="0" distL="114300" distR="114300">
                  <wp:extent cx="257175" cy="238125"/>
                  <wp:effectExtent l="0" t="0" r="9525" b="7620"/>
                  <wp:docPr id="1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
                          <pic:cNvPicPr>
                            <a:picLocks noChangeAspect="1"/>
                          </pic:cNvPicPr>
                        </pic:nvPicPr>
                        <pic:blipFill>
                          <a:blip r:embed="rId19"/>
                          <a:stretch>
                            <a:fillRect/>
                          </a:stretch>
                        </pic:blipFill>
                        <pic:spPr>
                          <a:xfrm>
                            <a:off x="0" y="0"/>
                            <a:ext cx="257175" cy="238125"/>
                          </a:xfrm>
                          <a:prstGeom prst="rect">
                            <a:avLst/>
                          </a:prstGeom>
                          <a:noFill/>
                          <a:ln>
                            <a:noFill/>
                          </a:ln>
                        </pic:spPr>
                      </pic:pic>
                    </a:graphicData>
                  </a:graphic>
                </wp:inline>
              </w:drawing>
            </w:r>
            <w:r>
              <w:rPr>
                <w:rFonts w:hint="eastAsia"/>
                <w:sz w:val="24"/>
                <w:highlight w:val="none"/>
              </w:rPr>
              <w:t>—噪声贡献值，dB；</w:t>
            </w:r>
          </w:p>
          <w:p w14:paraId="241062E7">
            <w:pPr>
              <w:spacing w:line="360" w:lineRule="auto"/>
              <w:ind w:firstLine="1200" w:firstLineChars="500"/>
              <w:rPr>
                <w:sz w:val="24"/>
                <w:highlight w:val="none"/>
              </w:rPr>
            </w:pPr>
            <w:r>
              <w:rPr>
                <w:rFonts w:hint="eastAsia"/>
                <w:i/>
                <w:iCs/>
                <w:sz w:val="24"/>
                <w:highlight w:val="none"/>
              </w:rPr>
              <w:t>T—</w:t>
            </w:r>
            <w:r>
              <w:rPr>
                <w:rFonts w:hint="eastAsia"/>
                <w:sz w:val="24"/>
                <w:highlight w:val="none"/>
              </w:rPr>
              <w:t>预测计算的时间段，s</w:t>
            </w:r>
            <w:r>
              <w:rPr>
                <w:sz w:val="24"/>
                <w:highlight w:val="none"/>
              </w:rPr>
              <w:t>；</w:t>
            </w:r>
          </w:p>
          <w:p w14:paraId="23AF01E0">
            <w:pPr>
              <w:spacing w:line="360" w:lineRule="auto"/>
              <w:ind w:firstLine="1200" w:firstLineChars="500"/>
              <w:rPr>
                <w:sz w:val="24"/>
                <w:highlight w:val="none"/>
              </w:rPr>
            </w:pPr>
            <w:r>
              <w:rPr>
                <w:rFonts w:hint="eastAsia"/>
                <w:i/>
                <w:iCs/>
                <w:sz w:val="24"/>
                <w:highlight w:val="none"/>
              </w:rPr>
              <w:t>t</w:t>
            </w:r>
            <w:r>
              <w:rPr>
                <w:rFonts w:hint="eastAsia"/>
                <w:i/>
                <w:iCs/>
                <w:sz w:val="24"/>
                <w:highlight w:val="none"/>
                <w:vertAlign w:val="subscript"/>
              </w:rPr>
              <w:t>i</w:t>
            </w:r>
            <w:r>
              <w:rPr>
                <w:rFonts w:hint="eastAsia"/>
                <w:i/>
                <w:iCs/>
                <w:sz w:val="24"/>
                <w:highlight w:val="none"/>
              </w:rPr>
              <w:t>—i</w:t>
            </w:r>
            <w:r>
              <w:rPr>
                <w:rFonts w:hint="eastAsia"/>
                <w:sz w:val="24"/>
                <w:highlight w:val="none"/>
              </w:rPr>
              <w:t>声源在</w:t>
            </w:r>
            <w:r>
              <w:rPr>
                <w:rFonts w:hint="eastAsia"/>
                <w:i/>
                <w:iCs/>
                <w:sz w:val="24"/>
                <w:highlight w:val="none"/>
              </w:rPr>
              <w:t>T</w:t>
            </w:r>
            <w:r>
              <w:rPr>
                <w:rFonts w:hint="eastAsia"/>
                <w:sz w:val="24"/>
                <w:highlight w:val="none"/>
              </w:rPr>
              <w:t>时间段内的运行时间，s</w:t>
            </w:r>
            <w:r>
              <w:rPr>
                <w:sz w:val="24"/>
                <w:highlight w:val="none"/>
              </w:rPr>
              <w:t>；</w:t>
            </w:r>
          </w:p>
          <w:p w14:paraId="0BE7AC92">
            <w:pPr>
              <w:spacing w:line="360" w:lineRule="auto"/>
              <w:ind w:firstLine="1200" w:firstLineChars="500"/>
              <w:rPr>
                <w:sz w:val="24"/>
                <w:highlight w:val="none"/>
              </w:rPr>
            </w:pPr>
            <w:r>
              <w:rPr>
                <w:rFonts w:hint="eastAsia"/>
                <w:i/>
                <w:iCs/>
                <w:sz w:val="24"/>
                <w:highlight w:val="none"/>
              </w:rPr>
              <w:t>L</w:t>
            </w:r>
            <w:r>
              <w:rPr>
                <w:rFonts w:hint="eastAsia"/>
                <w:i/>
                <w:iCs/>
                <w:sz w:val="24"/>
                <w:highlight w:val="none"/>
                <w:vertAlign w:val="subscript"/>
              </w:rPr>
              <w:t>Ai</w:t>
            </w:r>
            <w:r>
              <w:rPr>
                <w:rFonts w:hint="eastAsia"/>
                <w:i/>
                <w:iCs/>
                <w:sz w:val="24"/>
                <w:highlight w:val="none"/>
              </w:rPr>
              <w:t>—i</w:t>
            </w:r>
            <w:r>
              <w:rPr>
                <w:rFonts w:hint="eastAsia"/>
                <w:sz w:val="24"/>
                <w:highlight w:val="none"/>
              </w:rPr>
              <w:t>声源在预测点产生的等效连续A声级</w:t>
            </w:r>
            <w:r>
              <w:rPr>
                <w:rFonts w:hint="eastAsia"/>
                <w:highlight w:val="none"/>
              </w:rPr>
              <w:t>，dB</w:t>
            </w:r>
            <w:r>
              <w:rPr>
                <w:sz w:val="24"/>
                <w:highlight w:val="none"/>
              </w:rPr>
              <w:t>；</w:t>
            </w:r>
          </w:p>
          <w:p w14:paraId="51D4075F">
            <w:pPr>
              <w:spacing w:line="360" w:lineRule="auto"/>
              <w:ind w:firstLine="480" w:firstLineChars="200"/>
              <w:rPr>
                <w:sz w:val="24"/>
                <w:highlight w:val="none"/>
              </w:rPr>
            </w:pPr>
            <w:r>
              <w:rPr>
                <w:sz w:val="24"/>
                <w:highlight w:val="none"/>
              </w:rPr>
              <w:t>本项目噪声预测采用下列公式：</w:t>
            </w:r>
          </w:p>
          <w:p w14:paraId="4E2BB967">
            <w:pPr>
              <w:spacing w:line="360" w:lineRule="auto"/>
              <w:jc w:val="center"/>
              <w:rPr>
                <w:b/>
                <w:bCs/>
                <w:sz w:val="24"/>
                <w:highlight w:val="none"/>
              </w:rPr>
            </w:pPr>
            <w:r>
              <w:rPr>
                <w:rFonts w:hint="eastAsia"/>
                <w:b/>
                <w:bCs/>
                <w:position w:val="-14"/>
                <w:sz w:val="24"/>
                <w:highlight w:val="none"/>
              </w:rPr>
              <w:object>
                <v:shape id="_x0000_i1027" o:spt="75" type="#_x0000_t75" style="height:20.4pt;width:135.1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p>
          <w:p w14:paraId="7E7481DA">
            <w:pPr>
              <w:spacing w:line="360" w:lineRule="auto"/>
              <w:ind w:firstLine="480" w:firstLineChars="200"/>
              <w:rPr>
                <w:sz w:val="24"/>
                <w:highlight w:val="none"/>
              </w:rPr>
            </w:pPr>
            <w:r>
              <w:rPr>
                <w:sz w:val="24"/>
                <w:highlight w:val="none"/>
              </w:rPr>
              <w:t>式中：</w:t>
            </w:r>
            <w:r>
              <w:rPr>
                <w:sz w:val="24"/>
                <w:highlight w:val="none"/>
              </w:rPr>
              <w:drawing>
                <wp:inline distT="0" distB="0" distL="114300" distR="114300">
                  <wp:extent cx="209550" cy="238125"/>
                  <wp:effectExtent l="0" t="0" r="0" b="7620"/>
                  <wp:docPr id="1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
                          <pic:cNvPicPr>
                            <a:picLocks noChangeAspect="1"/>
                          </pic:cNvPicPr>
                        </pic:nvPicPr>
                        <pic:blipFill>
                          <a:blip r:embed="rId22"/>
                          <a:stretch>
                            <a:fillRect/>
                          </a:stretch>
                        </pic:blipFill>
                        <pic:spPr>
                          <a:xfrm>
                            <a:off x="0" y="0"/>
                            <a:ext cx="209550" cy="238125"/>
                          </a:xfrm>
                          <a:prstGeom prst="rect">
                            <a:avLst/>
                          </a:prstGeom>
                          <a:noFill/>
                          <a:ln>
                            <a:noFill/>
                          </a:ln>
                        </pic:spPr>
                      </pic:pic>
                    </a:graphicData>
                  </a:graphic>
                </wp:inline>
              </w:drawing>
            </w:r>
            <w:r>
              <w:rPr>
                <w:rFonts w:hint="eastAsia"/>
                <w:sz w:val="24"/>
                <w:highlight w:val="none"/>
              </w:rPr>
              <w:t>—预测点的噪声预测值，dB；</w:t>
            </w:r>
          </w:p>
          <w:p w14:paraId="56A67571">
            <w:pPr>
              <w:spacing w:line="360" w:lineRule="auto"/>
              <w:ind w:firstLine="1440" w:firstLineChars="600"/>
              <w:rPr>
                <w:sz w:val="24"/>
                <w:highlight w:val="none"/>
              </w:rPr>
            </w:pPr>
            <w:r>
              <w:rPr>
                <w:sz w:val="24"/>
                <w:highlight w:val="none"/>
              </w:rPr>
              <w:drawing>
                <wp:inline distT="0" distB="0" distL="114300" distR="114300">
                  <wp:extent cx="257175" cy="238125"/>
                  <wp:effectExtent l="0" t="0" r="9525" b="7620"/>
                  <wp:docPr id="1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7"/>
                          <pic:cNvPicPr>
                            <a:picLocks noChangeAspect="1"/>
                          </pic:cNvPicPr>
                        </pic:nvPicPr>
                        <pic:blipFill>
                          <a:blip r:embed="rId19"/>
                          <a:stretch>
                            <a:fillRect/>
                          </a:stretch>
                        </pic:blipFill>
                        <pic:spPr>
                          <a:xfrm>
                            <a:off x="0" y="0"/>
                            <a:ext cx="257175" cy="238125"/>
                          </a:xfrm>
                          <a:prstGeom prst="rect">
                            <a:avLst/>
                          </a:prstGeom>
                          <a:noFill/>
                          <a:ln>
                            <a:noFill/>
                          </a:ln>
                        </pic:spPr>
                      </pic:pic>
                    </a:graphicData>
                  </a:graphic>
                </wp:inline>
              </w:drawing>
            </w:r>
            <w:r>
              <w:rPr>
                <w:rFonts w:hint="eastAsia"/>
                <w:sz w:val="24"/>
                <w:highlight w:val="none"/>
              </w:rPr>
              <w:t>—建设项目声源在预测点产生的噪声贡献值，dB；</w:t>
            </w:r>
          </w:p>
          <w:p w14:paraId="4AF44398">
            <w:pPr>
              <w:spacing w:line="360" w:lineRule="auto"/>
              <w:ind w:firstLine="1440" w:firstLineChars="600"/>
              <w:rPr>
                <w:sz w:val="24"/>
                <w:highlight w:val="none"/>
              </w:rPr>
            </w:pPr>
            <w:r>
              <w:rPr>
                <w:rFonts w:hint="eastAsia"/>
                <w:sz w:val="24"/>
                <w:highlight w:val="none"/>
              </w:rPr>
              <w:drawing>
                <wp:inline distT="0" distB="0" distL="114300" distR="114300">
                  <wp:extent cx="283210" cy="251460"/>
                  <wp:effectExtent l="0" t="0" r="0" b="15875"/>
                  <wp:docPr id="1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8"/>
                          <pic:cNvPicPr>
                            <a:picLocks noChangeAspect="1"/>
                          </pic:cNvPicPr>
                        </pic:nvPicPr>
                        <pic:blipFill>
                          <a:blip r:embed="rId23"/>
                          <a:stretch>
                            <a:fillRect/>
                          </a:stretch>
                        </pic:blipFill>
                        <pic:spPr>
                          <a:xfrm>
                            <a:off x="0" y="0"/>
                            <a:ext cx="283210" cy="251460"/>
                          </a:xfrm>
                          <a:prstGeom prst="rect">
                            <a:avLst/>
                          </a:prstGeom>
                          <a:noFill/>
                          <a:ln>
                            <a:noFill/>
                          </a:ln>
                        </pic:spPr>
                      </pic:pic>
                    </a:graphicData>
                  </a:graphic>
                </wp:inline>
              </w:drawing>
            </w:r>
            <w:r>
              <w:rPr>
                <w:rFonts w:hint="eastAsia"/>
                <w:sz w:val="24"/>
                <w:highlight w:val="none"/>
              </w:rPr>
              <w:t>—预测点的背景噪声值，dB</w:t>
            </w:r>
            <w:r>
              <w:rPr>
                <w:sz w:val="24"/>
                <w:highlight w:val="none"/>
              </w:rPr>
              <w:t>；</w:t>
            </w:r>
          </w:p>
          <w:p w14:paraId="17D20C5E">
            <w:pPr>
              <w:spacing w:line="360" w:lineRule="auto"/>
              <w:ind w:firstLine="480" w:firstLineChars="200"/>
              <w:rPr>
                <w:sz w:val="24"/>
                <w:highlight w:val="none"/>
              </w:rPr>
            </w:pPr>
            <w:r>
              <w:rPr>
                <w:rFonts w:hint="eastAsia"/>
                <w:sz w:val="24"/>
                <w:highlight w:val="none"/>
              </w:rPr>
              <w:t>项目厂界预测结果如下：</w:t>
            </w:r>
          </w:p>
          <w:p w14:paraId="70312612">
            <w:pPr>
              <w:jc w:val="center"/>
              <w:rPr>
                <w:b/>
                <w:snapToGrid w:val="0"/>
                <w:kern w:val="0"/>
                <w:szCs w:val="21"/>
                <w:highlight w:val="none"/>
              </w:rPr>
            </w:pPr>
            <w:r>
              <w:rPr>
                <w:b/>
                <w:snapToGrid w:val="0"/>
                <w:kern w:val="0"/>
                <w:szCs w:val="21"/>
                <w:highlight w:val="none"/>
              </w:rPr>
              <w:t>表</w:t>
            </w:r>
            <w:r>
              <w:rPr>
                <w:rFonts w:hint="eastAsia"/>
                <w:b/>
                <w:snapToGrid w:val="0"/>
                <w:kern w:val="0"/>
                <w:szCs w:val="21"/>
                <w:highlight w:val="none"/>
              </w:rPr>
              <w:t>4-4</w:t>
            </w:r>
            <w:r>
              <w:rPr>
                <w:b/>
                <w:snapToGrid w:val="0"/>
                <w:kern w:val="0"/>
                <w:szCs w:val="21"/>
                <w:highlight w:val="none"/>
              </w:rPr>
              <w:t xml:space="preserve"> </w:t>
            </w:r>
            <w:r>
              <w:rPr>
                <w:rFonts w:hint="eastAsia"/>
                <w:b/>
                <w:kern w:val="0"/>
                <w:szCs w:val="21"/>
                <w:highlight w:val="none"/>
              </w:rPr>
              <w:t>厂界噪声预测</w:t>
            </w:r>
            <w:r>
              <w:rPr>
                <w:b/>
                <w:kern w:val="0"/>
                <w:szCs w:val="21"/>
                <w:highlight w:val="none"/>
              </w:rPr>
              <w:t>结果一览表</w:t>
            </w:r>
            <w:r>
              <w:rPr>
                <w:rFonts w:hint="eastAsia" w:ascii="宋体" w:hAnsi="宋体" w:eastAsia="宋体" w:cs="宋体"/>
                <w:b/>
                <w:kern w:val="0"/>
                <w:szCs w:val="21"/>
                <w:highlight w:val="none"/>
              </w:rPr>
              <w:t>[</w:t>
            </w:r>
            <w:r>
              <w:rPr>
                <w:rFonts w:hint="eastAsia"/>
                <w:b/>
                <w:kern w:val="0"/>
                <w:szCs w:val="21"/>
                <w:highlight w:val="none"/>
              </w:rPr>
              <w:t>单位：dB（A）</w:t>
            </w:r>
            <w:r>
              <w:rPr>
                <w:rFonts w:hint="eastAsia" w:ascii="宋体" w:hAnsi="宋体" w:eastAsia="宋体" w:cs="宋体"/>
                <w:b/>
                <w:kern w:val="0"/>
                <w:szCs w:val="21"/>
                <w:highlight w:val="none"/>
              </w:rPr>
              <w:t>]</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1375"/>
              <w:gridCol w:w="2690"/>
              <w:gridCol w:w="2008"/>
            </w:tblGrid>
            <w:tr w14:paraId="37A8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72" w:type="pct"/>
                  <w:tcMar>
                    <w:left w:w="28" w:type="dxa"/>
                    <w:right w:w="28" w:type="dxa"/>
                  </w:tcMar>
                  <w:vAlign w:val="center"/>
                </w:tcPr>
                <w:p w14:paraId="288E7C06">
                  <w:pPr>
                    <w:jc w:val="center"/>
                    <w:rPr>
                      <w:szCs w:val="21"/>
                      <w:highlight w:val="none"/>
                    </w:rPr>
                  </w:pPr>
                  <w:r>
                    <w:rPr>
                      <w:rFonts w:hint="eastAsia"/>
                      <w:szCs w:val="21"/>
                      <w:highlight w:val="none"/>
                    </w:rPr>
                    <w:t>预测点</w:t>
                  </w:r>
                </w:p>
              </w:tc>
              <w:tc>
                <w:tcPr>
                  <w:tcW w:w="866" w:type="pct"/>
                  <w:tcMar>
                    <w:left w:w="28" w:type="dxa"/>
                    <w:right w:w="28" w:type="dxa"/>
                  </w:tcMar>
                  <w:vAlign w:val="center"/>
                </w:tcPr>
                <w:p w14:paraId="7D38B2D7">
                  <w:pPr>
                    <w:adjustRightInd w:val="0"/>
                    <w:snapToGrid w:val="0"/>
                    <w:jc w:val="center"/>
                    <w:textAlignment w:val="baseline"/>
                    <w:rPr>
                      <w:kern w:val="0"/>
                      <w:szCs w:val="21"/>
                      <w:highlight w:val="none"/>
                    </w:rPr>
                  </w:pPr>
                  <w:r>
                    <w:rPr>
                      <w:rFonts w:hint="eastAsia"/>
                      <w:szCs w:val="21"/>
                      <w:highlight w:val="none"/>
                    </w:rPr>
                    <w:t>噪声源</w:t>
                  </w:r>
                </w:p>
              </w:tc>
              <w:tc>
                <w:tcPr>
                  <w:tcW w:w="1695" w:type="pct"/>
                  <w:tcMar>
                    <w:left w:w="28" w:type="dxa"/>
                    <w:right w:w="28" w:type="dxa"/>
                  </w:tcMar>
                  <w:vAlign w:val="center"/>
                </w:tcPr>
                <w:p w14:paraId="0331D8F2">
                  <w:pPr>
                    <w:jc w:val="center"/>
                    <w:rPr>
                      <w:szCs w:val="21"/>
                      <w:highlight w:val="none"/>
                    </w:rPr>
                  </w:pPr>
                  <w:r>
                    <w:rPr>
                      <w:rFonts w:hint="eastAsia"/>
                      <w:sz w:val="24"/>
                      <w:highlight w:val="none"/>
                    </w:rPr>
                    <w:t>贡献值</w:t>
                  </w:r>
                </w:p>
              </w:tc>
              <w:tc>
                <w:tcPr>
                  <w:tcW w:w="1265" w:type="pct"/>
                  <w:vAlign w:val="center"/>
                </w:tcPr>
                <w:p w14:paraId="2A5C72B0">
                  <w:pPr>
                    <w:jc w:val="center"/>
                    <w:rPr>
                      <w:szCs w:val="21"/>
                      <w:highlight w:val="none"/>
                    </w:rPr>
                  </w:pPr>
                  <w:r>
                    <w:rPr>
                      <w:rFonts w:hint="eastAsia"/>
                      <w:szCs w:val="21"/>
                      <w:highlight w:val="none"/>
                    </w:rPr>
                    <w:t>标准值</w:t>
                  </w:r>
                </w:p>
              </w:tc>
            </w:tr>
            <w:tr w14:paraId="12C8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72" w:type="pct"/>
                  <w:tcMar>
                    <w:left w:w="28" w:type="dxa"/>
                    <w:right w:w="28" w:type="dxa"/>
                  </w:tcMar>
                  <w:vAlign w:val="center"/>
                </w:tcPr>
                <w:p w14:paraId="5A5B2095">
                  <w:pPr>
                    <w:jc w:val="center"/>
                    <w:rPr>
                      <w:szCs w:val="21"/>
                      <w:highlight w:val="none"/>
                    </w:rPr>
                  </w:pPr>
                  <w:r>
                    <w:rPr>
                      <w:rFonts w:hint="eastAsia"/>
                      <w:szCs w:val="21"/>
                      <w:highlight w:val="none"/>
                    </w:rPr>
                    <w:t>东厂界</w:t>
                  </w:r>
                </w:p>
              </w:tc>
              <w:tc>
                <w:tcPr>
                  <w:tcW w:w="866" w:type="pct"/>
                  <w:vMerge w:val="restart"/>
                  <w:tcMar>
                    <w:left w:w="28" w:type="dxa"/>
                    <w:right w:w="28" w:type="dxa"/>
                  </w:tcMar>
                  <w:vAlign w:val="center"/>
                </w:tcPr>
                <w:p w14:paraId="74FDC9C5">
                  <w:pPr>
                    <w:adjustRightInd w:val="0"/>
                    <w:snapToGrid w:val="0"/>
                    <w:jc w:val="center"/>
                    <w:textAlignment w:val="baseline"/>
                    <w:rPr>
                      <w:kern w:val="0"/>
                      <w:szCs w:val="21"/>
                      <w:highlight w:val="none"/>
                    </w:rPr>
                  </w:pPr>
                  <w:r>
                    <w:rPr>
                      <w:rFonts w:hint="eastAsia"/>
                      <w:szCs w:val="21"/>
                      <w:highlight w:val="none"/>
                    </w:rPr>
                    <w:t>80</w:t>
                  </w:r>
                </w:p>
              </w:tc>
              <w:tc>
                <w:tcPr>
                  <w:tcW w:w="1695" w:type="pct"/>
                  <w:tcMar>
                    <w:left w:w="28" w:type="dxa"/>
                    <w:right w:w="28" w:type="dxa"/>
                  </w:tcMar>
                  <w:vAlign w:val="center"/>
                </w:tcPr>
                <w:p w14:paraId="47327C02">
                  <w:pPr>
                    <w:jc w:val="center"/>
                    <w:rPr>
                      <w:szCs w:val="21"/>
                      <w:highlight w:val="none"/>
                    </w:rPr>
                  </w:pPr>
                  <w:r>
                    <w:rPr>
                      <w:rFonts w:hint="eastAsia"/>
                      <w:kern w:val="0"/>
                      <w:szCs w:val="21"/>
                      <w:highlight w:val="none"/>
                    </w:rPr>
                    <w:t>43.74</w:t>
                  </w:r>
                </w:p>
              </w:tc>
              <w:tc>
                <w:tcPr>
                  <w:tcW w:w="1265" w:type="pct"/>
                  <w:vAlign w:val="center"/>
                </w:tcPr>
                <w:p w14:paraId="76CC32DD">
                  <w:pPr>
                    <w:jc w:val="center"/>
                    <w:rPr>
                      <w:rFonts w:hint="eastAsia" w:eastAsia="宋体"/>
                      <w:szCs w:val="21"/>
                      <w:highlight w:val="none"/>
                      <w:lang w:eastAsia="zh-CN"/>
                    </w:rPr>
                  </w:pPr>
                  <w:r>
                    <w:rPr>
                      <w:rFonts w:hint="eastAsia"/>
                      <w:szCs w:val="21"/>
                      <w:highlight w:val="none"/>
                    </w:rPr>
                    <w:t>昼间6</w:t>
                  </w:r>
                  <w:r>
                    <w:rPr>
                      <w:rFonts w:hint="eastAsia"/>
                      <w:szCs w:val="21"/>
                      <w:highlight w:val="none"/>
                      <w:lang w:val="en-US" w:eastAsia="zh-CN"/>
                    </w:rPr>
                    <w:t>0</w:t>
                  </w:r>
                </w:p>
              </w:tc>
            </w:tr>
            <w:tr w14:paraId="79C37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72" w:type="pct"/>
                  <w:tcMar>
                    <w:left w:w="28" w:type="dxa"/>
                    <w:right w:w="28" w:type="dxa"/>
                  </w:tcMar>
                  <w:vAlign w:val="center"/>
                </w:tcPr>
                <w:p w14:paraId="25C5F570">
                  <w:pPr>
                    <w:jc w:val="center"/>
                    <w:rPr>
                      <w:szCs w:val="21"/>
                      <w:highlight w:val="none"/>
                    </w:rPr>
                  </w:pPr>
                  <w:r>
                    <w:rPr>
                      <w:rFonts w:hint="eastAsia"/>
                      <w:szCs w:val="21"/>
                      <w:highlight w:val="none"/>
                    </w:rPr>
                    <w:t>南厂界</w:t>
                  </w:r>
                </w:p>
              </w:tc>
              <w:tc>
                <w:tcPr>
                  <w:tcW w:w="866" w:type="pct"/>
                  <w:vMerge w:val="continue"/>
                  <w:tcMar>
                    <w:left w:w="28" w:type="dxa"/>
                    <w:right w:w="28" w:type="dxa"/>
                  </w:tcMar>
                  <w:vAlign w:val="center"/>
                </w:tcPr>
                <w:p w14:paraId="366580FC">
                  <w:pPr>
                    <w:adjustRightInd w:val="0"/>
                    <w:snapToGrid w:val="0"/>
                    <w:jc w:val="center"/>
                    <w:textAlignment w:val="baseline"/>
                    <w:rPr>
                      <w:kern w:val="0"/>
                      <w:szCs w:val="21"/>
                      <w:highlight w:val="none"/>
                    </w:rPr>
                  </w:pPr>
                </w:p>
              </w:tc>
              <w:tc>
                <w:tcPr>
                  <w:tcW w:w="1695" w:type="pct"/>
                  <w:tcMar>
                    <w:left w:w="28" w:type="dxa"/>
                    <w:right w:w="28" w:type="dxa"/>
                  </w:tcMar>
                  <w:vAlign w:val="center"/>
                </w:tcPr>
                <w:p w14:paraId="6F121F55">
                  <w:pPr>
                    <w:jc w:val="center"/>
                    <w:rPr>
                      <w:szCs w:val="21"/>
                      <w:highlight w:val="none"/>
                    </w:rPr>
                  </w:pPr>
                  <w:r>
                    <w:rPr>
                      <w:rFonts w:hint="eastAsia"/>
                      <w:szCs w:val="21"/>
                      <w:highlight w:val="none"/>
                    </w:rPr>
                    <w:t>45.46</w:t>
                  </w:r>
                </w:p>
              </w:tc>
              <w:tc>
                <w:tcPr>
                  <w:tcW w:w="1265" w:type="pct"/>
                  <w:vAlign w:val="center"/>
                </w:tcPr>
                <w:p w14:paraId="2548ED47">
                  <w:pPr>
                    <w:jc w:val="center"/>
                    <w:rPr>
                      <w:rFonts w:hint="eastAsia" w:eastAsia="宋体"/>
                      <w:szCs w:val="21"/>
                      <w:highlight w:val="none"/>
                      <w:lang w:eastAsia="zh-CN"/>
                    </w:rPr>
                  </w:pPr>
                  <w:r>
                    <w:rPr>
                      <w:rFonts w:hint="eastAsia"/>
                      <w:szCs w:val="21"/>
                      <w:highlight w:val="none"/>
                    </w:rPr>
                    <w:t>昼间6</w:t>
                  </w:r>
                  <w:r>
                    <w:rPr>
                      <w:rFonts w:hint="eastAsia"/>
                      <w:szCs w:val="21"/>
                      <w:highlight w:val="none"/>
                      <w:lang w:val="en-US" w:eastAsia="zh-CN"/>
                    </w:rPr>
                    <w:t>0</w:t>
                  </w:r>
                </w:p>
              </w:tc>
            </w:tr>
            <w:tr w14:paraId="402E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72" w:type="pct"/>
                  <w:tcMar>
                    <w:left w:w="28" w:type="dxa"/>
                    <w:right w:w="28" w:type="dxa"/>
                  </w:tcMar>
                  <w:vAlign w:val="center"/>
                </w:tcPr>
                <w:p w14:paraId="5AD64BCE">
                  <w:pPr>
                    <w:jc w:val="center"/>
                    <w:rPr>
                      <w:szCs w:val="21"/>
                      <w:highlight w:val="none"/>
                    </w:rPr>
                  </w:pPr>
                  <w:r>
                    <w:rPr>
                      <w:rFonts w:hint="eastAsia"/>
                      <w:szCs w:val="21"/>
                      <w:highlight w:val="none"/>
                    </w:rPr>
                    <w:t>西厂界</w:t>
                  </w:r>
                </w:p>
              </w:tc>
              <w:tc>
                <w:tcPr>
                  <w:tcW w:w="866" w:type="pct"/>
                  <w:vMerge w:val="continue"/>
                  <w:tcMar>
                    <w:left w:w="28" w:type="dxa"/>
                    <w:right w:w="28" w:type="dxa"/>
                  </w:tcMar>
                  <w:vAlign w:val="center"/>
                </w:tcPr>
                <w:p w14:paraId="6A270143">
                  <w:pPr>
                    <w:adjustRightInd w:val="0"/>
                    <w:snapToGrid w:val="0"/>
                    <w:jc w:val="center"/>
                    <w:textAlignment w:val="baseline"/>
                    <w:rPr>
                      <w:kern w:val="0"/>
                      <w:szCs w:val="21"/>
                      <w:highlight w:val="none"/>
                    </w:rPr>
                  </w:pPr>
                </w:p>
              </w:tc>
              <w:tc>
                <w:tcPr>
                  <w:tcW w:w="1695" w:type="pct"/>
                  <w:tcMar>
                    <w:left w:w="28" w:type="dxa"/>
                    <w:right w:w="28" w:type="dxa"/>
                  </w:tcMar>
                  <w:vAlign w:val="center"/>
                </w:tcPr>
                <w:p w14:paraId="756868F6">
                  <w:pPr>
                    <w:jc w:val="center"/>
                    <w:rPr>
                      <w:szCs w:val="21"/>
                      <w:highlight w:val="none"/>
                    </w:rPr>
                  </w:pPr>
                  <w:r>
                    <w:rPr>
                      <w:rFonts w:hint="eastAsia"/>
                      <w:szCs w:val="21"/>
                      <w:highlight w:val="none"/>
                    </w:rPr>
                    <w:t>22.82</w:t>
                  </w:r>
                </w:p>
              </w:tc>
              <w:tc>
                <w:tcPr>
                  <w:tcW w:w="1265" w:type="pct"/>
                  <w:vAlign w:val="center"/>
                </w:tcPr>
                <w:p w14:paraId="418FAEB6">
                  <w:pPr>
                    <w:jc w:val="center"/>
                    <w:rPr>
                      <w:rFonts w:hint="eastAsia" w:eastAsia="宋体"/>
                      <w:szCs w:val="21"/>
                      <w:highlight w:val="none"/>
                      <w:lang w:eastAsia="zh-CN"/>
                    </w:rPr>
                  </w:pPr>
                  <w:r>
                    <w:rPr>
                      <w:rFonts w:hint="eastAsia"/>
                      <w:szCs w:val="21"/>
                      <w:highlight w:val="none"/>
                    </w:rPr>
                    <w:t>昼间6</w:t>
                  </w:r>
                  <w:r>
                    <w:rPr>
                      <w:rFonts w:hint="eastAsia"/>
                      <w:szCs w:val="21"/>
                      <w:highlight w:val="none"/>
                      <w:lang w:val="en-US" w:eastAsia="zh-CN"/>
                    </w:rPr>
                    <w:t>0</w:t>
                  </w:r>
                </w:p>
              </w:tc>
            </w:tr>
            <w:tr w14:paraId="1684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72" w:type="pct"/>
                  <w:tcMar>
                    <w:left w:w="28" w:type="dxa"/>
                    <w:right w:w="28" w:type="dxa"/>
                  </w:tcMar>
                  <w:vAlign w:val="center"/>
                </w:tcPr>
                <w:p w14:paraId="4C59AD0A">
                  <w:pPr>
                    <w:jc w:val="center"/>
                    <w:rPr>
                      <w:szCs w:val="21"/>
                      <w:highlight w:val="none"/>
                    </w:rPr>
                  </w:pPr>
                  <w:r>
                    <w:rPr>
                      <w:rFonts w:hint="eastAsia"/>
                      <w:szCs w:val="21"/>
                      <w:highlight w:val="none"/>
                    </w:rPr>
                    <w:t>北厂界</w:t>
                  </w:r>
                </w:p>
              </w:tc>
              <w:tc>
                <w:tcPr>
                  <w:tcW w:w="866" w:type="pct"/>
                  <w:vMerge w:val="continue"/>
                  <w:tcMar>
                    <w:left w:w="28" w:type="dxa"/>
                    <w:right w:w="28" w:type="dxa"/>
                  </w:tcMar>
                  <w:vAlign w:val="center"/>
                </w:tcPr>
                <w:p w14:paraId="27502A15">
                  <w:pPr>
                    <w:adjustRightInd w:val="0"/>
                    <w:snapToGrid w:val="0"/>
                    <w:jc w:val="center"/>
                    <w:textAlignment w:val="baseline"/>
                    <w:rPr>
                      <w:kern w:val="0"/>
                      <w:szCs w:val="21"/>
                      <w:highlight w:val="none"/>
                    </w:rPr>
                  </w:pPr>
                </w:p>
              </w:tc>
              <w:tc>
                <w:tcPr>
                  <w:tcW w:w="1695" w:type="pct"/>
                  <w:tcMar>
                    <w:left w:w="28" w:type="dxa"/>
                    <w:right w:w="28" w:type="dxa"/>
                  </w:tcMar>
                  <w:vAlign w:val="center"/>
                </w:tcPr>
                <w:p w14:paraId="496B2C1D">
                  <w:pPr>
                    <w:jc w:val="center"/>
                    <w:rPr>
                      <w:szCs w:val="21"/>
                      <w:highlight w:val="none"/>
                    </w:rPr>
                  </w:pPr>
                  <w:r>
                    <w:rPr>
                      <w:rFonts w:hint="eastAsia"/>
                      <w:szCs w:val="21"/>
                      <w:highlight w:val="none"/>
                    </w:rPr>
                    <w:t>49.24</w:t>
                  </w:r>
                </w:p>
              </w:tc>
              <w:tc>
                <w:tcPr>
                  <w:tcW w:w="1265" w:type="pct"/>
                  <w:vAlign w:val="center"/>
                </w:tcPr>
                <w:p w14:paraId="2F882F20">
                  <w:pPr>
                    <w:jc w:val="center"/>
                    <w:rPr>
                      <w:rFonts w:hint="eastAsia" w:eastAsia="宋体"/>
                      <w:szCs w:val="21"/>
                      <w:highlight w:val="none"/>
                      <w:lang w:eastAsia="zh-CN"/>
                    </w:rPr>
                  </w:pPr>
                  <w:r>
                    <w:rPr>
                      <w:rFonts w:hint="eastAsia"/>
                      <w:szCs w:val="21"/>
                      <w:highlight w:val="none"/>
                    </w:rPr>
                    <w:t>昼间6</w:t>
                  </w:r>
                  <w:r>
                    <w:rPr>
                      <w:rFonts w:hint="eastAsia"/>
                      <w:szCs w:val="21"/>
                      <w:highlight w:val="none"/>
                      <w:lang w:val="en-US" w:eastAsia="zh-CN"/>
                    </w:rPr>
                    <w:t>0</w:t>
                  </w:r>
                </w:p>
              </w:tc>
            </w:tr>
          </w:tbl>
          <w:p w14:paraId="7A5DF927">
            <w:pPr>
              <w:adjustRightInd w:val="0"/>
              <w:snapToGrid w:val="0"/>
              <w:spacing w:line="360" w:lineRule="auto"/>
              <w:ind w:firstLine="480" w:firstLineChars="200"/>
              <w:rPr>
                <w:kern w:val="0"/>
                <w:sz w:val="24"/>
                <w:highlight w:val="none"/>
              </w:rPr>
            </w:pPr>
            <w:r>
              <w:rPr>
                <w:kern w:val="0"/>
                <w:sz w:val="24"/>
                <w:highlight w:val="none"/>
              </w:rPr>
              <w:t>由表</w:t>
            </w:r>
            <w:r>
              <w:rPr>
                <w:rFonts w:hint="eastAsia"/>
                <w:kern w:val="0"/>
                <w:sz w:val="24"/>
                <w:highlight w:val="none"/>
              </w:rPr>
              <w:t>4-8厂界噪声预测结果</w:t>
            </w:r>
            <w:r>
              <w:rPr>
                <w:kern w:val="0"/>
                <w:sz w:val="24"/>
                <w:highlight w:val="none"/>
              </w:rPr>
              <w:t>可知，</w:t>
            </w:r>
            <w:r>
              <w:rPr>
                <w:rFonts w:hint="eastAsia"/>
                <w:kern w:val="0"/>
                <w:sz w:val="24"/>
                <w:highlight w:val="none"/>
              </w:rPr>
              <w:t>在采取低噪声设备</w:t>
            </w:r>
            <w:r>
              <w:rPr>
                <w:rFonts w:hint="eastAsia"/>
                <w:kern w:val="0"/>
                <w:sz w:val="24"/>
                <w:highlight w:val="none"/>
                <w:lang w:eastAsia="zh-CN"/>
              </w:rPr>
              <w:t>、</w:t>
            </w:r>
            <w:r>
              <w:rPr>
                <w:rFonts w:hint="eastAsia"/>
                <w:kern w:val="0"/>
                <w:sz w:val="24"/>
                <w:highlight w:val="none"/>
              </w:rPr>
              <w:t>基础减震和厂房隔声等措施以及距离衰减后，厂界</w:t>
            </w:r>
            <w:r>
              <w:rPr>
                <w:kern w:val="0"/>
                <w:sz w:val="24"/>
                <w:highlight w:val="none"/>
              </w:rPr>
              <w:t>昼间噪声值在</w:t>
            </w:r>
            <w:r>
              <w:rPr>
                <w:rFonts w:hint="eastAsia"/>
                <w:kern w:val="0"/>
                <w:sz w:val="24"/>
                <w:highlight w:val="none"/>
              </w:rPr>
              <w:t>22.82</w:t>
            </w:r>
            <w:r>
              <w:rPr>
                <w:kern w:val="0"/>
                <w:sz w:val="24"/>
                <w:highlight w:val="none"/>
              </w:rPr>
              <w:t>-</w:t>
            </w:r>
            <w:r>
              <w:rPr>
                <w:rFonts w:hint="eastAsia"/>
                <w:kern w:val="0"/>
                <w:sz w:val="24"/>
                <w:highlight w:val="none"/>
              </w:rPr>
              <w:t>49.24</w:t>
            </w:r>
            <w:r>
              <w:rPr>
                <w:kern w:val="0"/>
                <w:sz w:val="24"/>
                <w:highlight w:val="none"/>
              </w:rPr>
              <w:t>dB</w:t>
            </w:r>
            <w:r>
              <w:rPr>
                <w:rFonts w:hint="eastAsia"/>
                <w:kern w:val="0"/>
                <w:sz w:val="24"/>
                <w:highlight w:val="none"/>
                <w:lang w:eastAsia="zh-CN"/>
              </w:rPr>
              <w:t>（</w:t>
            </w:r>
            <w:r>
              <w:rPr>
                <w:kern w:val="0"/>
                <w:sz w:val="24"/>
                <w:highlight w:val="none"/>
              </w:rPr>
              <w:t>A</w:t>
            </w:r>
            <w:r>
              <w:rPr>
                <w:rFonts w:hint="eastAsia"/>
                <w:kern w:val="0"/>
                <w:sz w:val="24"/>
                <w:highlight w:val="none"/>
                <w:lang w:eastAsia="zh-CN"/>
              </w:rPr>
              <w:t>）</w:t>
            </w:r>
            <w:r>
              <w:rPr>
                <w:kern w:val="0"/>
                <w:sz w:val="24"/>
                <w:highlight w:val="none"/>
              </w:rPr>
              <w:t>之间，</w:t>
            </w:r>
            <w:r>
              <w:rPr>
                <w:rFonts w:hint="eastAsia"/>
                <w:kern w:val="0"/>
                <w:sz w:val="24"/>
                <w:highlight w:val="none"/>
              </w:rPr>
              <w:t>项目厂界噪声能达到</w:t>
            </w:r>
            <w:r>
              <w:rPr>
                <w:bCs/>
                <w:sz w:val="24"/>
                <w:highlight w:val="none"/>
              </w:rPr>
              <w:t>《工业企业厂界环境噪声排放标准》（GB12348-2008）</w:t>
            </w:r>
            <w:r>
              <w:rPr>
                <w:rFonts w:hint="eastAsia"/>
                <w:bCs/>
                <w:sz w:val="24"/>
                <w:highlight w:val="none"/>
                <w:lang w:val="en-US" w:eastAsia="zh-CN"/>
              </w:rPr>
              <w:t>2</w:t>
            </w:r>
            <w:r>
              <w:rPr>
                <w:bCs/>
                <w:sz w:val="24"/>
                <w:highlight w:val="none"/>
              </w:rPr>
              <w:t>类标准</w:t>
            </w:r>
            <w:r>
              <w:rPr>
                <w:kern w:val="0"/>
                <w:sz w:val="24"/>
                <w:highlight w:val="none"/>
              </w:rPr>
              <w:t>要求。</w:t>
            </w:r>
            <w:r>
              <w:rPr>
                <w:rFonts w:hint="eastAsia"/>
                <w:kern w:val="0"/>
                <w:sz w:val="24"/>
                <w:highlight w:val="none"/>
              </w:rPr>
              <w:t>本项目周围</w:t>
            </w:r>
            <w:r>
              <w:rPr>
                <w:kern w:val="0"/>
                <w:sz w:val="24"/>
                <w:highlight w:val="none"/>
              </w:rPr>
              <w:t>50m</w:t>
            </w:r>
            <w:r>
              <w:rPr>
                <w:rFonts w:hint="eastAsia"/>
                <w:kern w:val="0"/>
                <w:sz w:val="24"/>
                <w:highlight w:val="none"/>
              </w:rPr>
              <w:t>内无声环境敏感点，</w:t>
            </w:r>
            <w:r>
              <w:rPr>
                <w:rFonts w:hint="eastAsia"/>
                <w:kern w:val="0"/>
                <w:sz w:val="24"/>
                <w:highlight w:val="none"/>
                <w:lang w:eastAsia="zh-CN"/>
              </w:rPr>
              <w:t>因此</w:t>
            </w:r>
            <w:r>
              <w:rPr>
                <w:rFonts w:hint="eastAsia"/>
                <w:kern w:val="0"/>
                <w:sz w:val="24"/>
                <w:highlight w:val="none"/>
              </w:rPr>
              <w:t>不会造成声环境污染。</w:t>
            </w:r>
          </w:p>
          <w:p w14:paraId="022C4582">
            <w:pPr>
              <w:adjustRightInd w:val="0"/>
              <w:snapToGrid w:val="0"/>
              <w:spacing w:line="360" w:lineRule="auto"/>
              <w:ind w:firstLine="480" w:firstLineChars="200"/>
              <w:rPr>
                <w:bCs/>
                <w:sz w:val="24"/>
                <w:highlight w:val="none"/>
              </w:rPr>
            </w:pPr>
            <w:r>
              <w:rPr>
                <w:bCs/>
                <w:sz w:val="24"/>
                <w:highlight w:val="none"/>
              </w:rPr>
              <w:t>项目拟采取</w:t>
            </w:r>
            <w:r>
              <w:rPr>
                <w:rFonts w:hint="eastAsia"/>
                <w:bCs/>
                <w:sz w:val="24"/>
                <w:highlight w:val="none"/>
                <w:lang w:eastAsia="zh-CN"/>
              </w:rPr>
              <w:t>的</w:t>
            </w:r>
            <w:r>
              <w:rPr>
                <w:bCs/>
                <w:sz w:val="24"/>
                <w:highlight w:val="none"/>
              </w:rPr>
              <w:t>噪声</w:t>
            </w:r>
            <w:r>
              <w:rPr>
                <w:rFonts w:hint="eastAsia"/>
                <w:bCs/>
                <w:sz w:val="24"/>
                <w:highlight w:val="none"/>
                <w:lang w:eastAsia="zh-CN"/>
              </w:rPr>
              <w:t>控制</w:t>
            </w:r>
            <w:r>
              <w:rPr>
                <w:bCs/>
                <w:sz w:val="24"/>
                <w:highlight w:val="none"/>
              </w:rPr>
              <w:t>措施还包括：</w:t>
            </w:r>
          </w:p>
          <w:p w14:paraId="777334E9">
            <w:pPr>
              <w:adjustRightInd w:val="0"/>
              <w:snapToGrid w:val="0"/>
              <w:spacing w:line="360" w:lineRule="auto"/>
              <w:ind w:firstLine="480" w:firstLineChars="200"/>
              <w:rPr>
                <w:bCs/>
                <w:sz w:val="24"/>
                <w:highlight w:val="none"/>
              </w:rPr>
            </w:pPr>
            <w:r>
              <w:rPr>
                <w:bCs/>
                <w:sz w:val="24"/>
                <w:highlight w:val="none"/>
              </w:rPr>
              <w:t>①</w:t>
            </w:r>
            <w:r>
              <w:rPr>
                <w:rFonts w:hint="eastAsia"/>
                <w:bCs/>
                <w:sz w:val="24"/>
                <w:highlight w:val="none"/>
              </w:rPr>
              <w:t>加强设备管理，使生产设备保持良好运转；</w:t>
            </w:r>
          </w:p>
          <w:p w14:paraId="19C1C0B1">
            <w:pPr>
              <w:adjustRightInd w:val="0"/>
              <w:snapToGrid w:val="0"/>
              <w:spacing w:line="360" w:lineRule="auto"/>
              <w:ind w:firstLine="480" w:firstLineChars="200"/>
              <w:rPr>
                <w:bCs/>
                <w:sz w:val="24"/>
                <w:highlight w:val="none"/>
              </w:rPr>
            </w:pPr>
            <w:r>
              <w:rPr>
                <w:rFonts w:hint="eastAsia"/>
                <w:bCs/>
                <w:sz w:val="24"/>
                <w:highlight w:val="none"/>
              </w:rPr>
              <w:t>②</w:t>
            </w:r>
            <w:r>
              <w:rPr>
                <w:bCs/>
                <w:sz w:val="24"/>
                <w:highlight w:val="none"/>
              </w:rPr>
              <w:t>在厂界四周、高噪声车间周围、厂区道路两侧种植灌木、乔木和绿化带，起到</w:t>
            </w:r>
            <w:r>
              <w:rPr>
                <w:rFonts w:hint="eastAsia"/>
                <w:bCs/>
                <w:sz w:val="24"/>
                <w:highlight w:val="none"/>
              </w:rPr>
              <w:t>减缓</w:t>
            </w:r>
            <w:r>
              <w:rPr>
                <w:bCs/>
                <w:sz w:val="24"/>
                <w:highlight w:val="none"/>
              </w:rPr>
              <w:t>噪声传播的作用；</w:t>
            </w:r>
          </w:p>
          <w:p w14:paraId="3909FC06">
            <w:pPr>
              <w:adjustRightInd w:val="0"/>
              <w:snapToGrid w:val="0"/>
              <w:spacing w:line="360" w:lineRule="auto"/>
              <w:ind w:firstLine="480" w:firstLineChars="200"/>
              <w:rPr>
                <w:bCs/>
                <w:sz w:val="24"/>
                <w:highlight w:val="none"/>
              </w:rPr>
            </w:pPr>
            <w:r>
              <w:rPr>
                <w:rFonts w:hint="eastAsia"/>
                <w:bCs/>
                <w:sz w:val="24"/>
                <w:highlight w:val="none"/>
              </w:rPr>
              <w:t>③</w:t>
            </w:r>
            <w:r>
              <w:rPr>
                <w:bCs/>
                <w:sz w:val="24"/>
                <w:highlight w:val="none"/>
              </w:rPr>
              <w:t>运营期加强调度管理，运输噪声多为偶发噪声，通过加强管理（如减速慢行、禁止鸣笛等），尽量减少夜间运输。</w:t>
            </w:r>
          </w:p>
          <w:p w14:paraId="4F165516">
            <w:pPr>
              <w:adjustRightInd w:val="0"/>
              <w:snapToGrid w:val="0"/>
              <w:spacing w:line="360" w:lineRule="auto"/>
              <w:ind w:firstLine="480" w:firstLineChars="200"/>
              <w:rPr>
                <w:bCs/>
                <w:spacing w:val="-10"/>
                <w:sz w:val="24"/>
                <w:highlight w:val="none"/>
              </w:rPr>
            </w:pPr>
            <w:r>
              <w:rPr>
                <w:bCs/>
                <w:sz w:val="24"/>
                <w:highlight w:val="none"/>
              </w:rPr>
              <w:t>各声源经采取以上措施后，可确保厂界噪声满足昼间≤6</w:t>
            </w:r>
            <w:r>
              <w:rPr>
                <w:rFonts w:hint="eastAsia"/>
                <w:bCs/>
                <w:sz w:val="24"/>
                <w:highlight w:val="none"/>
                <w:lang w:val="en-US" w:eastAsia="zh-CN"/>
              </w:rPr>
              <w:t>0</w:t>
            </w:r>
            <w:r>
              <w:rPr>
                <w:bCs/>
                <w:sz w:val="24"/>
                <w:highlight w:val="none"/>
              </w:rPr>
              <w:t>dB</w:t>
            </w:r>
            <w:r>
              <w:rPr>
                <w:rFonts w:hint="eastAsia"/>
                <w:bCs/>
                <w:sz w:val="24"/>
                <w:highlight w:val="none"/>
                <w:lang w:eastAsia="zh-CN"/>
              </w:rPr>
              <w:t>（</w:t>
            </w:r>
            <w:r>
              <w:rPr>
                <w:bCs/>
                <w:sz w:val="24"/>
                <w:highlight w:val="none"/>
              </w:rPr>
              <w:t>A</w:t>
            </w:r>
            <w:r>
              <w:rPr>
                <w:rFonts w:hint="eastAsia"/>
                <w:bCs/>
                <w:sz w:val="24"/>
                <w:highlight w:val="none"/>
                <w:lang w:eastAsia="zh-CN"/>
              </w:rPr>
              <w:t>）</w:t>
            </w:r>
            <w:r>
              <w:rPr>
                <w:bCs/>
                <w:sz w:val="24"/>
                <w:highlight w:val="none"/>
              </w:rPr>
              <w:t>、夜间≤5</w:t>
            </w:r>
            <w:r>
              <w:rPr>
                <w:rFonts w:hint="eastAsia"/>
                <w:bCs/>
                <w:sz w:val="24"/>
                <w:highlight w:val="none"/>
                <w:lang w:val="en-US" w:eastAsia="zh-CN"/>
              </w:rPr>
              <w:t>0</w:t>
            </w:r>
            <w:r>
              <w:rPr>
                <w:bCs/>
                <w:sz w:val="24"/>
                <w:highlight w:val="none"/>
              </w:rPr>
              <w:t>dB</w:t>
            </w:r>
            <w:r>
              <w:rPr>
                <w:rFonts w:hint="eastAsia"/>
                <w:bCs/>
                <w:sz w:val="24"/>
                <w:highlight w:val="none"/>
                <w:lang w:eastAsia="zh-CN"/>
              </w:rPr>
              <w:t>（</w:t>
            </w:r>
            <w:r>
              <w:rPr>
                <w:bCs/>
                <w:sz w:val="24"/>
                <w:highlight w:val="none"/>
              </w:rPr>
              <w:t>A</w:t>
            </w:r>
            <w:r>
              <w:rPr>
                <w:rFonts w:hint="eastAsia"/>
                <w:bCs/>
                <w:sz w:val="24"/>
                <w:highlight w:val="none"/>
                <w:lang w:eastAsia="zh-CN"/>
              </w:rPr>
              <w:t>）</w:t>
            </w:r>
            <w:r>
              <w:rPr>
                <w:bCs/>
                <w:sz w:val="24"/>
                <w:highlight w:val="none"/>
              </w:rPr>
              <w:t>，因此</w:t>
            </w:r>
            <w:r>
              <w:rPr>
                <w:rFonts w:hint="eastAsia"/>
                <w:bCs/>
                <w:sz w:val="24"/>
                <w:highlight w:val="none"/>
              </w:rPr>
              <w:t>本项目</w:t>
            </w:r>
            <w:r>
              <w:rPr>
                <w:bCs/>
                <w:sz w:val="24"/>
                <w:highlight w:val="none"/>
              </w:rPr>
              <w:t>产生的噪声对周边环境影响较小</w:t>
            </w:r>
            <w:r>
              <w:rPr>
                <w:bCs/>
                <w:spacing w:val="-10"/>
                <w:sz w:val="24"/>
                <w:highlight w:val="none"/>
              </w:rPr>
              <w:t>。</w:t>
            </w:r>
          </w:p>
          <w:p w14:paraId="26CAFDD7">
            <w:pPr>
              <w:adjustRightInd w:val="0"/>
              <w:snapToGrid w:val="0"/>
              <w:spacing w:line="360" w:lineRule="auto"/>
              <w:rPr>
                <w:b/>
                <w:bCs w:val="0"/>
                <w:spacing w:val="-10"/>
                <w:sz w:val="24"/>
                <w:highlight w:val="none"/>
              </w:rPr>
            </w:pPr>
            <w:r>
              <w:rPr>
                <w:b/>
                <w:bCs w:val="0"/>
                <w:spacing w:val="-10"/>
                <w:sz w:val="24"/>
                <w:highlight w:val="none"/>
              </w:rPr>
              <w:t>4</w:t>
            </w:r>
            <w:r>
              <w:rPr>
                <w:rFonts w:hint="eastAsia"/>
                <w:b/>
                <w:bCs w:val="0"/>
                <w:spacing w:val="-10"/>
                <w:sz w:val="24"/>
                <w:highlight w:val="none"/>
                <w:lang w:val="en-US" w:eastAsia="zh-CN"/>
              </w:rPr>
              <w:t>.</w:t>
            </w:r>
            <w:r>
              <w:rPr>
                <w:b/>
                <w:bCs w:val="0"/>
                <w:spacing w:val="-10"/>
                <w:sz w:val="24"/>
                <w:highlight w:val="none"/>
              </w:rPr>
              <w:t>固体废物影响分析</w:t>
            </w:r>
          </w:p>
          <w:p w14:paraId="5478FA92">
            <w:pPr>
              <w:pStyle w:val="54"/>
              <w:kinsoku/>
              <w:rPr>
                <w:highlight w:val="none"/>
              </w:rPr>
            </w:pPr>
            <w:r>
              <w:rPr>
                <w:highlight w:val="none"/>
              </w:rPr>
              <w:t>固体废物主要有</w:t>
            </w:r>
            <w:r>
              <w:rPr>
                <w:rFonts w:hint="eastAsia"/>
                <w:highlight w:val="none"/>
              </w:rPr>
              <w:t>除尘灰</w:t>
            </w:r>
            <w:r>
              <w:rPr>
                <w:highlight w:val="none"/>
              </w:rPr>
              <w:t>、生活垃圾</w:t>
            </w:r>
            <w:r>
              <w:rPr>
                <w:rFonts w:hint="eastAsia"/>
                <w:highlight w:val="none"/>
              </w:rPr>
              <w:t>、不合格产品、钢棒切割渣</w:t>
            </w:r>
            <w:r>
              <w:rPr>
                <w:rFonts w:hint="eastAsia"/>
                <w:highlight w:val="none"/>
                <w:lang w:eastAsia="zh-CN"/>
              </w:rPr>
              <w:t>等</w:t>
            </w:r>
            <w:r>
              <w:rPr>
                <w:highlight w:val="none"/>
              </w:rPr>
              <w:t>。</w:t>
            </w:r>
          </w:p>
          <w:p w14:paraId="4031883C">
            <w:pPr>
              <w:pStyle w:val="54"/>
              <w:kinsoku/>
              <w:rPr>
                <w:highlight w:val="none"/>
              </w:rPr>
            </w:pPr>
            <w:r>
              <w:rPr>
                <w:highlight w:val="none"/>
              </w:rPr>
              <w:t>（1）</w:t>
            </w:r>
            <w:r>
              <w:rPr>
                <w:rFonts w:hint="eastAsia"/>
                <w:highlight w:val="none"/>
              </w:rPr>
              <w:t>除尘灰</w:t>
            </w:r>
          </w:p>
          <w:p w14:paraId="47442D6E">
            <w:pPr>
              <w:pStyle w:val="54"/>
              <w:kinsoku/>
              <w:rPr>
                <w:highlight w:val="none"/>
              </w:rPr>
            </w:pPr>
            <w:r>
              <w:rPr>
                <w:rFonts w:hint="eastAsia"/>
                <w:highlight w:val="none"/>
              </w:rPr>
              <w:t>本项目搅拌机袋式除尘器收集的粉尘量约为</w:t>
            </w:r>
            <w:r>
              <w:rPr>
                <w:rFonts w:hint="eastAsia"/>
                <w:highlight w:val="none"/>
                <w:lang w:val="en-US" w:eastAsia="zh-CN"/>
              </w:rPr>
              <w:t>14.855</w:t>
            </w:r>
            <w:r>
              <w:rPr>
                <w:highlight w:val="none"/>
              </w:rPr>
              <w:t>t/a</w:t>
            </w:r>
            <w:r>
              <w:rPr>
                <w:rFonts w:hint="eastAsia"/>
                <w:highlight w:val="none"/>
              </w:rPr>
              <w:t>，</w:t>
            </w:r>
            <w:r>
              <w:rPr>
                <w:rFonts w:hint="eastAsia"/>
                <w:highlight w:val="none"/>
                <w:lang w:val="en-US" w:eastAsia="zh-CN"/>
              </w:rPr>
              <w:t>搅拌机除尘灰</w:t>
            </w:r>
            <w:r>
              <w:rPr>
                <w:rFonts w:hint="eastAsia"/>
                <w:highlight w:val="none"/>
              </w:rPr>
              <w:t>定期收集后回用于生产。</w:t>
            </w:r>
          </w:p>
          <w:p w14:paraId="1D8FA151">
            <w:pPr>
              <w:pStyle w:val="54"/>
              <w:kinsoku/>
              <w:rPr>
                <w:highlight w:val="none"/>
              </w:rPr>
            </w:pPr>
            <w:r>
              <w:rPr>
                <w:highlight w:val="none"/>
              </w:rPr>
              <w:t>（</w:t>
            </w:r>
            <w:r>
              <w:rPr>
                <w:rFonts w:hint="eastAsia"/>
                <w:highlight w:val="none"/>
              </w:rPr>
              <w:t>2</w:t>
            </w:r>
            <w:r>
              <w:rPr>
                <w:highlight w:val="none"/>
              </w:rPr>
              <w:t>）</w:t>
            </w:r>
            <w:r>
              <w:rPr>
                <w:rFonts w:hint="eastAsia"/>
                <w:highlight w:val="none"/>
              </w:rPr>
              <w:t>不合格产品</w:t>
            </w:r>
          </w:p>
          <w:p w14:paraId="2A2C576D">
            <w:pPr>
              <w:pStyle w:val="54"/>
              <w:kinsoku/>
              <w:rPr>
                <w:bCs/>
                <w:szCs w:val="21"/>
                <w:highlight w:val="none"/>
              </w:rPr>
            </w:pPr>
            <w:r>
              <w:rPr>
                <w:rFonts w:hint="eastAsia"/>
                <w:highlight w:val="none"/>
              </w:rPr>
              <w:t>类比同类型企业，运行过程中不合格产品产生量约占总产品量</w:t>
            </w:r>
            <w:r>
              <w:rPr>
                <w:rFonts w:hint="eastAsia"/>
                <w:highlight w:val="none"/>
                <w:lang w:eastAsia="zh-CN"/>
              </w:rPr>
              <w:t>的</w:t>
            </w:r>
            <w:r>
              <w:rPr>
                <w:rFonts w:hint="eastAsia"/>
                <w:highlight w:val="none"/>
              </w:rPr>
              <w:t>0.1%</w:t>
            </w:r>
            <w:r>
              <w:rPr>
                <w:rFonts w:hint="eastAsia"/>
                <w:highlight w:val="none"/>
                <w:lang w:eastAsia="zh-CN"/>
              </w:rPr>
              <w:t>。</w:t>
            </w:r>
            <w:r>
              <w:rPr>
                <w:rFonts w:hint="eastAsia"/>
                <w:highlight w:val="none"/>
                <w:lang w:val="en-US" w:eastAsia="zh-CN"/>
              </w:rPr>
              <w:t>本项目生产光伏管桩300万m/a，则不合格产品为3000m/a（约138t/a）</w:t>
            </w:r>
            <w:r>
              <w:rPr>
                <w:rFonts w:hint="eastAsia"/>
                <w:highlight w:val="none"/>
              </w:rPr>
              <w:t>，不合格产品作为建筑废料外运，可作为周边填补路基材料或拉运至建筑垃圾收集场进行处理。</w:t>
            </w:r>
          </w:p>
          <w:p w14:paraId="60FF10A4">
            <w:pPr>
              <w:pStyle w:val="8"/>
              <w:spacing w:line="360" w:lineRule="auto"/>
              <w:ind w:firstLine="464" w:firstLineChars="200"/>
              <w:jc w:val="both"/>
              <w:rPr>
                <w:rFonts w:hint="default"/>
                <w:bCs/>
                <w:spacing w:val="-4"/>
                <w:highlight w:val="none"/>
                <w:lang w:val="en-US"/>
              </w:rPr>
            </w:pPr>
            <w:r>
              <w:rPr>
                <w:rFonts w:hint="eastAsia"/>
                <w:bCs/>
                <w:spacing w:val="-4"/>
                <w:highlight w:val="none"/>
              </w:rPr>
              <w:t>（</w:t>
            </w:r>
            <w:r>
              <w:rPr>
                <w:rFonts w:hint="eastAsia"/>
                <w:bCs/>
                <w:spacing w:val="-4"/>
                <w:highlight w:val="none"/>
                <w:lang w:val="en-US" w:eastAsia="zh-CN"/>
              </w:rPr>
              <w:t>3</w:t>
            </w:r>
            <w:r>
              <w:rPr>
                <w:rFonts w:hint="eastAsia"/>
                <w:bCs/>
                <w:spacing w:val="-4"/>
                <w:highlight w:val="none"/>
              </w:rPr>
              <w:t>）</w:t>
            </w:r>
            <w:r>
              <w:rPr>
                <w:rFonts w:hint="eastAsia"/>
                <w:highlight w:val="none"/>
                <w:lang w:val="en-US" w:eastAsia="zh-CN"/>
              </w:rPr>
              <w:t>钢材加工废料</w:t>
            </w:r>
          </w:p>
          <w:p w14:paraId="342E60A0">
            <w:pPr>
              <w:pStyle w:val="8"/>
              <w:spacing w:line="360" w:lineRule="auto"/>
              <w:ind w:firstLine="464" w:firstLineChars="200"/>
              <w:jc w:val="both"/>
              <w:rPr>
                <w:rFonts w:hint="eastAsia"/>
                <w:bCs/>
                <w:spacing w:val="-4"/>
                <w:highlight w:val="none"/>
              </w:rPr>
            </w:pPr>
            <w:r>
              <w:rPr>
                <w:rFonts w:hint="eastAsia"/>
                <w:bCs/>
                <w:spacing w:val="-4"/>
                <w:highlight w:val="none"/>
              </w:rPr>
              <w:t>本项目PC钢棒切割时产生少量钢粉，均散落在生产场所周边，定期</w:t>
            </w:r>
            <w:r>
              <w:rPr>
                <w:rFonts w:hint="eastAsia"/>
                <w:bCs/>
                <w:spacing w:val="-4"/>
                <w:highlight w:val="none"/>
                <w:lang w:eastAsia="zh-CN"/>
              </w:rPr>
              <w:t>由</w:t>
            </w:r>
            <w:r>
              <w:rPr>
                <w:rFonts w:hint="eastAsia"/>
                <w:bCs/>
                <w:spacing w:val="-4"/>
                <w:highlight w:val="none"/>
              </w:rPr>
              <w:t>工作人员清扫收集，产生量约21.82t/a，暂存于一般固废暂存间内，定期外售。</w:t>
            </w:r>
          </w:p>
          <w:p w14:paraId="781D302D">
            <w:pPr>
              <w:pStyle w:val="54"/>
              <w:kinsoku/>
              <w:rPr>
                <w:highlight w:val="none"/>
              </w:rPr>
            </w:pPr>
            <w:r>
              <w:rPr>
                <w:bCs/>
                <w:highlight w:val="none"/>
              </w:rPr>
              <w:t>（</w:t>
            </w:r>
            <w:r>
              <w:rPr>
                <w:rFonts w:hint="eastAsia"/>
                <w:bCs/>
                <w:highlight w:val="none"/>
                <w:lang w:val="en-US" w:eastAsia="zh-CN"/>
              </w:rPr>
              <w:t>4</w:t>
            </w:r>
            <w:r>
              <w:rPr>
                <w:bCs/>
                <w:highlight w:val="none"/>
              </w:rPr>
              <w:t>）</w:t>
            </w:r>
            <w:r>
              <w:rPr>
                <w:highlight w:val="none"/>
              </w:rPr>
              <w:t>生活垃圾</w:t>
            </w:r>
          </w:p>
          <w:p w14:paraId="5A0266C9">
            <w:pPr>
              <w:pStyle w:val="8"/>
              <w:spacing w:line="360" w:lineRule="auto"/>
              <w:ind w:firstLine="464" w:firstLineChars="200"/>
              <w:jc w:val="both"/>
              <w:rPr>
                <w:bCs/>
                <w:spacing w:val="-4"/>
                <w:highlight w:val="none"/>
              </w:rPr>
            </w:pPr>
            <w:r>
              <w:rPr>
                <w:bCs/>
                <w:spacing w:val="-4"/>
                <w:highlight w:val="none"/>
              </w:rPr>
              <w:t>工作人员</w:t>
            </w:r>
            <w:r>
              <w:rPr>
                <w:rFonts w:hint="eastAsia"/>
                <w:bCs/>
                <w:spacing w:val="-4"/>
                <w:highlight w:val="none"/>
              </w:rPr>
              <w:t>10</w:t>
            </w:r>
            <w:r>
              <w:rPr>
                <w:bCs/>
                <w:spacing w:val="-4"/>
                <w:highlight w:val="none"/>
              </w:rPr>
              <w:t>人，年工作</w:t>
            </w:r>
            <w:r>
              <w:rPr>
                <w:rFonts w:hint="eastAsia"/>
                <w:bCs/>
                <w:spacing w:val="-4"/>
                <w:highlight w:val="none"/>
              </w:rPr>
              <w:t>300</w:t>
            </w:r>
            <w:r>
              <w:rPr>
                <w:bCs/>
                <w:spacing w:val="-4"/>
                <w:highlight w:val="none"/>
              </w:rPr>
              <w:t>天</w:t>
            </w:r>
            <w:r>
              <w:rPr>
                <w:rFonts w:hint="eastAsia"/>
                <w:bCs/>
                <w:spacing w:val="-4"/>
                <w:highlight w:val="none"/>
                <w:lang w:eastAsia="zh-CN"/>
              </w:rPr>
              <w:t>。</w:t>
            </w:r>
            <w:r>
              <w:rPr>
                <w:bCs/>
                <w:spacing w:val="-4"/>
                <w:highlight w:val="none"/>
              </w:rPr>
              <w:t>每人每天产生生活垃圾按0.5kg计，则生活垃圾的产生量为</w:t>
            </w:r>
            <w:r>
              <w:rPr>
                <w:rFonts w:hint="eastAsia"/>
                <w:bCs/>
                <w:spacing w:val="-4"/>
                <w:highlight w:val="none"/>
              </w:rPr>
              <w:t>1.5</w:t>
            </w:r>
            <w:r>
              <w:rPr>
                <w:bCs/>
                <w:spacing w:val="-4"/>
                <w:highlight w:val="none"/>
              </w:rPr>
              <w:t>t/a</w:t>
            </w:r>
            <w:r>
              <w:rPr>
                <w:rFonts w:hint="eastAsia"/>
                <w:bCs/>
                <w:spacing w:val="-4"/>
                <w:highlight w:val="none"/>
                <w:lang w:eastAsia="zh-CN"/>
              </w:rPr>
              <w:t>。</w:t>
            </w:r>
            <w:r>
              <w:rPr>
                <w:bCs/>
                <w:spacing w:val="-4"/>
                <w:highlight w:val="none"/>
              </w:rPr>
              <w:t>生活垃圾在厂区设置若干分类垃圾箱进行收集，</w:t>
            </w:r>
            <w:r>
              <w:rPr>
                <w:rFonts w:hint="eastAsia"/>
                <w:highlight w:val="none"/>
              </w:rPr>
              <w:t>交由环卫部门定期清运处置</w:t>
            </w:r>
            <w:r>
              <w:rPr>
                <w:bCs/>
                <w:spacing w:val="-4"/>
                <w:highlight w:val="none"/>
              </w:rPr>
              <w:t>。</w:t>
            </w:r>
          </w:p>
          <w:p w14:paraId="31687BA3">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highlight w:val="none"/>
              </w:rPr>
            </w:pPr>
            <w:r>
              <w:rPr>
                <w:rFonts w:hint="eastAsia"/>
                <w:b/>
                <w:bCs/>
                <w:highlight w:val="none"/>
              </w:rPr>
              <w:t>表4-5 固体废物产生情况一览表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687"/>
              <w:gridCol w:w="1686"/>
              <w:gridCol w:w="1188"/>
              <w:gridCol w:w="2545"/>
            </w:tblGrid>
            <w:tr w14:paraId="128C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6" w:type="dxa"/>
                  <w:vAlign w:val="center"/>
                </w:tcPr>
                <w:p w14:paraId="0F9C7F7D">
                  <w:pPr>
                    <w:pStyle w:val="8"/>
                    <w:jc w:val="center"/>
                    <w:rPr>
                      <w:b/>
                      <w:bCs/>
                      <w:sz w:val="21"/>
                      <w:szCs w:val="21"/>
                      <w:highlight w:val="none"/>
                    </w:rPr>
                  </w:pPr>
                  <w:r>
                    <w:rPr>
                      <w:b/>
                      <w:bCs/>
                      <w:sz w:val="21"/>
                      <w:szCs w:val="21"/>
                      <w:highlight w:val="none"/>
                    </w:rPr>
                    <w:t>编号</w:t>
                  </w:r>
                </w:p>
              </w:tc>
              <w:tc>
                <w:tcPr>
                  <w:tcW w:w="1687" w:type="dxa"/>
                  <w:vAlign w:val="center"/>
                </w:tcPr>
                <w:p w14:paraId="01D385E7">
                  <w:pPr>
                    <w:pStyle w:val="8"/>
                    <w:jc w:val="center"/>
                    <w:rPr>
                      <w:b/>
                      <w:bCs/>
                      <w:sz w:val="21"/>
                      <w:szCs w:val="21"/>
                      <w:highlight w:val="none"/>
                    </w:rPr>
                  </w:pPr>
                  <w:r>
                    <w:rPr>
                      <w:b/>
                      <w:bCs/>
                      <w:sz w:val="21"/>
                      <w:szCs w:val="21"/>
                      <w:highlight w:val="none"/>
                    </w:rPr>
                    <w:t>产生装置</w:t>
                  </w:r>
                </w:p>
              </w:tc>
              <w:tc>
                <w:tcPr>
                  <w:tcW w:w="1686" w:type="dxa"/>
                  <w:vAlign w:val="center"/>
                </w:tcPr>
                <w:p w14:paraId="2AC497D5">
                  <w:pPr>
                    <w:pStyle w:val="8"/>
                    <w:jc w:val="center"/>
                    <w:rPr>
                      <w:b/>
                      <w:bCs/>
                      <w:sz w:val="21"/>
                      <w:szCs w:val="21"/>
                      <w:highlight w:val="none"/>
                    </w:rPr>
                  </w:pPr>
                  <w:r>
                    <w:rPr>
                      <w:b/>
                      <w:bCs/>
                      <w:sz w:val="21"/>
                      <w:szCs w:val="21"/>
                      <w:highlight w:val="none"/>
                    </w:rPr>
                    <w:t>污染物</w:t>
                  </w:r>
                </w:p>
              </w:tc>
              <w:tc>
                <w:tcPr>
                  <w:tcW w:w="1188" w:type="dxa"/>
                  <w:vAlign w:val="center"/>
                </w:tcPr>
                <w:p w14:paraId="5301809A">
                  <w:pPr>
                    <w:pStyle w:val="8"/>
                    <w:jc w:val="center"/>
                    <w:rPr>
                      <w:b/>
                      <w:bCs/>
                      <w:sz w:val="21"/>
                      <w:szCs w:val="21"/>
                      <w:highlight w:val="none"/>
                    </w:rPr>
                  </w:pPr>
                  <w:r>
                    <w:rPr>
                      <w:b/>
                      <w:bCs/>
                      <w:sz w:val="21"/>
                      <w:szCs w:val="21"/>
                      <w:highlight w:val="none"/>
                    </w:rPr>
                    <w:t>产生量</w:t>
                  </w:r>
                </w:p>
              </w:tc>
              <w:tc>
                <w:tcPr>
                  <w:tcW w:w="2545" w:type="dxa"/>
                  <w:vAlign w:val="center"/>
                </w:tcPr>
                <w:p w14:paraId="7BAF6397">
                  <w:pPr>
                    <w:pStyle w:val="8"/>
                    <w:jc w:val="center"/>
                    <w:rPr>
                      <w:b/>
                      <w:bCs/>
                      <w:sz w:val="21"/>
                      <w:szCs w:val="21"/>
                      <w:highlight w:val="none"/>
                    </w:rPr>
                  </w:pPr>
                  <w:r>
                    <w:rPr>
                      <w:b/>
                      <w:bCs/>
                      <w:sz w:val="21"/>
                      <w:szCs w:val="21"/>
                      <w:highlight w:val="none"/>
                    </w:rPr>
                    <w:t>处置方式</w:t>
                  </w:r>
                </w:p>
              </w:tc>
            </w:tr>
            <w:tr w14:paraId="5677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372DE3B6">
                  <w:pPr>
                    <w:pStyle w:val="8"/>
                    <w:jc w:val="center"/>
                    <w:rPr>
                      <w:sz w:val="21"/>
                      <w:szCs w:val="21"/>
                      <w:highlight w:val="none"/>
                    </w:rPr>
                  </w:pPr>
                  <w:r>
                    <w:rPr>
                      <w:sz w:val="21"/>
                      <w:szCs w:val="21"/>
                      <w:highlight w:val="none"/>
                    </w:rPr>
                    <w:t>1</w:t>
                  </w:r>
                </w:p>
              </w:tc>
              <w:tc>
                <w:tcPr>
                  <w:tcW w:w="1687" w:type="dxa"/>
                  <w:vAlign w:val="center"/>
                </w:tcPr>
                <w:p w14:paraId="76858CB0">
                  <w:pPr>
                    <w:pStyle w:val="8"/>
                    <w:jc w:val="center"/>
                    <w:rPr>
                      <w:rFonts w:hint="default" w:eastAsia="宋体"/>
                      <w:sz w:val="21"/>
                      <w:szCs w:val="21"/>
                      <w:highlight w:val="none"/>
                      <w:lang w:val="en-US" w:eastAsia="zh-CN"/>
                    </w:rPr>
                  </w:pPr>
                  <w:r>
                    <w:rPr>
                      <w:rFonts w:hint="eastAsia"/>
                      <w:sz w:val="21"/>
                      <w:szCs w:val="21"/>
                      <w:highlight w:val="none"/>
                      <w:lang w:val="en-US" w:eastAsia="zh-CN"/>
                    </w:rPr>
                    <w:t>检验工序</w:t>
                  </w:r>
                </w:p>
              </w:tc>
              <w:tc>
                <w:tcPr>
                  <w:tcW w:w="1686" w:type="dxa"/>
                  <w:vAlign w:val="center"/>
                </w:tcPr>
                <w:p w14:paraId="7C733864">
                  <w:pPr>
                    <w:pStyle w:val="8"/>
                    <w:jc w:val="center"/>
                    <w:rPr>
                      <w:sz w:val="21"/>
                      <w:szCs w:val="21"/>
                      <w:highlight w:val="none"/>
                    </w:rPr>
                  </w:pPr>
                  <w:r>
                    <w:rPr>
                      <w:sz w:val="21"/>
                      <w:szCs w:val="21"/>
                      <w:highlight w:val="none"/>
                    </w:rPr>
                    <w:t>不合格产品</w:t>
                  </w:r>
                </w:p>
              </w:tc>
              <w:tc>
                <w:tcPr>
                  <w:tcW w:w="1188" w:type="dxa"/>
                  <w:vAlign w:val="center"/>
                </w:tcPr>
                <w:p w14:paraId="6B47494A">
                  <w:pPr>
                    <w:pStyle w:val="8"/>
                    <w:jc w:val="center"/>
                    <w:rPr>
                      <w:sz w:val="21"/>
                      <w:szCs w:val="21"/>
                      <w:highlight w:val="none"/>
                    </w:rPr>
                  </w:pPr>
                  <w:r>
                    <w:rPr>
                      <w:rFonts w:hint="eastAsia"/>
                      <w:sz w:val="21"/>
                      <w:szCs w:val="21"/>
                      <w:highlight w:val="none"/>
                      <w:lang w:val="en-US" w:eastAsia="zh-CN"/>
                    </w:rPr>
                    <w:t>138</w:t>
                  </w:r>
                  <w:r>
                    <w:rPr>
                      <w:sz w:val="21"/>
                      <w:szCs w:val="21"/>
                      <w:highlight w:val="none"/>
                    </w:rPr>
                    <w:t>t/a</w:t>
                  </w:r>
                </w:p>
              </w:tc>
              <w:tc>
                <w:tcPr>
                  <w:tcW w:w="2545" w:type="dxa"/>
                  <w:vAlign w:val="center"/>
                </w:tcPr>
                <w:p w14:paraId="28D38A8E">
                  <w:pPr>
                    <w:pStyle w:val="8"/>
                    <w:jc w:val="center"/>
                    <w:rPr>
                      <w:rFonts w:hint="eastAsia" w:eastAsia="宋体"/>
                      <w:sz w:val="21"/>
                      <w:szCs w:val="21"/>
                      <w:highlight w:val="none"/>
                      <w:lang w:eastAsia="zh-CN"/>
                    </w:rPr>
                  </w:pPr>
                  <w:r>
                    <w:rPr>
                      <w:sz w:val="21"/>
                      <w:szCs w:val="21"/>
                      <w:highlight w:val="none"/>
                    </w:rPr>
                    <w:t>作为建筑废料外运</w:t>
                  </w:r>
                  <w:r>
                    <w:rPr>
                      <w:rFonts w:hint="eastAsia"/>
                      <w:sz w:val="21"/>
                      <w:szCs w:val="21"/>
                      <w:highlight w:val="none"/>
                      <w:lang w:eastAsia="zh-CN"/>
                    </w:rPr>
                    <w:t>。</w:t>
                  </w:r>
                </w:p>
              </w:tc>
            </w:tr>
            <w:tr w14:paraId="70377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34466D9B">
                  <w:pPr>
                    <w:pStyle w:val="8"/>
                    <w:jc w:val="center"/>
                    <w:rPr>
                      <w:sz w:val="21"/>
                      <w:szCs w:val="21"/>
                      <w:highlight w:val="none"/>
                    </w:rPr>
                  </w:pPr>
                  <w:r>
                    <w:rPr>
                      <w:sz w:val="21"/>
                      <w:szCs w:val="21"/>
                      <w:highlight w:val="none"/>
                    </w:rPr>
                    <w:t>2</w:t>
                  </w:r>
                </w:p>
              </w:tc>
              <w:tc>
                <w:tcPr>
                  <w:tcW w:w="1687" w:type="dxa"/>
                  <w:vAlign w:val="center"/>
                </w:tcPr>
                <w:p w14:paraId="0CE7927A">
                  <w:pPr>
                    <w:pStyle w:val="8"/>
                    <w:jc w:val="center"/>
                    <w:rPr>
                      <w:sz w:val="21"/>
                      <w:szCs w:val="21"/>
                      <w:highlight w:val="none"/>
                    </w:rPr>
                  </w:pPr>
                  <w:r>
                    <w:rPr>
                      <w:sz w:val="21"/>
                      <w:szCs w:val="21"/>
                      <w:highlight w:val="none"/>
                    </w:rPr>
                    <w:t>搅拌机除尘器</w:t>
                  </w:r>
                </w:p>
              </w:tc>
              <w:tc>
                <w:tcPr>
                  <w:tcW w:w="1686" w:type="dxa"/>
                  <w:vAlign w:val="center"/>
                </w:tcPr>
                <w:p w14:paraId="2AEB0A85">
                  <w:pPr>
                    <w:pStyle w:val="8"/>
                    <w:jc w:val="center"/>
                    <w:rPr>
                      <w:sz w:val="21"/>
                      <w:szCs w:val="21"/>
                      <w:highlight w:val="none"/>
                    </w:rPr>
                  </w:pPr>
                  <w:r>
                    <w:rPr>
                      <w:sz w:val="21"/>
                      <w:szCs w:val="21"/>
                      <w:highlight w:val="none"/>
                    </w:rPr>
                    <w:t>除尘器灰</w:t>
                  </w:r>
                </w:p>
              </w:tc>
              <w:tc>
                <w:tcPr>
                  <w:tcW w:w="1188" w:type="dxa"/>
                  <w:vAlign w:val="center"/>
                </w:tcPr>
                <w:p w14:paraId="15FF4CA3">
                  <w:pPr>
                    <w:pStyle w:val="8"/>
                    <w:jc w:val="center"/>
                    <w:rPr>
                      <w:sz w:val="21"/>
                      <w:szCs w:val="21"/>
                      <w:highlight w:val="none"/>
                    </w:rPr>
                  </w:pPr>
                  <w:r>
                    <w:rPr>
                      <w:rFonts w:hint="eastAsia"/>
                      <w:sz w:val="21"/>
                      <w:szCs w:val="21"/>
                      <w:highlight w:val="none"/>
                      <w:lang w:val="en-US" w:eastAsia="zh-CN"/>
                    </w:rPr>
                    <w:t>14.855</w:t>
                  </w:r>
                  <w:r>
                    <w:rPr>
                      <w:sz w:val="21"/>
                      <w:szCs w:val="21"/>
                      <w:highlight w:val="none"/>
                    </w:rPr>
                    <w:t>t/a</w:t>
                  </w:r>
                </w:p>
              </w:tc>
              <w:tc>
                <w:tcPr>
                  <w:tcW w:w="2545" w:type="dxa"/>
                  <w:vAlign w:val="center"/>
                </w:tcPr>
                <w:p w14:paraId="7E2BC527">
                  <w:pPr>
                    <w:pStyle w:val="8"/>
                    <w:jc w:val="center"/>
                    <w:rPr>
                      <w:rFonts w:hint="eastAsia" w:eastAsia="宋体"/>
                      <w:sz w:val="21"/>
                      <w:szCs w:val="21"/>
                      <w:highlight w:val="none"/>
                      <w:lang w:eastAsia="zh-CN"/>
                    </w:rPr>
                  </w:pPr>
                  <w:r>
                    <w:rPr>
                      <w:sz w:val="21"/>
                      <w:szCs w:val="21"/>
                      <w:highlight w:val="none"/>
                    </w:rPr>
                    <w:t>收集后回用于生产</w:t>
                  </w:r>
                  <w:r>
                    <w:rPr>
                      <w:rFonts w:hint="eastAsia"/>
                      <w:sz w:val="21"/>
                      <w:szCs w:val="21"/>
                      <w:highlight w:val="none"/>
                      <w:lang w:eastAsia="zh-CN"/>
                    </w:rPr>
                    <w:t>。</w:t>
                  </w:r>
                </w:p>
              </w:tc>
            </w:tr>
            <w:tr w14:paraId="5533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1A9E1E92">
                  <w:pPr>
                    <w:pStyle w:val="8"/>
                    <w:jc w:val="center"/>
                    <w:rPr>
                      <w:sz w:val="21"/>
                      <w:szCs w:val="21"/>
                      <w:highlight w:val="none"/>
                    </w:rPr>
                  </w:pPr>
                  <w:r>
                    <w:rPr>
                      <w:sz w:val="21"/>
                      <w:szCs w:val="21"/>
                      <w:highlight w:val="none"/>
                    </w:rPr>
                    <w:t>3</w:t>
                  </w:r>
                </w:p>
              </w:tc>
              <w:tc>
                <w:tcPr>
                  <w:tcW w:w="1687" w:type="dxa"/>
                  <w:vAlign w:val="center"/>
                </w:tcPr>
                <w:p w14:paraId="3F0779EA">
                  <w:pPr>
                    <w:pStyle w:val="8"/>
                    <w:jc w:val="center"/>
                    <w:rPr>
                      <w:sz w:val="21"/>
                      <w:szCs w:val="21"/>
                      <w:highlight w:val="none"/>
                    </w:rPr>
                  </w:pPr>
                  <w:r>
                    <w:rPr>
                      <w:bCs/>
                      <w:spacing w:val="-4"/>
                      <w:sz w:val="21"/>
                      <w:szCs w:val="21"/>
                      <w:highlight w:val="none"/>
                    </w:rPr>
                    <w:t>PC钢棒切割</w:t>
                  </w:r>
                </w:p>
              </w:tc>
              <w:tc>
                <w:tcPr>
                  <w:tcW w:w="1686" w:type="dxa"/>
                  <w:vAlign w:val="center"/>
                </w:tcPr>
                <w:p w14:paraId="1CDCECA9">
                  <w:pPr>
                    <w:pStyle w:val="8"/>
                    <w:jc w:val="center"/>
                    <w:rPr>
                      <w:sz w:val="21"/>
                      <w:szCs w:val="21"/>
                      <w:highlight w:val="none"/>
                    </w:rPr>
                  </w:pPr>
                  <w:r>
                    <w:rPr>
                      <w:sz w:val="21"/>
                      <w:szCs w:val="21"/>
                      <w:highlight w:val="none"/>
                    </w:rPr>
                    <w:t>钢棒切割渣</w:t>
                  </w:r>
                </w:p>
              </w:tc>
              <w:tc>
                <w:tcPr>
                  <w:tcW w:w="1188" w:type="dxa"/>
                  <w:vAlign w:val="center"/>
                </w:tcPr>
                <w:p w14:paraId="626FE363">
                  <w:pPr>
                    <w:pStyle w:val="8"/>
                    <w:jc w:val="center"/>
                    <w:rPr>
                      <w:sz w:val="21"/>
                      <w:szCs w:val="21"/>
                      <w:highlight w:val="none"/>
                    </w:rPr>
                  </w:pPr>
                  <w:r>
                    <w:rPr>
                      <w:bCs/>
                      <w:spacing w:val="-4"/>
                      <w:sz w:val="21"/>
                      <w:szCs w:val="21"/>
                      <w:highlight w:val="none"/>
                    </w:rPr>
                    <w:t>21.82t/a</w:t>
                  </w:r>
                </w:p>
              </w:tc>
              <w:tc>
                <w:tcPr>
                  <w:tcW w:w="2545" w:type="dxa"/>
                  <w:vAlign w:val="center"/>
                </w:tcPr>
                <w:p w14:paraId="79733E8E">
                  <w:pPr>
                    <w:pStyle w:val="8"/>
                    <w:jc w:val="center"/>
                    <w:rPr>
                      <w:rFonts w:hint="eastAsia" w:eastAsia="宋体"/>
                      <w:sz w:val="21"/>
                      <w:szCs w:val="21"/>
                      <w:highlight w:val="none"/>
                      <w:lang w:eastAsia="zh-CN"/>
                    </w:rPr>
                  </w:pPr>
                  <w:r>
                    <w:rPr>
                      <w:bCs/>
                      <w:spacing w:val="-4"/>
                      <w:sz w:val="21"/>
                      <w:szCs w:val="21"/>
                      <w:highlight w:val="none"/>
                    </w:rPr>
                    <w:t>暂存于一般固废暂存间内，定期外售</w:t>
                  </w:r>
                  <w:r>
                    <w:rPr>
                      <w:rFonts w:hint="eastAsia"/>
                      <w:bCs/>
                      <w:spacing w:val="-4"/>
                      <w:sz w:val="21"/>
                      <w:szCs w:val="21"/>
                      <w:highlight w:val="none"/>
                      <w:lang w:eastAsia="zh-CN"/>
                    </w:rPr>
                    <w:t>。</w:t>
                  </w:r>
                </w:p>
              </w:tc>
            </w:tr>
            <w:tr w14:paraId="6FBE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5DB90FE9">
                  <w:pPr>
                    <w:pStyle w:val="8"/>
                    <w:jc w:val="center"/>
                    <w:rPr>
                      <w:rFonts w:hint="eastAsia" w:eastAsia="宋体"/>
                      <w:sz w:val="21"/>
                      <w:szCs w:val="21"/>
                      <w:highlight w:val="none"/>
                      <w:lang w:eastAsia="zh-CN"/>
                    </w:rPr>
                  </w:pPr>
                  <w:r>
                    <w:rPr>
                      <w:rFonts w:hint="eastAsia"/>
                      <w:sz w:val="21"/>
                      <w:szCs w:val="21"/>
                      <w:highlight w:val="none"/>
                      <w:lang w:val="en-US" w:eastAsia="zh-CN"/>
                    </w:rPr>
                    <w:t>4</w:t>
                  </w:r>
                </w:p>
              </w:tc>
              <w:tc>
                <w:tcPr>
                  <w:tcW w:w="1687" w:type="dxa"/>
                  <w:vAlign w:val="center"/>
                </w:tcPr>
                <w:p w14:paraId="1FA437C9">
                  <w:pPr>
                    <w:pStyle w:val="8"/>
                    <w:jc w:val="center"/>
                    <w:rPr>
                      <w:sz w:val="21"/>
                      <w:szCs w:val="21"/>
                      <w:highlight w:val="none"/>
                    </w:rPr>
                  </w:pPr>
                  <w:r>
                    <w:rPr>
                      <w:sz w:val="21"/>
                      <w:szCs w:val="21"/>
                      <w:highlight w:val="none"/>
                    </w:rPr>
                    <w:t>员工生活</w:t>
                  </w:r>
                </w:p>
              </w:tc>
              <w:tc>
                <w:tcPr>
                  <w:tcW w:w="1686" w:type="dxa"/>
                  <w:vAlign w:val="center"/>
                </w:tcPr>
                <w:p w14:paraId="79FCE133">
                  <w:pPr>
                    <w:pStyle w:val="8"/>
                    <w:jc w:val="center"/>
                    <w:rPr>
                      <w:sz w:val="21"/>
                      <w:szCs w:val="21"/>
                      <w:highlight w:val="none"/>
                    </w:rPr>
                  </w:pPr>
                  <w:r>
                    <w:rPr>
                      <w:sz w:val="21"/>
                      <w:szCs w:val="21"/>
                      <w:highlight w:val="none"/>
                    </w:rPr>
                    <w:t>生活垃圾</w:t>
                  </w:r>
                </w:p>
              </w:tc>
              <w:tc>
                <w:tcPr>
                  <w:tcW w:w="1188" w:type="dxa"/>
                  <w:vAlign w:val="center"/>
                </w:tcPr>
                <w:p w14:paraId="755850CB">
                  <w:pPr>
                    <w:pStyle w:val="8"/>
                    <w:jc w:val="center"/>
                    <w:rPr>
                      <w:sz w:val="21"/>
                      <w:szCs w:val="21"/>
                      <w:highlight w:val="none"/>
                    </w:rPr>
                  </w:pPr>
                  <w:r>
                    <w:rPr>
                      <w:bCs/>
                      <w:spacing w:val="-4"/>
                      <w:sz w:val="21"/>
                      <w:szCs w:val="21"/>
                      <w:highlight w:val="none"/>
                    </w:rPr>
                    <w:t>1.5t/a</w:t>
                  </w:r>
                </w:p>
              </w:tc>
              <w:tc>
                <w:tcPr>
                  <w:tcW w:w="2545" w:type="dxa"/>
                  <w:vAlign w:val="center"/>
                </w:tcPr>
                <w:p w14:paraId="582071E8">
                  <w:pPr>
                    <w:pStyle w:val="8"/>
                    <w:jc w:val="center"/>
                    <w:rPr>
                      <w:rFonts w:hint="eastAsia" w:eastAsia="宋体"/>
                      <w:sz w:val="21"/>
                      <w:szCs w:val="21"/>
                      <w:highlight w:val="none"/>
                      <w:lang w:eastAsia="zh-CN"/>
                    </w:rPr>
                  </w:pPr>
                  <w:r>
                    <w:rPr>
                      <w:bCs/>
                      <w:spacing w:val="-4"/>
                      <w:sz w:val="21"/>
                      <w:szCs w:val="21"/>
                      <w:highlight w:val="none"/>
                    </w:rPr>
                    <w:t>垃圾箱进行收集，</w:t>
                  </w:r>
                  <w:r>
                    <w:rPr>
                      <w:sz w:val="21"/>
                      <w:szCs w:val="21"/>
                      <w:highlight w:val="none"/>
                    </w:rPr>
                    <w:t>交由环卫部门定期清运处置</w:t>
                  </w:r>
                  <w:r>
                    <w:rPr>
                      <w:rFonts w:hint="eastAsia"/>
                      <w:sz w:val="21"/>
                      <w:szCs w:val="21"/>
                      <w:highlight w:val="none"/>
                      <w:lang w:eastAsia="zh-CN"/>
                    </w:rPr>
                    <w:t>。</w:t>
                  </w:r>
                </w:p>
              </w:tc>
            </w:tr>
          </w:tbl>
          <w:p w14:paraId="723DAABF">
            <w:pPr>
              <w:pStyle w:val="54"/>
              <w:kinsoku/>
              <w:ind w:left="0" w:leftChars="0" w:firstLine="0" w:firstLineChars="0"/>
              <w:rPr>
                <w:b/>
                <w:bCs/>
                <w:highlight w:val="none"/>
              </w:rPr>
            </w:pPr>
            <w:r>
              <w:rPr>
                <w:b/>
                <w:bCs/>
                <w:highlight w:val="none"/>
              </w:rPr>
              <w:t>5</w:t>
            </w:r>
            <w:r>
              <w:rPr>
                <w:rFonts w:hint="eastAsia"/>
                <w:b/>
                <w:bCs/>
                <w:highlight w:val="none"/>
                <w:lang w:val="en-US" w:eastAsia="zh-CN"/>
              </w:rPr>
              <w:t>.</w:t>
            </w:r>
            <w:r>
              <w:rPr>
                <w:rFonts w:hint="eastAsia"/>
                <w:b/>
                <w:bCs/>
                <w:highlight w:val="none"/>
              </w:rPr>
              <w:t>地下水</w:t>
            </w:r>
            <w:r>
              <w:rPr>
                <w:rFonts w:hint="eastAsia"/>
                <w:b/>
                <w:bCs/>
                <w:highlight w:val="none"/>
                <w:lang w:eastAsia="zh-CN"/>
              </w:rPr>
              <w:t>及</w:t>
            </w:r>
            <w:r>
              <w:rPr>
                <w:b/>
                <w:bCs/>
                <w:highlight w:val="none"/>
              </w:rPr>
              <w:t>土壤环境影响分析</w:t>
            </w:r>
          </w:p>
          <w:p w14:paraId="42CC4C4F">
            <w:pPr>
              <w:spacing w:line="360" w:lineRule="auto"/>
              <w:ind w:firstLine="480" w:firstLineChars="200"/>
              <w:rPr>
                <w:sz w:val="24"/>
                <w:highlight w:val="none"/>
                <w:lang w:val="en-GB"/>
              </w:rPr>
            </w:pPr>
            <w:r>
              <w:rPr>
                <w:rFonts w:hint="eastAsia"/>
                <w:sz w:val="24"/>
                <w:highlight w:val="none"/>
                <w:lang w:val="en-GB"/>
              </w:rPr>
              <w:t>项目运营过程可能对地下水、土壤产生污染</w:t>
            </w:r>
            <w:r>
              <w:rPr>
                <w:rFonts w:hint="eastAsia"/>
                <w:sz w:val="24"/>
                <w:highlight w:val="none"/>
                <w:lang w:val="en-GB" w:eastAsia="zh-CN"/>
              </w:rPr>
              <w:t>的</w:t>
            </w:r>
            <w:r>
              <w:rPr>
                <w:rFonts w:hint="eastAsia"/>
                <w:sz w:val="24"/>
                <w:highlight w:val="none"/>
                <w:lang w:val="en-GB"/>
              </w:rPr>
              <w:t>途径主要包括：化粪池发生破损，造成生活污水</w:t>
            </w:r>
            <w:r>
              <w:rPr>
                <w:rFonts w:hint="eastAsia"/>
                <w:sz w:val="24"/>
                <w:highlight w:val="none"/>
                <w:lang w:val="en-GB" w:eastAsia="zh-CN"/>
              </w:rPr>
              <w:t>泄漏</w:t>
            </w:r>
            <w:r>
              <w:rPr>
                <w:rFonts w:hint="eastAsia"/>
                <w:sz w:val="24"/>
                <w:highlight w:val="none"/>
                <w:lang w:val="en-GB"/>
              </w:rPr>
              <w:t>，将对项目周边地下水、土壤环境产生影响，为防止污染地下水和土壤，本项目将严格按照</w:t>
            </w:r>
            <w:r>
              <w:rPr>
                <w:rFonts w:hint="eastAsia"/>
                <w:sz w:val="24"/>
                <w:highlight w:val="none"/>
                <w:lang w:val="en-GB" w:eastAsia="zh-CN"/>
              </w:rPr>
              <w:t>“</w:t>
            </w:r>
            <w:r>
              <w:rPr>
                <w:rFonts w:hint="eastAsia"/>
                <w:sz w:val="24"/>
                <w:highlight w:val="none"/>
                <w:lang w:val="en-GB"/>
              </w:rPr>
              <w:t>源头控制、分区防控、污染监控、应急响应</w:t>
            </w:r>
            <w:r>
              <w:rPr>
                <w:rFonts w:hint="eastAsia"/>
                <w:sz w:val="24"/>
                <w:highlight w:val="none"/>
                <w:lang w:val="en-GB" w:eastAsia="zh-CN"/>
              </w:rPr>
              <w:t>”</w:t>
            </w:r>
            <w:r>
              <w:rPr>
                <w:rFonts w:hint="eastAsia"/>
                <w:sz w:val="24"/>
                <w:highlight w:val="none"/>
                <w:lang w:val="en-GB"/>
              </w:rPr>
              <w:t>的原则采取相应环境保护措施及管理措施。具体措施如下：</w:t>
            </w:r>
          </w:p>
          <w:p w14:paraId="32985455">
            <w:pPr>
              <w:spacing w:line="360" w:lineRule="auto"/>
              <w:ind w:firstLine="480" w:firstLineChars="200"/>
              <w:rPr>
                <w:sz w:val="24"/>
                <w:highlight w:val="none"/>
              </w:rPr>
            </w:pPr>
            <w:r>
              <w:rPr>
                <w:rFonts w:hint="eastAsia"/>
                <w:sz w:val="24"/>
                <w:highlight w:val="none"/>
                <w:lang w:val="en-GB"/>
              </w:rPr>
              <w:t>对项目厂区进行分区防渗：生产车间、厂区内道路、宿舍、办公室、敞开式产品堆场、原料库等厂区内地面均采用水泥简单防渗；化粪池采用一般防渗（防渗层至少</w:t>
            </w:r>
            <w:r>
              <w:rPr>
                <w:rFonts w:hint="eastAsia"/>
                <w:sz w:val="24"/>
                <w:highlight w:val="none"/>
              </w:rPr>
              <w:t>1m厚黏土层+10cm水泥防渗层，最终效果满足K≤1.0×10</w:t>
            </w:r>
            <w:r>
              <w:rPr>
                <w:rFonts w:hint="eastAsia"/>
                <w:sz w:val="24"/>
                <w:highlight w:val="none"/>
                <w:vertAlign w:val="superscript"/>
              </w:rPr>
              <w:t>-7</w:t>
            </w:r>
            <w:r>
              <w:rPr>
                <w:rFonts w:hint="eastAsia"/>
                <w:sz w:val="24"/>
                <w:highlight w:val="none"/>
              </w:rPr>
              <w:t>cm/s</w:t>
            </w:r>
            <w:r>
              <w:rPr>
                <w:rFonts w:hint="eastAsia"/>
                <w:sz w:val="24"/>
                <w:highlight w:val="none"/>
                <w:lang w:val="en-GB"/>
              </w:rPr>
              <w:t xml:space="preserve">）。采取上述措施后对周围土壤环境影响较小。 </w:t>
            </w:r>
          </w:p>
          <w:p w14:paraId="5639052D">
            <w:pPr>
              <w:pStyle w:val="11"/>
              <w:numPr>
                <w:ilvl w:val="0"/>
                <w:numId w:val="0"/>
              </w:numPr>
              <w:spacing w:after="0" w:line="360" w:lineRule="auto"/>
              <w:ind w:right="0" w:rightChars="0"/>
              <w:rPr>
                <w:rStyle w:val="34"/>
                <w:b/>
                <w:bCs w:val="0"/>
                <w:sz w:val="24"/>
                <w:highlight w:val="none"/>
              </w:rPr>
            </w:pPr>
            <w:r>
              <w:rPr>
                <w:rFonts w:hint="eastAsia"/>
                <w:b/>
                <w:bCs w:val="0"/>
                <w:sz w:val="24"/>
                <w:highlight w:val="none"/>
                <w:lang w:val="en-US" w:eastAsia="zh-CN"/>
              </w:rPr>
              <w:t>6.</w:t>
            </w:r>
            <w:r>
              <w:rPr>
                <w:b/>
                <w:bCs w:val="0"/>
                <w:sz w:val="24"/>
                <w:highlight w:val="none"/>
              </w:rPr>
              <w:t>环境监测</w:t>
            </w:r>
          </w:p>
          <w:p w14:paraId="64886331">
            <w:pPr>
              <w:spacing w:line="360" w:lineRule="auto"/>
              <w:ind w:firstLine="480" w:firstLineChars="200"/>
              <w:rPr>
                <w:sz w:val="24"/>
                <w:highlight w:val="none"/>
              </w:rPr>
            </w:pPr>
            <w:r>
              <w:rPr>
                <w:sz w:val="24"/>
                <w:highlight w:val="none"/>
              </w:rPr>
              <w:t xml:space="preserve">根据《排污单位自行监测技术指南 </w:t>
            </w:r>
            <w:r>
              <w:rPr>
                <w:rFonts w:hint="eastAsia"/>
                <w:sz w:val="24"/>
                <w:highlight w:val="none"/>
              </w:rPr>
              <w:t>水泥工业</w:t>
            </w:r>
            <w:r>
              <w:rPr>
                <w:sz w:val="24"/>
                <w:highlight w:val="none"/>
              </w:rPr>
              <w:t>》（HJ</w:t>
            </w:r>
            <w:r>
              <w:rPr>
                <w:rFonts w:hint="eastAsia"/>
                <w:sz w:val="24"/>
                <w:highlight w:val="none"/>
              </w:rPr>
              <w:t>848-2017</w:t>
            </w:r>
            <w:r>
              <w:rPr>
                <w:sz w:val="24"/>
                <w:highlight w:val="none"/>
              </w:rPr>
              <w:t>）</w:t>
            </w:r>
            <w:r>
              <w:rPr>
                <w:rFonts w:hint="eastAsia"/>
                <w:sz w:val="24"/>
                <w:highlight w:val="none"/>
              </w:rPr>
              <w:t>、</w:t>
            </w:r>
            <w:r>
              <w:rPr>
                <w:sz w:val="24"/>
                <w:highlight w:val="none"/>
              </w:rPr>
              <w:t xml:space="preserve">《排污单位自行监测技术指南 </w:t>
            </w:r>
            <w:r>
              <w:rPr>
                <w:rFonts w:hint="eastAsia"/>
                <w:sz w:val="24"/>
                <w:highlight w:val="none"/>
              </w:rPr>
              <w:t>火力发电及锅炉</w:t>
            </w:r>
            <w:r>
              <w:rPr>
                <w:sz w:val="24"/>
                <w:highlight w:val="none"/>
              </w:rPr>
              <w:t>》（HJ</w:t>
            </w:r>
            <w:r>
              <w:rPr>
                <w:rFonts w:hint="eastAsia"/>
                <w:sz w:val="24"/>
                <w:highlight w:val="none"/>
              </w:rPr>
              <w:t>820-2017</w:t>
            </w:r>
            <w:r>
              <w:rPr>
                <w:sz w:val="24"/>
                <w:highlight w:val="none"/>
              </w:rPr>
              <w:t>）及《国家重点监控企业自行监测及信息公开办法》，以及项目运营期环境污染特点，主要是对建设项目建成生产后的污染源的监测。各环保设施运行情况应进行定期监测。监测计划如下：</w:t>
            </w:r>
          </w:p>
          <w:p w14:paraId="5F523274">
            <w:pPr>
              <w:spacing w:line="360" w:lineRule="auto"/>
              <w:ind w:firstLine="480" w:firstLineChars="200"/>
              <w:rPr>
                <w:sz w:val="24"/>
                <w:highlight w:val="none"/>
              </w:rPr>
            </w:pPr>
            <w:r>
              <w:rPr>
                <w:sz w:val="24"/>
                <w:highlight w:val="none"/>
              </w:rPr>
              <w:t>（1）在所有环保设备经过试运转，并经检验合格后，方可正式运行。</w:t>
            </w:r>
          </w:p>
          <w:p w14:paraId="6F667C4E">
            <w:pPr>
              <w:spacing w:line="360" w:lineRule="auto"/>
              <w:ind w:firstLine="480" w:firstLineChars="200"/>
              <w:rPr>
                <w:sz w:val="24"/>
                <w:highlight w:val="none"/>
              </w:rPr>
            </w:pPr>
            <w:r>
              <w:rPr>
                <w:sz w:val="24"/>
                <w:highlight w:val="none"/>
              </w:rPr>
              <w:t>（2）企业必须保证所有环保设备的正常运行，并保证各类污染物达到国家的排放标准和当地环保部门的管理要求。</w:t>
            </w:r>
          </w:p>
          <w:p w14:paraId="49BBB951">
            <w:pPr>
              <w:spacing w:line="360" w:lineRule="auto"/>
              <w:ind w:firstLine="480" w:firstLineChars="200"/>
              <w:rPr>
                <w:sz w:val="24"/>
                <w:highlight w:val="none"/>
              </w:rPr>
            </w:pPr>
            <w:r>
              <w:rPr>
                <w:sz w:val="24"/>
                <w:highlight w:val="none"/>
              </w:rPr>
              <w:t>（3）对全部设施正常运转的情况下，最大的污染物排放量废气、噪声设备向当地环保机构进行申报登记，领取排污许可证，并进行年审。</w:t>
            </w:r>
          </w:p>
          <w:p w14:paraId="41C1315E">
            <w:pPr>
              <w:spacing w:line="360" w:lineRule="auto"/>
              <w:ind w:firstLine="480" w:firstLineChars="200"/>
              <w:rPr>
                <w:sz w:val="24"/>
                <w:highlight w:val="none"/>
              </w:rPr>
            </w:pPr>
            <w:r>
              <w:rPr>
                <w:sz w:val="24"/>
                <w:highlight w:val="none"/>
              </w:rPr>
              <w:t>运营期环境监测计划见表4-</w:t>
            </w:r>
            <w:r>
              <w:rPr>
                <w:rFonts w:hint="eastAsia"/>
                <w:sz w:val="24"/>
                <w:highlight w:val="none"/>
              </w:rPr>
              <w:t>5</w:t>
            </w:r>
            <w:r>
              <w:rPr>
                <w:sz w:val="24"/>
                <w:highlight w:val="none"/>
              </w:rPr>
              <w:t>。</w:t>
            </w:r>
          </w:p>
          <w:p w14:paraId="2B8FADEE">
            <w:pPr>
              <w:jc w:val="center"/>
              <w:rPr>
                <w:b/>
                <w:bCs/>
                <w:szCs w:val="21"/>
                <w:highlight w:val="none"/>
              </w:rPr>
            </w:pPr>
            <w:r>
              <w:rPr>
                <w:b/>
                <w:bCs/>
                <w:szCs w:val="21"/>
                <w:highlight w:val="none"/>
              </w:rPr>
              <w:t>表4-</w:t>
            </w:r>
            <w:r>
              <w:rPr>
                <w:rFonts w:hint="eastAsia"/>
                <w:b/>
                <w:bCs/>
                <w:szCs w:val="21"/>
                <w:highlight w:val="none"/>
              </w:rPr>
              <w:t>5</w:t>
            </w:r>
            <w:r>
              <w:rPr>
                <w:b/>
                <w:bCs/>
                <w:szCs w:val="21"/>
                <w:highlight w:val="none"/>
              </w:rPr>
              <w:t xml:space="preserve"> </w:t>
            </w:r>
            <w:r>
              <w:rPr>
                <w:rFonts w:hint="eastAsia"/>
                <w:b/>
                <w:bCs/>
                <w:szCs w:val="21"/>
                <w:highlight w:val="none"/>
              </w:rPr>
              <w:t xml:space="preserve">   运营期环境监测计划</w:t>
            </w:r>
            <w:r>
              <w:rPr>
                <w:b/>
                <w:bCs/>
                <w:szCs w:val="21"/>
                <w:highlight w:val="none"/>
              </w:rPr>
              <w:t>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193"/>
              <w:gridCol w:w="1331"/>
              <w:gridCol w:w="515"/>
              <w:gridCol w:w="958"/>
              <w:gridCol w:w="1672"/>
              <w:gridCol w:w="1225"/>
            </w:tblGrid>
            <w:tr w14:paraId="50EA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rPr>
              <w:tc>
                <w:tcPr>
                  <w:tcW w:w="657" w:type="pct"/>
                  <w:vAlign w:val="center"/>
                </w:tcPr>
                <w:p w14:paraId="42104194">
                  <w:pPr>
                    <w:adjustRightInd w:val="0"/>
                    <w:snapToGrid w:val="0"/>
                    <w:jc w:val="center"/>
                    <w:rPr>
                      <w:szCs w:val="21"/>
                      <w:highlight w:val="none"/>
                    </w:rPr>
                  </w:pPr>
                  <w:r>
                    <w:rPr>
                      <w:szCs w:val="21"/>
                      <w:highlight w:val="none"/>
                    </w:rPr>
                    <w:t>污染源名称</w:t>
                  </w:r>
                </w:p>
              </w:tc>
              <w:tc>
                <w:tcPr>
                  <w:tcW w:w="751" w:type="pct"/>
                  <w:vAlign w:val="center"/>
                </w:tcPr>
                <w:p w14:paraId="04B09480">
                  <w:pPr>
                    <w:adjustRightInd w:val="0"/>
                    <w:snapToGrid w:val="0"/>
                    <w:jc w:val="center"/>
                    <w:rPr>
                      <w:szCs w:val="21"/>
                      <w:highlight w:val="none"/>
                    </w:rPr>
                  </w:pPr>
                  <w:r>
                    <w:rPr>
                      <w:szCs w:val="21"/>
                      <w:highlight w:val="none"/>
                    </w:rPr>
                    <w:t>监测项目</w:t>
                  </w:r>
                </w:p>
              </w:tc>
              <w:tc>
                <w:tcPr>
                  <w:tcW w:w="838" w:type="pct"/>
                  <w:vAlign w:val="center"/>
                </w:tcPr>
                <w:p w14:paraId="053D9BCA">
                  <w:pPr>
                    <w:adjustRightInd w:val="0"/>
                    <w:snapToGrid w:val="0"/>
                    <w:jc w:val="center"/>
                    <w:rPr>
                      <w:szCs w:val="21"/>
                      <w:highlight w:val="none"/>
                    </w:rPr>
                  </w:pPr>
                  <w:r>
                    <w:rPr>
                      <w:szCs w:val="21"/>
                      <w:highlight w:val="none"/>
                    </w:rPr>
                    <w:t>监测点位置</w:t>
                  </w:r>
                </w:p>
              </w:tc>
              <w:tc>
                <w:tcPr>
                  <w:tcW w:w="324" w:type="pct"/>
                  <w:vAlign w:val="center"/>
                </w:tcPr>
                <w:p w14:paraId="278E4B15">
                  <w:pPr>
                    <w:adjustRightInd w:val="0"/>
                    <w:snapToGrid w:val="0"/>
                    <w:jc w:val="center"/>
                    <w:rPr>
                      <w:szCs w:val="21"/>
                      <w:highlight w:val="none"/>
                    </w:rPr>
                  </w:pPr>
                  <w:r>
                    <w:rPr>
                      <w:szCs w:val="21"/>
                      <w:highlight w:val="none"/>
                    </w:rPr>
                    <w:t>监测点数</w:t>
                  </w:r>
                </w:p>
              </w:tc>
              <w:tc>
                <w:tcPr>
                  <w:tcW w:w="603" w:type="pct"/>
                  <w:vAlign w:val="center"/>
                </w:tcPr>
                <w:p w14:paraId="18E32F09">
                  <w:pPr>
                    <w:adjustRightInd w:val="0"/>
                    <w:snapToGrid w:val="0"/>
                    <w:jc w:val="center"/>
                    <w:rPr>
                      <w:szCs w:val="21"/>
                      <w:highlight w:val="none"/>
                    </w:rPr>
                  </w:pPr>
                  <w:r>
                    <w:rPr>
                      <w:szCs w:val="21"/>
                      <w:highlight w:val="none"/>
                    </w:rPr>
                    <w:t>监测频率</w:t>
                  </w:r>
                </w:p>
              </w:tc>
              <w:tc>
                <w:tcPr>
                  <w:tcW w:w="1053" w:type="pct"/>
                  <w:vAlign w:val="center"/>
                </w:tcPr>
                <w:p w14:paraId="5E902DE8">
                  <w:pPr>
                    <w:adjustRightInd w:val="0"/>
                    <w:snapToGrid w:val="0"/>
                    <w:jc w:val="center"/>
                    <w:rPr>
                      <w:szCs w:val="21"/>
                      <w:highlight w:val="none"/>
                    </w:rPr>
                  </w:pPr>
                  <w:r>
                    <w:rPr>
                      <w:rFonts w:hint="eastAsia"/>
                      <w:szCs w:val="21"/>
                      <w:highlight w:val="none"/>
                    </w:rPr>
                    <w:t>执行标准</w:t>
                  </w:r>
                </w:p>
              </w:tc>
              <w:tc>
                <w:tcPr>
                  <w:tcW w:w="771" w:type="pct"/>
                  <w:vAlign w:val="center"/>
                </w:tcPr>
                <w:p w14:paraId="5C3DFB9D">
                  <w:pPr>
                    <w:adjustRightInd w:val="0"/>
                    <w:snapToGrid w:val="0"/>
                    <w:jc w:val="center"/>
                    <w:rPr>
                      <w:szCs w:val="21"/>
                      <w:highlight w:val="none"/>
                    </w:rPr>
                  </w:pPr>
                  <w:r>
                    <w:rPr>
                      <w:rFonts w:hint="eastAsia"/>
                      <w:szCs w:val="21"/>
                      <w:highlight w:val="none"/>
                    </w:rPr>
                    <w:t>标准限值</w:t>
                  </w:r>
                </w:p>
              </w:tc>
            </w:tr>
            <w:tr w14:paraId="4DD7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657" w:type="pct"/>
                  <w:vAlign w:val="center"/>
                </w:tcPr>
                <w:p w14:paraId="558F48A7">
                  <w:pPr>
                    <w:adjustRightInd w:val="0"/>
                    <w:snapToGrid w:val="0"/>
                    <w:jc w:val="center"/>
                    <w:rPr>
                      <w:szCs w:val="21"/>
                      <w:highlight w:val="none"/>
                    </w:rPr>
                  </w:pPr>
                  <w:r>
                    <w:rPr>
                      <w:szCs w:val="21"/>
                      <w:highlight w:val="none"/>
                    </w:rPr>
                    <w:t>厂界无组织废气</w:t>
                  </w:r>
                </w:p>
              </w:tc>
              <w:tc>
                <w:tcPr>
                  <w:tcW w:w="751" w:type="pct"/>
                  <w:vAlign w:val="center"/>
                </w:tcPr>
                <w:p w14:paraId="74E3135E">
                  <w:pPr>
                    <w:adjustRightInd w:val="0"/>
                    <w:snapToGrid w:val="0"/>
                    <w:jc w:val="center"/>
                    <w:rPr>
                      <w:szCs w:val="21"/>
                      <w:highlight w:val="none"/>
                    </w:rPr>
                  </w:pPr>
                  <w:r>
                    <w:rPr>
                      <w:rFonts w:hint="eastAsia"/>
                      <w:szCs w:val="21"/>
                      <w:highlight w:val="none"/>
                    </w:rPr>
                    <w:t>颗粒物</w:t>
                  </w:r>
                </w:p>
              </w:tc>
              <w:tc>
                <w:tcPr>
                  <w:tcW w:w="838" w:type="pct"/>
                  <w:vAlign w:val="center"/>
                </w:tcPr>
                <w:p w14:paraId="466B0225">
                  <w:pPr>
                    <w:adjustRightInd w:val="0"/>
                    <w:snapToGrid w:val="0"/>
                    <w:rPr>
                      <w:szCs w:val="21"/>
                      <w:highlight w:val="none"/>
                    </w:rPr>
                  </w:pPr>
                  <w:r>
                    <w:rPr>
                      <w:szCs w:val="21"/>
                      <w:highlight w:val="none"/>
                    </w:rPr>
                    <w:t>厂界外上</w:t>
                  </w:r>
                  <w:r>
                    <w:rPr>
                      <w:rFonts w:hint="eastAsia"/>
                      <w:szCs w:val="21"/>
                      <w:highlight w:val="none"/>
                    </w:rPr>
                    <w:t>风向</w:t>
                  </w:r>
                  <w:r>
                    <w:rPr>
                      <w:szCs w:val="21"/>
                      <w:highlight w:val="none"/>
                    </w:rPr>
                    <w:t>1个</w:t>
                  </w:r>
                  <w:r>
                    <w:rPr>
                      <w:rFonts w:hint="eastAsia"/>
                      <w:szCs w:val="21"/>
                      <w:highlight w:val="none"/>
                    </w:rPr>
                    <w:t>监测点</w:t>
                  </w:r>
                  <w:r>
                    <w:rPr>
                      <w:szCs w:val="21"/>
                      <w:highlight w:val="none"/>
                    </w:rPr>
                    <w:t>、下风向3个</w:t>
                  </w:r>
                  <w:r>
                    <w:rPr>
                      <w:rFonts w:hint="eastAsia"/>
                      <w:szCs w:val="21"/>
                      <w:highlight w:val="none"/>
                    </w:rPr>
                    <w:t>监测点</w:t>
                  </w:r>
                </w:p>
              </w:tc>
              <w:tc>
                <w:tcPr>
                  <w:tcW w:w="324" w:type="pct"/>
                  <w:vAlign w:val="center"/>
                </w:tcPr>
                <w:p w14:paraId="123E2F2B">
                  <w:pPr>
                    <w:adjustRightInd w:val="0"/>
                    <w:snapToGrid w:val="0"/>
                    <w:jc w:val="center"/>
                    <w:rPr>
                      <w:szCs w:val="21"/>
                      <w:highlight w:val="none"/>
                    </w:rPr>
                  </w:pPr>
                  <w:r>
                    <w:rPr>
                      <w:szCs w:val="21"/>
                      <w:highlight w:val="none"/>
                    </w:rPr>
                    <w:t>4个</w:t>
                  </w:r>
                </w:p>
              </w:tc>
              <w:tc>
                <w:tcPr>
                  <w:tcW w:w="603" w:type="pct"/>
                  <w:vAlign w:val="center"/>
                </w:tcPr>
                <w:p w14:paraId="76A44368">
                  <w:pPr>
                    <w:adjustRightInd w:val="0"/>
                    <w:snapToGrid w:val="0"/>
                    <w:jc w:val="center"/>
                    <w:rPr>
                      <w:szCs w:val="21"/>
                      <w:highlight w:val="none"/>
                    </w:rPr>
                  </w:pPr>
                  <w:r>
                    <w:rPr>
                      <w:szCs w:val="21"/>
                      <w:highlight w:val="none"/>
                    </w:rPr>
                    <w:t>1次</w:t>
                  </w:r>
                  <w:r>
                    <w:rPr>
                      <w:rFonts w:hint="eastAsia"/>
                      <w:szCs w:val="21"/>
                      <w:highlight w:val="none"/>
                    </w:rPr>
                    <w:t>/季度</w:t>
                  </w:r>
                </w:p>
              </w:tc>
              <w:tc>
                <w:tcPr>
                  <w:tcW w:w="1053" w:type="pct"/>
                  <w:vAlign w:val="center"/>
                </w:tcPr>
                <w:p w14:paraId="16BAF53B">
                  <w:pPr>
                    <w:adjustRightInd w:val="0"/>
                    <w:snapToGrid w:val="0"/>
                    <w:jc w:val="center"/>
                    <w:rPr>
                      <w:szCs w:val="21"/>
                      <w:highlight w:val="none"/>
                    </w:rPr>
                  </w:pPr>
                  <w:r>
                    <w:rPr>
                      <w:rFonts w:hint="eastAsia"/>
                      <w:highlight w:val="none"/>
                    </w:rPr>
                    <w:t>《水泥工业污染物排放标准》（GB4915-2013）</w:t>
                  </w:r>
                  <w:r>
                    <w:rPr>
                      <w:szCs w:val="21"/>
                      <w:highlight w:val="none"/>
                    </w:rPr>
                    <w:t>无组织排放监控浓度限值</w:t>
                  </w:r>
                </w:p>
              </w:tc>
              <w:tc>
                <w:tcPr>
                  <w:tcW w:w="771" w:type="pct"/>
                  <w:vAlign w:val="center"/>
                </w:tcPr>
                <w:p w14:paraId="1D5E8312">
                  <w:pPr>
                    <w:adjustRightInd w:val="0"/>
                    <w:snapToGrid w:val="0"/>
                    <w:jc w:val="center"/>
                    <w:rPr>
                      <w:snapToGrid w:val="0"/>
                      <w:szCs w:val="21"/>
                      <w:highlight w:val="none"/>
                    </w:rPr>
                  </w:pPr>
                  <w:r>
                    <w:rPr>
                      <w:rFonts w:hint="eastAsia"/>
                      <w:snapToGrid w:val="0"/>
                      <w:szCs w:val="21"/>
                      <w:highlight w:val="none"/>
                    </w:rPr>
                    <w:t>0.5</w:t>
                  </w:r>
                  <w:r>
                    <w:rPr>
                      <w:rFonts w:hint="eastAsia"/>
                      <w:highlight w:val="none"/>
                    </w:rPr>
                    <w:t>mg/m</w:t>
                  </w:r>
                  <w:r>
                    <w:rPr>
                      <w:rFonts w:hint="eastAsia"/>
                      <w:highlight w:val="none"/>
                      <w:vertAlign w:val="superscript"/>
                    </w:rPr>
                    <w:t>3</w:t>
                  </w:r>
                </w:p>
              </w:tc>
            </w:tr>
            <w:tr w14:paraId="7A71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3" w:hRule="atLeast"/>
              </w:trPr>
              <w:tc>
                <w:tcPr>
                  <w:tcW w:w="657" w:type="pct"/>
                  <w:vAlign w:val="center"/>
                </w:tcPr>
                <w:p w14:paraId="4DBD9CB7">
                  <w:pPr>
                    <w:adjustRightInd w:val="0"/>
                    <w:snapToGrid w:val="0"/>
                    <w:jc w:val="center"/>
                    <w:rPr>
                      <w:szCs w:val="21"/>
                      <w:highlight w:val="none"/>
                    </w:rPr>
                  </w:pPr>
                  <w:r>
                    <w:rPr>
                      <w:rFonts w:hint="eastAsia"/>
                      <w:szCs w:val="21"/>
                      <w:highlight w:val="none"/>
                    </w:rPr>
                    <w:t>除尘器废气</w:t>
                  </w:r>
                </w:p>
              </w:tc>
              <w:tc>
                <w:tcPr>
                  <w:tcW w:w="751" w:type="pct"/>
                  <w:vAlign w:val="center"/>
                </w:tcPr>
                <w:p w14:paraId="7E320739">
                  <w:pPr>
                    <w:adjustRightInd w:val="0"/>
                    <w:snapToGrid w:val="0"/>
                    <w:jc w:val="center"/>
                    <w:rPr>
                      <w:szCs w:val="21"/>
                      <w:highlight w:val="none"/>
                    </w:rPr>
                  </w:pPr>
                  <w:r>
                    <w:rPr>
                      <w:rFonts w:hint="eastAsia"/>
                      <w:szCs w:val="21"/>
                      <w:highlight w:val="none"/>
                    </w:rPr>
                    <w:t>颗粒物</w:t>
                  </w:r>
                </w:p>
              </w:tc>
              <w:tc>
                <w:tcPr>
                  <w:tcW w:w="838" w:type="pct"/>
                  <w:vAlign w:val="center"/>
                </w:tcPr>
                <w:p w14:paraId="604C0161">
                  <w:pPr>
                    <w:adjustRightInd w:val="0"/>
                    <w:snapToGrid w:val="0"/>
                    <w:jc w:val="center"/>
                    <w:rPr>
                      <w:rFonts w:hint="default" w:eastAsia="宋体"/>
                      <w:szCs w:val="21"/>
                      <w:highlight w:val="none"/>
                      <w:lang w:val="en-US" w:eastAsia="zh-CN"/>
                    </w:rPr>
                  </w:pPr>
                  <w:r>
                    <w:rPr>
                      <w:rFonts w:hint="eastAsia"/>
                      <w:szCs w:val="21"/>
                      <w:highlight w:val="none"/>
                    </w:rPr>
                    <w:t>搅拌机15m高排气筒出口</w:t>
                  </w:r>
                  <w:r>
                    <w:rPr>
                      <w:rFonts w:hint="eastAsia"/>
                      <w:szCs w:val="21"/>
                      <w:highlight w:val="none"/>
                      <w:lang w:val="en-US" w:eastAsia="zh-CN"/>
                    </w:rPr>
                    <w:t>P5</w:t>
                  </w:r>
                </w:p>
              </w:tc>
              <w:tc>
                <w:tcPr>
                  <w:tcW w:w="324" w:type="pct"/>
                  <w:vAlign w:val="center"/>
                </w:tcPr>
                <w:p w14:paraId="5EDDC0D3">
                  <w:pPr>
                    <w:adjustRightInd w:val="0"/>
                    <w:snapToGrid w:val="0"/>
                    <w:jc w:val="center"/>
                    <w:rPr>
                      <w:szCs w:val="21"/>
                      <w:highlight w:val="none"/>
                    </w:rPr>
                  </w:pPr>
                  <w:r>
                    <w:rPr>
                      <w:rFonts w:hint="eastAsia"/>
                      <w:szCs w:val="21"/>
                      <w:highlight w:val="none"/>
                    </w:rPr>
                    <w:t>1个</w:t>
                  </w:r>
                </w:p>
              </w:tc>
              <w:tc>
                <w:tcPr>
                  <w:tcW w:w="603" w:type="pct"/>
                  <w:vAlign w:val="center"/>
                </w:tcPr>
                <w:p w14:paraId="7C3B4FA4">
                  <w:pPr>
                    <w:adjustRightInd w:val="0"/>
                    <w:snapToGrid w:val="0"/>
                    <w:jc w:val="center"/>
                    <w:rPr>
                      <w:szCs w:val="21"/>
                      <w:highlight w:val="none"/>
                    </w:rPr>
                  </w:pPr>
                  <w:r>
                    <w:rPr>
                      <w:szCs w:val="21"/>
                      <w:highlight w:val="none"/>
                    </w:rPr>
                    <w:t>1次</w:t>
                  </w:r>
                  <w:r>
                    <w:rPr>
                      <w:rFonts w:hint="eastAsia"/>
                      <w:szCs w:val="21"/>
                      <w:highlight w:val="none"/>
                    </w:rPr>
                    <w:t>/两年</w:t>
                  </w:r>
                </w:p>
              </w:tc>
              <w:tc>
                <w:tcPr>
                  <w:tcW w:w="1053" w:type="pct"/>
                  <w:vMerge w:val="restart"/>
                  <w:vAlign w:val="center"/>
                </w:tcPr>
                <w:p w14:paraId="0A6B437D">
                  <w:pPr>
                    <w:adjustRightInd w:val="0"/>
                    <w:snapToGrid w:val="0"/>
                    <w:jc w:val="center"/>
                    <w:rPr>
                      <w:szCs w:val="21"/>
                      <w:highlight w:val="none"/>
                    </w:rPr>
                  </w:pPr>
                  <w:r>
                    <w:rPr>
                      <w:rFonts w:hint="eastAsia"/>
                      <w:highlight w:val="none"/>
                    </w:rPr>
                    <w:t>《水泥工业污染物排放标准》（GB4915-2013）</w:t>
                  </w:r>
                </w:p>
              </w:tc>
              <w:tc>
                <w:tcPr>
                  <w:tcW w:w="771" w:type="pct"/>
                  <w:vMerge w:val="restart"/>
                  <w:vAlign w:val="center"/>
                </w:tcPr>
                <w:p w14:paraId="5008BE18">
                  <w:pPr>
                    <w:adjustRightInd w:val="0"/>
                    <w:snapToGrid w:val="0"/>
                    <w:jc w:val="center"/>
                    <w:rPr>
                      <w:szCs w:val="21"/>
                      <w:highlight w:val="none"/>
                    </w:rPr>
                  </w:pPr>
                  <w:r>
                    <w:rPr>
                      <w:rFonts w:hint="eastAsia"/>
                      <w:highlight w:val="none"/>
                      <w:lang w:val="en-US" w:eastAsia="zh-CN"/>
                    </w:rPr>
                    <w:t>2</w:t>
                  </w:r>
                  <w:r>
                    <w:rPr>
                      <w:rFonts w:hint="eastAsia"/>
                      <w:highlight w:val="none"/>
                    </w:rPr>
                    <w:t>0mg/Nm</w:t>
                  </w:r>
                  <w:r>
                    <w:rPr>
                      <w:rFonts w:hint="eastAsia"/>
                      <w:highlight w:val="none"/>
                      <w:vertAlign w:val="superscript"/>
                    </w:rPr>
                    <w:t>3</w:t>
                  </w:r>
                  <w:r>
                    <w:rPr>
                      <w:rFonts w:hint="eastAsia"/>
                      <w:snapToGrid w:val="0"/>
                      <w:szCs w:val="21"/>
                      <w:highlight w:val="none"/>
                    </w:rPr>
                    <w:t xml:space="preserve"> </w:t>
                  </w:r>
                </w:p>
              </w:tc>
            </w:tr>
            <w:tr w14:paraId="2016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3" w:hRule="atLeast"/>
              </w:trPr>
              <w:tc>
                <w:tcPr>
                  <w:tcW w:w="657" w:type="pct"/>
                  <w:vAlign w:val="center"/>
                </w:tcPr>
                <w:p w14:paraId="6D927E79">
                  <w:pPr>
                    <w:adjustRightInd w:val="0"/>
                    <w:snapToGrid w:val="0"/>
                    <w:jc w:val="center"/>
                    <w:rPr>
                      <w:szCs w:val="21"/>
                      <w:highlight w:val="none"/>
                    </w:rPr>
                  </w:pPr>
                  <w:r>
                    <w:rPr>
                      <w:rFonts w:hint="eastAsia"/>
                      <w:szCs w:val="21"/>
                      <w:highlight w:val="none"/>
                    </w:rPr>
                    <w:t>水泥筒仓</w:t>
                  </w:r>
                </w:p>
              </w:tc>
              <w:tc>
                <w:tcPr>
                  <w:tcW w:w="751" w:type="pct"/>
                  <w:vAlign w:val="center"/>
                </w:tcPr>
                <w:p w14:paraId="280ADC06">
                  <w:pPr>
                    <w:adjustRightInd w:val="0"/>
                    <w:snapToGrid w:val="0"/>
                    <w:jc w:val="center"/>
                    <w:rPr>
                      <w:szCs w:val="21"/>
                      <w:highlight w:val="none"/>
                    </w:rPr>
                  </w:pPr>
                  <w:r>
                    <w:rPr>
                      <w:rFonts w:hint="eastAsia"/>
                      <w:szCs w:val="21"/>
                      <w:highlight w:val="none"/>
                    </w:rPr>
                    <w:t>颗粒物</w:t>
                  </w:r>
                </w:p>
              </w:tc>
              <w:tc>
                <w:tcPr>
                  <w:tcW w:w="838" w:type="pct"/>
                  <w:vAlign w:val="center"/>
                </w:tcPr>
                <w:p w14:paraId="43A79398">
                  <w:pPr>
                    <w:adjustRightInd w:val="0"/>
                    <w:snapToGrid w:val="0"/>
                    <w:jc w:val="center"/>
                    <w:rPr>
                      <w:rFonts w:hint="default" w:eastAsia="宋体"/>
                      <w:szCs w:val="21"/>
                      <w:highlight w:val="none"/>
                      <w:lang w:val="en-US" w:eastAsia="zh-CN"/>
                    </w:rPr>
                  </w:pPr>
                  <w:r>
                    <w:rPr>
                      <w:rFonts w:hint="eastAsia"/>
                      <w:szCs w:val="21"/>
                      <w:highlight w:val="none"/>
                    </w:rPr>
                    <w:t>呼吸口排放口</w:t>
                  </w:r>
                  <w:r>
                    <w:rPr>
                      <w:rFonts w:hint="eastAsia"/>
                      <w:szCs w:val="21"/>
                      <w:highlight w:val="none"/>
                      <w:lang w:val="en-US" w:eastAsia="zh-CN"/>
                    </w:rPr>
                    <w:t>P1、P2</w:t>
                  </w:r>
                </w:p>
              </w:tc>
              <w:tc>
                <w:tcPr>
                  <w:tcW w:w="324" w:type="pct"/>
                  <w:vAlign w:val="center"/>
                </w:tcPr>
                <w:p w14:paraId="0ED5F7A7">
                  <w:pPr>
                    <w:adjustRightInd w:val="0"/>
                    <w:snapToGrid w:val="0"/>
                    <w:jc w:val="center"/>
                    <w:rPr>
                      <w:szCs w:val="21"/>
                      <w:highlight w:val="none"/>
                    </w:rPr>
                  </w:pPr>
                  <w:r>
                    <w:rPr>
                      <w:rFonts w:hint="eastAsia"/>
                      <w:szCs w:val="21"/>
                      <w:highlight w:val="none"/>
                    </w:rPr>
                    <w:t>2个</w:t>
                  </w:r>
                </w:p>
              </w:tc>
              <w:tc>
                <w:tcPr>
                  <w:tcW w:w="603" w:type="pct"/>
                  <w:vAlign w:val="center"/>
                </w:tcPr>
                <w:p w14:paraId="418A7572">
                  <w:pPr>
                    <w:adjustRightInd w:val="0"/>
                    <w:snapToGrid w:val="0"/>
                    <w:jc w:val="center"/>
                    <w:rPr>
                      <w:szCs w:val="21"/>
                      <w:highlight w:val="none"/>
                    </w:rPr>
                  </w:pPr>
                  <w:r>
                    <w:rPr>
                      <w:szCs w:val="21"/>
                      <w:highlight w:val="none"/>
                    </w:rPr>
                    <w:t>1次</w:t>
                  </w:r>
                  <w:r>
                    <w:rPr>
                      <w:rFonts w:hint="eastAsia"/>
                      <w:szCs w:val="21"/>
                      <w:highlight w:val="none"/>
                    </w:rPr>
                    <w:t>/两年</w:t>
                  </w:r>
                </w:p>
              </w:tc>
              <w:tc>
                <w:tcPr>
                  <w:tcW w:w="1053" w:type="pct"/>
                  <w:vMerge w:val="continue"/>
                  <w:vAlign w:val="center"/>
                </w:tcPr>
                <w:p w14:paraId="77C85D98">
                  <w:pPr>
                    <w:adjustRightInd w:val="0"/>
                    <w:snapToGrid w:val="0"/>
                    <w:jc w:val="center"/>
                    <w:rPr>
                      <w:highlight w:val="none"/>
                    </w:rPr>
                  </w:pPr>
                </w:p>
              </w:tc>
              <w:tc>
                <w:tcPr>
                  <w:tcW w:w="771" w:type="pct"/>
                  <w:vMerge w:val="continue"/>
                  <w:vAlign w:val="center"/>
                </w:tcPr>
                <w:p w14:paraId="5CBB7F7C">
                  <w:pPr>
                    <w:adjustRightInd w:val="0"/>
                    <w:snapToGrid w:val="0"/>
                    <w:jc w:val="center"/>
                    <w:rPr>
                      <w:highlight w:val="none"/>
                    </w:rPr>
                  </w:pPr>
                </w:p>
              </w:tc>
            </w:tr>
            <w:tr w14:paraId="34347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3" w:hRule="atLeast"/>
              </w:trPr>
              <w:tc>
                <w:tcPr>
                  <w:tcW w:w="657" w:type="pct"/>
                  <w:vAlign w:val="center"/>
                </w:tcPr>
                <w:p w14:paraId="4A2BC857">
                  <w:pPr>
                    <w:adjustRightInd w:val="0"/>
                    <w:snapToGrid w:val="0"/>
                    <w:jc w:val="center"/>
                    <w:rPr>
                      <w:szCs w:val="21"/>
                      <w:highlight w:val="none"/>
                    </w:rPr>
                  </w:pPr>
                  <w:r>
                    <w:rPr>
                      <w:rFonts w:hint="eastAsia"/>
                      <w:szCs w:val="21"/>
                      <w:highlight w:val="none"/>
                    </w:rPr>
                    <w:t>矿粉筒仓</w:t>
                  </w:r>
                </w:p>
              </w:tc>
              <w:tc>
                <w:tcPr>
                  <w:tcW w:w="751" w:type="pct"/>
                  <w:vAlign w:val="center"/>
                </w:tcPr>
                <w:p w14:paraId="0CB182AE">
                  <w:pPr>
                    <w:adjustRightInd w:val="0"/>
                    <w:snapToGrid w:val="0"/>
                    <w:jc w:val="center"/>
                    <w:rPr>
                      <w:szCs w:val="21"/>
                      <w:highlight w:val="none"/>
                    </w:rPr>
                  </w:pPr>
                  <w:r>
                    <w:rPr>
                      <w:rFonts w:hint="eastAsia"/>
                      <w:szCs w:val="21"/>
                      <w:highlight w:val="none"/>
                    </w:rPr>
                    <w:t>颗粒物</w:t>
                  </w:r>
                </w:p>
              </w:tc>
              <w:tc>
                <w:tcPr>
                  <w:tcW w:w="838" w:type="pct"/>
                  <w:vAlign w:val="center"/>
                </w:tcPr>
                <w:p w14:paraId="10EF1538">
                  <w:pPr>
                    <w:adjustRightInd w:val="0"/>
                    <w:snapToGrid w:val="0"/>
                    <w:jc w:val="center"/>
                    <w:rPr>
                      <w:rFonts w:hint="default" w:eastAsia="宋体"/>
                      <w:szCs w:val="21"/>
                      <w:highlight w:val="none"/>
                      <w:lang w:val="en-US" w:eastAsia="zh-CN"/>
                    </w:rPr>
                  </w:pPr>
                  <w:r>
                    <w:rPr>
                      <w:rFonts w:hint="eastAsia"/>
                      <w:szCs w:val="21"/>
                      <w:highlight w:val="none"/>
                    </w:rPr>
                    <w:t>呼吸口排放口</w:t>
                  </w:r>
                  <w:r>
                    <w:rPr>
                      <w:rFonts w:hint="eastAsia"/>
                      <w:szCs w:val="21"/>
                      <w:highlight w:val="none"/>
                      <w:lang w:val="en-US" w:eastAsia="zh-CN"/>
                    </w:rPr>
                    <w:t>P3</w:t>
                  </w:r>
                </w:p>
              </w:tc>
              <w:tc>
                <w:tcPr>
                  <w:tcW w:w="324" w:type="pct"/>
                  <w:vAlign w:val="center"/>
                </w:tcPr>
                <w:p w14:paraId="3F0DCE2D">
                  <w:pPr>
                    <w:adjustRightInd w:val="0"/>
                    <w:snapToGrid w:val="0"/>
                    <w:jc w:val="center"/>
                    <w:rPr>
                      <w:rFonts w:hint="eastAsia" w:eastAsia="宋体"/>
                      <w:szCs w:val="21"/>
                      <w:highlight w:val="none"/>
                      <w:lang w:val="en-US" w:eastAsia="zh-CN"/>
                    </w:rPr>
                  </w:pPr>
                  <w:r>
                    <w:rPr>
                      <w:rFonts w:hint="eastAsia"/>
                      <w:szCs w:val="21"/>
                      <w:highlight w:val="none"/>
                      <w:lang w:val="en-US" w:eastAsia="zh-CN"/>
                    </w:rPr>
                    <w:t>/</w:t>
                  </w:r>
                </w:p>
              </w:tc>
              <w:tc>
                <w:tcPr>
                  <w:tcW w:w="603" w:type="pct"/>
                  <w:vAlign w:val="center"/>
                </w:tcPr>
                <w:p w14:paraId="0FAB5D1B">
                  <w:pPr>
                    <w:adjustRightInd w:val="0"/>
                    <w:snapToGrid w:val="0"/>
                    <w:jc w:val="center"/>
                    <w:rPr>
                      <w:szCs w:val="21"/>
                      <w:highlight w:val="none"/>
                    </w:rPr>
                  </w:pPr>
                  <w:r>
                    <w:rPr>
                      <w:szCs w:val="21"/>
                      <w:highlight w:val="none"/>
                    </w:rPr>
                    <w:t>1次</w:t>
                  </w:r>
                  <w:r>
                    <w:rPr>
                      <w:rFonts w:hint="eastAsia"/>
                      <w:szCs w:val="21"/>
                      <w:highlight w:val="none"/>
                    </w:rPr>
                    <w:t>/两年</w:t>
                  </w:r>
                </w:p>
              </w:tc>
              <w:tc>
                <w:tcPr>
                  <w:tcW w:w="1053" w:type="pct"/>
                  <w:vMerge w:val="continue"/>
                  <w:vAlign w:val="center"/>
                </w:tcPr>
                <w:p w14:paraId="3C1F9699">
                  <w:pPr>
                    <w:adjustRightInd w:val="0"/>
                    <w:snapToGrid w:val="0"/>
                    <w:jc w:val="center"/>
                    <w:rPr>
                      <w:highlight w:val="none"/>
                    </w:rPr>
                  </w:pPr>
                </w:p>
              </w:tc>
              <w:tc>
                <w:tcPr>
                  <w:tcW w:w="771" w:type="pct"/>
                  <w:vMerge w:val="continue"/>
                  <w:vAlign w:val="center"/>
                </w:tcPr>
                <w:p w14:paraId="22E1317E">
                  <w:pPr>
                    <w:adjustRightInd w:val="0"/>
                    <w:snapToGrid w:val="0"/>
                    <w:jc w:val="center"/>
                    <w:rPr>
                      <w:highlight w:val="none"/>
                    </w:rPr>
                  </w:pPr>
                </w:p>
              </w:tc>
            </w:tr>
            <w:tr w14:paraId="42A8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73" w:hRule="atLeast"/>
              </w:trPr>
              <w:tc>
                <w:tcPr>
                  <w:tcW w:w="657" w:type="pct"/>
                  <w:vAlign w:val="center"/>
                </w:tcPr>
                <w:p w14:paraId="3BDD4DD8">
                  <w:pPr>
                    <w:adjustRightInd w:val="0"/>
                    <w:snapToGrid w:val="0"/>
                    <w:jc w:val="center"/>
                    <w:rPr>
                      <w:szCs w:val="21"/>
                      <w:highlight w:val="none"/>
                    </w:rPr>
                  </w:pPr>
                  <w:r>
                    <w:rPr>
                      <w:rFonts w:hint="eastAsia"/>
                      <w:szCs w:val="21"/>
                      <w:highlight w:val="none"/>
                    </w:rPr>
                    <w:t>硅粉筒仓</w:t>
                  </w:r>
                </w:p>
              </w:tc>
              <w:tc>
                <w:tcPr>
                  <w:tcW w:w="751" w:type="pct"/>
                  <w:vAlign w:val="center"/>
                </w:tcPr>
                <w:p w14:paraId="34001CB4">
                  <w:pPr>
                    <w:adjustRightInd w:val="0"/>
                    <w:snapToGrid w:val="0"/>
                    <w:jc w:val="center"/>
                    <w:rPr>
                      <w:szCs w:val="21"/>
                      <w:highlight w:val="none"/>
                    </w:rPr>
                  </w:pPr>
                  <w:r>
                    <w:rPr>
                      <w:rFonts w:hint="eastAsia"/>
                      <w:szCs w:val="21"/>
                      <w:highlight w:val="none"/>
                    </w:rPr>
                    <w:t>颗粒物</w:t>
                  </w:r>
                </w:p>
              </w:tc>
              <w:tc>
                <w:tcPr>
                  <w:tcW w:w="838" w:type="pct"/>
                  <w:vAlign w:val="center"/>
                </w:tcPr>
                <w:p w14:paraId="0359F8F1">
                  <w:pPr>
                    <w:adjustRightInd w:val="0"/>
                    <w:snapToGrid w:val="0"/>
                    <w:jc w:val="center"/>
                    <w:rPr>
                      <w:rFonts w:hint="default" w:eastAsia="宋体"/>
                      <w:szCs w:val="21"/>
                      <w:highlight w:val="none"/>
                      <w:lang w:val="en-US" w:eastAsia="zh-CN"/>
                    </w:rPr>
                  </w:pPr>
                  <w:r>
                    <w:rPr>
                      <w:rFonts w:hint="eastAsia"/>
                      <w:szCs w:val="21"/>
                      <w:highlight w:val="none"/>
                    </w:rPr>
                    <w:t>呼吸口排放口</w:t>
                  </w:r>
                  <w:r>
                    <w:rPr>
                      <w:rFonts w:hint="eastAsia"/>
                      <w:szCs w:val="21"/>
                      <w:highlight w:val="none"/>
                      <w:lang w:val="en-US" w:eastAsia="zh-CN"/>
                    </w:rPr>
                    <w:t>P4</w:t>
                  </w:r>
                </w:p>
              </w:tc>
              <w:tc>
                <w:tcPr>
                  <w:tcW w:w="324" w:type="pct"/>
                  <w:vAlign w:val="center"/>
                </w:tcPr>
                <w:p w14:paraId="2DAFD6F8">
                  <w:pPr>
                    <w:adjustRightInd w:val="0"/>
                    <w:snapToGrid w:val="0"/>
                    <w:jc w:val="center"/>
                    <w:rPr>
                      <w:rFonts w:hint="eastAsia" w:eastAsia="宋体"/>
                      <w:szCs w:val="21"/>
                      <w:highlight w:val="none"/>
                      <w:lang w:val="en-US" w:eastAsia="zh-CN"/>
                    </w:rPr>
                  </w:pPr>
                  <w:r>
                    <w:rPr>
                      <w:rFonts w:hint="eastAsia"/>
                      <w:szCs w:val="21"/>
                      <w:highlight w:val="none"/>
                      <w:lang w:val="en-US" w:eastAsia="zh-CN"/>
                    </w:rPr>
                    <w:t>/</w:t>
                  </w:r>
                </w:p>
              </w:tc>
              <w:tc>
                <w:tcPr>
                  <w:tcW w:w="603" w:type="pct"/>
                  <w:vAlign w:val="center"/>
                </w:tcPr>
                <w:p w14:paraId="4DD6C262">
                  <w:pPr>
                    <w:adjustRightInd w:val="0"/>
                    <w:snapToGrid w:val="0"/>
                    <w:jc w:val="center"/>
                    <w:rPr>
                      <w:szCs w:val="21"/>
                      <w:highlight w:val="none"/>
                    </w:rPr>
                  </w:pPr>
                  <w:r>
                    <w:rPr>
                      <w:szCs w:val="21"/>
                      <w:highlight w:val="none"/>
                    </w:rPr>
                    <w:t>1次</w:t>
                  </w:r>
                  <w:r>
                    <w:rPr>
                      <w:rFonts w:hint="eastAsia"/>
                      <w:szCs w:val="21"/>
                      <w:highlight w:val="none"/>
                    </w:rPr>
                    <w:t>/两年</w:t>
                  </w:r>
                </w:p>
              </w:tc>
              <w:tc>
                <w:tcPr>
                  <w:tcW w:w="1053" w:type="pct"/>
                  <w:vMerge w:val="continue"/>
                  <w:vAlign w:val="center"/>
                </w:tcPr>
                <w:p w14:paraId="42EBFEB8">
                  <w:pPr>
                    <w:adjustRightInd w:val="0"/>
                    <w:snapToGrid w:val="0"/>
                    <w:jc w:val="center"/>
                    <w:rPr>
                      <w:highlight w:val="none"/>
                    </w:rPr>
                  </w:pPr>
                </w:p>
              </w:tc>
              <w:tc>
                <w:tcPr>
                  <w:tcW w:w="771" w:type="pct"/>
                  <w:vMerge w:val="continue"/>
                  <w:vAlign w:val="center"/>
                </w:tcPr>
                <w:p w14:paraId="7297BFDE">
                  <w:pPr>
                    <w:adjustRightInd w:val="0"/>
                    <w:snapToGrid w:val="0"/>
                    <w:jc w:val="center"/>
                    <w:rPr>
                      <w:highlight w:val="none"/>
                    </w:rPr>
                  </w:pPr>
                </w:p>
              </w:tc>
            </w:tr>
            <w:tr w14:paraId="556A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202" w:hRule="atLeast"/>
              </w:trPr>
              <w:tc>
                <w:tcPr>
                  <w:tcW w:w="657" w:type="pct"/>
                  <w:vAlign w:val="center"/>
                </w:tcPr>
                <w:p w14:paraId="21261241">
                  <w:pPr>
                    <w:adjustRightInd w:val="0"/>
                    <w:snapToGrid w:val="0"/>
                    <w:jc w:val="center"/>
                    <w:rPr>
                      <w:szCs w:val="21"/>
                      <w:highlight w:val="none"/>
                    </w:rPr>
                  </w:pPr>
                  <w:r>
                    <w:rPr>
                      <w:szCs w:val="21"/>
                      <w:highlight w:val="none"/>
                    </w:rPr>
                    <w:t>厂界噪声</w:t>
                  </w:r>
                </w:p>
              </w:tc>
              <w:tc>
                <w:tcPr>
                  <w:tcW w:w="751" w:type="pct"/>
                  <w:vAlign w:val="center"/>
                </w:tcPr>
                <w:p w14:paraId="4C9709C6">
                  <w:pPr>
                    <w:adjustRightInd w:val="0"/>
                    <w:snapToGrid w:val="0"/>
                    <w:jc w:val="center"/>
                    <w:rPr>
                      <w:szCs w:val="21"/>
                      <w:highlight w:val="none"/>
                    </w:rPr>
                  </w:pPr>
                  <w:r>
                    <w:rPr>
                      <w:szCs w:val="21"/>
                      <w:highlight w:val="none"/>
                    </w:rPr>
                    <w:t>Leq</w:t>
                  </w:r>
                  <w:r>
                    <w:rPr>
                      <w:rFonts w:hint="eastAsia"/>
                      <w:szCs w:val="21"/>
                      <w:highlight w:val="none"/>
                      <w:lang w:eastAsia="zh-CN"/>
                    </w:rPr>
                    <w:t>（</w:t>
                  </w:r>
                  <w:r>
                    <w:rPr>
                      <w:szCs w:val="21"/>
                      <w:highlight w:val="none"/>
                    </w:rPr>
                    <w:t>A</w:t>
                  </w:r>
                  <w:r>
                    <w:rPr>
                      <w:rFonts w:hint="eastAsia"/>
                      <w:szCs w:val="21"/>
                      <w:highlight w:val="none"/>
                      <w:lang w:eastAsia="zh-CN"/>
                    </w:rPr>
                    <w:t>）</w:t>
                  </w:r>
                </w:p>
              </w:tc>
              <w:tc>
                <w:tcPr>
                  <w:tcW w:w="838" w:type="pct"/>
                  <w:vAlign w:val="center"/>
                </w:tcPr>
                <w:p w14:paraId="595ED9AE">
                  <w:pPr>
                    <w:adjustRightInd w:val="0"/>
                    <w:snapToGrid w:val="0"/>
                    <w:jc w:val="center"/>
                    <w:rPr>
                      <w:szCs w:val="21"/>
                      <w:highlight w:val="none"/>
                    </w:rPr>
                  </w:pPr>
                  <w:r>
                    <w:rPr>
                      <w:rFonts w:hint="eastAsia"/>
                      <w:szCs w:val="21"/>
                      <w:highlight w:val="none"/>
                    </w:rPr>
                    <w:t>厂</w:t>
                  </w:r>
                  <w:r>
                    <w:rPr>
                      <w:szCs w:val="21"/>
                      <w:highlight w:val="none"/>
                    </w:rPr>
                    <w:t>场界四周</w:t>
                  </w:r>
                </w:p>
              </w:tc>
              <w:tc>
                <w:tcPr>
                  <w:tcW w:w="324" w:type="pct"/>
                  <w:vAlign w:val="center"/>
                </w:tcPr>
                <w:p w14:paraId="26D1BF81">
                  <w:pPr>
                    <w:adjustRightInd w:val="0"/>
                    <w:snapToGrid w:val="0"/>
                    <w:jc w:val="center"/>
                    <w:rPr>
                      <w:szCs w:val="21"/>
                      <w:highlight w:val="none"/>
                    </w:rPr>
                  </w:pPr>
                  <w:r>
                    <w:rPr>
                      <w:szCs w:val="21"/>
                      <w:highlight w:val="none"/>
                    </w:rPr>
                    <w:t>4个</w:t>
                  </w:r>
                </w:p>
              </w:tc>
              <w:tc>
                <w:tcPr>
                  <w:tcW w:w="603" w:type="pct"/>
                  <w:vAlign w:val="center"/>
                </w:tcPr>
                <w:p w14:paraId="57AC82CA">
                  <w:pPr>
                    <w:adjustRightInd w:val="0"/>
                    <w:snapToGrid w:val="0"/>
                    <w:jc w:val="center"/>
                    <w:rPr>
                      <w:szCs w:val="21"/>
                      <w:highlight w:val="none"/>
                    </w:rPr>
                  </w:pPr>
                  <w:r>
                    <w:rPr>
                      <w:szCs w:val="21"/>
                      <w:highlight w:val="none"/>
                    </w:rPr>
                    <w:t>每季度1次，每次1天（昼、夜各1次）</w:t>
                  </w:r>
                </w:p>
              </w:tc>
              <w:tc>
                <w:tcPr>
                  <w:tcW w:w="1053" w:type="pct"/>
                  <w:vAlign w:val="center"/>
                </w:tcPr>
                <w:p w14:paraId="102271CD">
                  <w:pPr>
                    <w:adjustRightInd w:val="0"/>
                    <w:snapToGrid w:val="0"/>
                    <w:jc w:val="center"/>
                    <w:rPr>
                      <w:szCs w:val="21"/>
                      <w:highlight w:val="none"/>
                    </w:rPr>
                  </w:pPr>
                  <w:r>
                    <w:rPr>
                      <w:kern w:val="0"/>
                      <w:szCs w:val="21"/>
                      <w:highlight w:val="none"/>
                    </w:rPr>
                    <w:t>《工业企业厂界环境噪声排放标准》（GB12348-2008）</w:t>
                  </w:r>
                  <w:r>
                    <w:rPr>
                      <w:rFonts w:hint="eastAsia"/>
                      <w:kern w:val="0"/>
                      <w:szCs w:val="21"/>
                      <w:highlight w:val="none"/>
                      <w:lang w:val="en-US" w:eastAsia="zh-CN"/>
                    </w:rPr>
                    <w:t>2</w:t>
                  </w:r>
                  <w:r>
                    <w:rPr>
                      <w:kern w:val="0"/>
                      <w:szCs w:val="21"/>
                      <w:highlight w:val="none"/>
                    </w:rPr>
                    <w:t>类标准</w:t>
                  </w:r>
                </w:p>
              </w:tc>
              <w:tc>
                <w:tcPr>
                  <w:tcW w:w="771" w:type="pct"/>
                  <w:vAlign w:val="center"/>
                </w:tcPr>
                <w:p w14:paraId="147486F7">
                  <w:pPr>
                    <w:adjustRightInd w:val="0"/>
                    <w:snapToGrid w:val="0"/>
                    <w:jc w:val="center"/>
                    <w:rPr>
                      <w:rFonts w:hint="eastAsia" w:eastAsia="宋体"/>
                      <w:kern w:val="0"/>
                      <w:szCs w:val="21"/>
                      <w:highlight w:val="none"/>
                      <w:lang w:eastAsia="zh-CN"/>
                    </w:rPr>
                  </w:pPr>
                  <w:r>
                    <w:rPr>
                      <w:rFonts w:hint="eastAsia"/>
                      <w:kern w:val="0"/>
                      <w:szCs w:val="21"/>
                      <w:highlight w:val="none"/>
                    </w:rPr>
                    <w:t>昼间≤6</w:t>
                  </w:r>
                  <w:r>
                    <w:rPr>
                      <w:rFonts w:hint="eastAsia"/>
                      <w:kern w:val="0"/>
                      <w:szCs w:val="21"/>
                      <w:highlight w:val="none"/>
                      <w:lang w:val="en-US" w:eastAsia="zh-CN"/>
                    </w:rPr>
                    <w:t>0</w:t>
                  </w:r>
                  <w:r>
                    <w:rPr>
                      <w:rFonts w:hint="eastAsia"/>
                      <w:kern w:val="0"/>
                      <w:szCs w:val="21"/>
                      <w:highlight w:val="none"/>
                    </w:rPr>
                    <w:t>B(A</w:t>
                  </w:r>
                  <w:r>
                    <w:rPr>
                      <w:rFonts w:hint="eastAsia"/>
                      <w:kern w:val="0"/>
                      <w:szCs w:val="21"/>
                      <w:highlight w:val="none"/>
                      <w:lang w:eastAsia="zh-CN"/>
                    </w:rPr>
                    <w:t>）</w:t>
                  </w:r>
                  <w:r>
                    <w:rPr>
                      <w:rFonts w:hint="eastAsia"/>
                      <w:kern w:val="0"/>
                      <w:szCs w:val="21"/>
                      <w:highlight w:val="none"/>
                    </w:rPr>
                    <w:t>，夜间≤5</w:t>
                  </w:r>
                  <w:r>
                    <w:rPr>
                      <w:rFonts w:hint="eastAsia"/>
                      <w:kern w:val="0"/>
                      <w:szCs w:val="21"/>
                      <w:highlight w:val="none"/>
                      <w:lang w:val="en-US" w:eastAsia="zh-CN"/>
                    </w:rPr>
                    <w:t>0</w:t>
                  </w:r>
                  <w:r>
                    <w:rPr>
                      <w:rFonts w:hint="eastAsia"/>
                      <w:kern w:val="0"/>
                      <w:szCs w:val="21"/>
                      <w:highlight w:val="none"/>
                    </w:rPr>
                    <w:t>B(A</w:t>
                  </w:r>
                  <w:r>
                    <w:rPr>
                      <w:rFonts w:hint="eastAsia"/>
                      <w:kern w:val="0"/>
                      <w:szCs w:val="21"/>
                      <w:highlight w:val="none"/>
                      <w:lang w:eastAsia="zh-CN"/>
                    </w:rPr>
                    <w:t>）</w:t>
                  </w:r>
                </w:p>
              </w:tc>
            </w:tr>
          </w:tbl>
          <w:p w14:paraId="6C4F4438">
            <w:pPr>
              <w:pStyle w:val="67"/>
              <w:spacing w:before="120" w:beforeLines="50" w:line="360" w:lineRule="auto"/>
              <w:jc w:val="both"/>
              <w:rPr>
                <w:rFonts w:ascii="Times New Roman" w:hAnsi="Times New Roman" w:cs="Times New Roman"/>
                <w:b/>
                <w:bCs/>
                <w:sz w:val="24"/>
                <w:highlight w:val="none"/>
                <w:lang w:val="en-US"/>
              </w:rPr>
            </w:pPr>
            <w:r>
              <w:rPr>
                <w:rFonts w:hint="eastAsia" w:ascii="Times New Roman" w:hAnsi="Times New Roman" w:cs="Times New Roman"/>
                <w:b/>
                <w:bCs/>
                <w:sz w:val="24"/>
                <w:highlight w:val="none"/>
                <w:lang w:val="en-US"/>
              </w:rPr>
              <w:t>8</w:t>
            </w:r>
            <w:r>
              <w:rPr>
                <w:rFonts w:hint="eastAsia" w:ascii="Times New Roman" w:hAnsi="Times New Roman" w:cs="Times New Roman"/>
                <w:b/>
                <w:bCs/>
                <w:sz w:val="24"/>
                <w:highlight w:val="none"/>
                <w:lang w:val="en-US" w:eastAsia="zh-CN"/>
              </w:rPr>
              <w:t>.“</w:t>
            </w:r>
            <w:r>
              <w:rPr>
                <w:rFonts w:ascii="Times New Roman" w:hAnsi="Times New Roman" w:cs="Times New Roman"/>
                <w:b/>
                <w:bCs/>
                <w:sz w:val="24"/>
                <w:highlight w:val="none"/>
                <w:lang w:val="en-US"/>
              </w:rPr>
              <w:t>三同时</w:t>
            </w:r>
            <w:r>
              <w:rPr>
                <w:rFonts w:hint="eastAsia" w:ascii="Times New Roman" w:hAnsi="Times New Roman" w:cs="Times New Roman"/>
                <w:b/>
                <w:bCs/>
                <w:sz w:val="24"/>
                <w:highlight w:val="none"/>
                <w:lang w:val="en-US" w:eastAsia="zh-CN"/>
              </w:rPr>
              <w:t>”</w:t>
            </w:r>
            <w:r>
              <w:rPr>
                <w:rFonts w:ascii="Times New Roman" w:hAnsi="Times New Roman" w:cs="Times New Roman"/>
                <w:b/>
                <w:bCs/>
                <w:sz w:val="24"/>
                <w:highlight w:val="none"/>
                <w:lang w:val="en-US"/>
              </w:rPr>
              <w:t>验收</w:t>
            </w:r>
          </w:p>
          <w:p w14:paraId="37F90644">
            <w:pPr>
              <w:pStyle w:val="67"/>
              <w:spacing w:line="360" w:lineRule="auto"/>
              <w:ind w:firstLine="480" w:firstLineChars="200"/>
              <w:jc w:val="both"/>
              <w:rPr>
                <w:rFonts w:ascii="Times New Roman" w:hAnsi="Times New Roman" w:cs="Times New Roman"/>
                <w:sz w:val="24"/>
                <w:highlight w:val="none"/>
                <w:lang w:val="en-US"/>
              </w:rPr>
            </w:pPr>
            <w:r>
              <w:rPr>
                <w:rFonts w:ascii="Times New Roman" w:hAnsi="Times New Roman" w:cs="Times New Roman"/>
                <w:sz w:val="24"/>
                <w:highlight w:val="none"/>
                <w:lang w:val="en-US"/>
              </w:rPr>
              <w:t>项目治理设施</w:t>
            </w:r>
            <w:r>
              <w:rPr>
                <w:rFonts w:hint="eastAsia" w:ascii="Times New Roman" w:hAnsi="Times New Roman" w:cs="Times New Roman"/>
                <w:sz w:val="24"/>
                <w:highlight w:val="none"/>
                <w:lang w:val="en-US" w:eastAsia="zh-CN"/>
              </w:rPr>
              <w:t>“</w:t>
            </w:r>
            <w:r>
              <w:rPr>
                <w:rFonts w:ascii="Times New Roman" w:hAnsi="Times New Roman" w:cs="Times New Roman"/>
                <w:sz w:val="24"/>
                <w:highlight w:val="none"/>
                <w:lang w:val="en-US"/>
              </w:rPr>
              <w:t>三同时</w:t>
            </w:r>
            <w:r>
              <w:rPr>
                <w:rFonts w:hint="eastAsia" w:ascii="Times New Roman" w:hAnsi="Times New Roman" w:cs="Times New Roman"/>
                <w:sz w:val="24"/>
                <w:highlight w:val="none"/>
                <w:lang w:val="en-US" w:eastAsia="zh-CN"/>
              </w:rPr>
              <w:t>”</w:t>
            </w:r>
            <w:r>
              <w:rPr>
                <w:rFonts w:ascii="Times New Roman" w:hAnsi="Times New Roman" w:cs="Times New Roman"/>
                <w:sz w:val="24"/>
                <w:highlight w:val="none"/>
                <w:lang w:val="en-US"/>
              </w:rPr>
              <w:t>验收一览表见下表</w:t>
            </w:r>
            <w:r>
              <w:rPr>
                <w:rFonts w:hint="eastAsia" w:ascii="Times New Roman" w:hAnsi="Times New Roman" w:cs="Times New Roman"/>
                <w:sz w:val="24"/>
                <w:highlight w:val="none"/>
                <w:lang w:val="en-US"/>
              </w:rPr>
              <w:t>4-6</w:t>
            </w:r>
            <w:r>
              <w:rPr>
                <w:rFonts w:ascii="Times New Roman" w:hAnsi="Times New Roman" w:cs="Times New Roman"/>
                <w:sz w:val="24"/>
                <w:highlight w:val="none"/>
                <w:lang w:val="en-US"/>
              </w:rPr>
              <w:t xml:space="preserve">。 </w:t>
            </w:r>
          </w:p>
          <w:p w14:paraId="67722429">
            <w:pPr>
              <w:pStyle w:val="67"/>
              <w:rPr>
                <w:rFonts w:ascii="Times New Roman" w:hAnsi="Times New Roman" w:cs="Times New Roman"/>
                <w:b/>
                <w:bCs/>
                <w:sz w:val="21"/>
                <w:szCs w:val="21"/>
                <w:highlight w:val="none"/>
                <w:lang w:val="en-US"/>
              </w:rPr>
            </w:pPr>
            <w:r>
              <w:rPr>
                <w:rFonts w:ascii="Times New Roman" w:hAnsi="Times New Roman" w:cs="Times New Roman"/>
                <w:b/>
                <w:bCs/>
                <w:sz w:val="21"/>
                <w:szCs w:val="21"/>
                <w:highlight w:val="none"/>
                <w:lang w:val="en-US"/>
              </w:rPr>
              <w:t>表4-</w:t>
            </w:r>
            <w:r>
              <w:rPr>
                <w:rFonts w:hint="eastAsia" w:ascii="Times New Roman" w:hAnsi="Times New Roman" w:cs="Times New Roman"/>
                <w:b/>
                <w:bCs/>
                <w:sz w:val="21"/>
                <w:szCs w:val="21"/>
                <w:highlight w:val="none"/>
                <w:lang w:val="en-US"/>
              </w:rPr>
              <w:t xml:space="preserve">6   </w:t>
            </w:r>
            <w:r>
              <w:rPr>
                <w:rFonts w:ascii="Times New Roman" w:hAnsi="Times New Roman" w:cs="Times New Roman"/>
                <w:b/>
                <w:bCs/>
                <w:sz w:val="21"/>
                <w:szCs w:val="21"/>
                <w:highlight w:val="none"/>
              </w:rPr>
              <w:t xml:space="preserve"> 建设项目环境保护</w:t>
            </w:r>
            <w:r>
              <w:rPr>
                <w:rFonts w:hint="eastAsia" w:ascii="Times New Roman" w:hAnsi="Times New Roman" w:cs="Times New Roman"/>
                <w:b/>
                <w:bCs/>
                <w:sz w:val="21"/>
                <w:szCs w:val="21"/>
                <w:highlight w:val="none"/>
                <w:lang w:eastAsia="zh-CN"/>
              </w:rPr>
              <w:t>“</w:t>
            </w:r>
            <w:r>
              <w:rPr>
                <w:rFonts w:ascii="Times New Roman" w:hAnsi="Times New Roman" w:cs="Times New Roman"/>
                <w:b/>
                <w:bCs/>
                <w:sz w:val="21"/>
                <w:szCs w:val="21"/>
                <w:highlight w:val="none"/>
                <w:lang w:val="en-US"/>
              </w:rPr>
              <w:t>三同时验收</w:t>
            </w:r>
            <w:r>
              <w:rPr>
                <w:rFonts w:hint="eastAsia" w:ascii="Times New Roman" w:hAnsi="Times New Roman" w:cs="Times New Roman"/>
                <w:b/>
                <w:bCs/>
                <w:sz w:val="21"/>
                <w:szCs w:val="21"/>
                <w:highlight w:val="none"/>
                <w:lang w:eastAsia="zh-CN"/>
              </w:rPr>
              <w:t>”</w:t>
            </w:r>
            <w:r>
              <w:rPr>
                <w:rFonts w:ascii="Times New Roman" w:hAnsi="Times New Roman" w:cs="Times New Roman"/>
                <w:b/>
                <w:bCs/>
                <w:sz w:val="21"/>
                <w:szCs w:val="21"/>
                <w:highlight w:val="none"/>
                <w:lang w:val="en-US"/>
              </w:rPr>
              <w:t>一览表</w:t>
            </w:r>
          </w:p>
          <w:tbl>
            <w:tblPr>
              <w:tblStyle w:val="30"/>
              <w:tblW w:w="797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65"/>
              <w:gridCol w:w="518"/>
              <w:gridCol w:w="1300"/>
              <w:gridCol w:w="2977"/>
              <w:gridCol w:w="2717"/>
            </w:tblGrid>
            <w:tr w14:paraId="50734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83" w:type="dxa"/>
                  <w:gridSpan w:val="2"/>
                  <w:tcBorders>
                    <w:tl2br w:val="nil"/>
                    <w:tr2bl w:val="nil"/>
                  </w:tcBorders>
                  <w:vAlign w:val="center"/>
                </w:tcPr>
                <w:p w14:paraId="20E22159">
                  <w:pPr>
                    <w:jc w:val="center"/>
                    <w:rPr>
                      <w:szCs w:val="21"/>
                      <w:highlight w:val="none"/>
                    </w:rPr>
                  </w:pPr>
                  <w:r>
                    <w:rPr>
                      <w:szCs w:val="21"/>
                      <w:highlight w:val="none"/>
                    </w:rPr>
                    <w:t>类别</w:t>
                  </w:r>
                </w:p>
              </w:tc>
              <w:tc>
                <w:tcPr>
                  <w:tcW w:w="1300" w:type="dxa"/>
                  <w:tcBorders>
                    <w:tl2br w:val="nil"/>
                    <w:tr2bl w:val="nil"/>
                  </w:tcBorders>
                  <w:vAlign w:val="center"/>
                </w:tcPr>
                <w:p w14:paraId="1E260EC1">
                  <w:pPr>
                    <w:jc w:val="center"/>
                    <w:rPr>
                      <w:szCs w:val="21"/>
                      <w:highlight w:val="none"/>
                    </w:rPr>
                  </w:pPr>
                  <w:r>
                    <w:rPr>
                      <w:szCs w:val="21"/>
                      <w:highlight w:val="none"/>
                    </w:rPr>
                    <w:t>污染源及污染物</w:t>
                  </w:r>
                </w:p>
              </w:tc>
              <w:tc>
                <w:tcPr>
                  <w:tcW w:w="2977" w:type="dxa"/>
                  <w:tcBorders>
                    <w:tl2br w:val="nil"/>
                    <w:tr2bl w:val="nil"/>
                  </w:tcBorders>
                  <w:vAlign w:val="center"/>
                </w:tcPr>
                <w:p w14:paraId="3510B72A">
                  <w:pPr>
                    <w:jc w:val="center"/>
                    <w:rPr>
                      <w:szCs w:val="21"/>
                      <w:highlight w:val="none"/>
                    </w:rPr>
                  </w:pPr>
                  <w:r>
                    <w:rPr>
                      <w:szCs w:val="21"/>
                      <w:highlight w:val="none"/>
                    </w:rPr>
                    <w:t>环保要求</w:t>
                  </w:r>
                </w:p>
              </w:tc>
              <w:tc>
                <w:tcPr>
                  <w:tcW w:w="2717" w:type="dxa"/>
                  <w:tcBorders>
                    <w:tl2br w:val="nil"/>
                    <w:tr2bl w:val="nil"/>
                  </w:tcBorders>
                  <w:vAlign w:val="center"/>
                </w:tcPr>
                <w:p w14:paraId="5D4F90CF">
                  <w:pPr>
                    <w:jc w:val="center"/>
                    <w:rPr>
                      <w:szCs w:val="21"/>
                      <w:highlight w:val="none"/>
                    </w:rPr>
                  </w:pPr>
                  <w:r>
                    <w:rPr>
                      <w:szCs w:val="21"/>
                      <w:highlight w:val="none"/>
                    </w:rPr>
                    <w:t>验收标准</w:t>
                  </w:r>
                </w:p>
              </w:tc>
            </w:tr>
            <w:tr w14:paraId="50E7F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465" w:type="dxa"/>
                  <w:vMerge w:val="restart"/>
                  <w:tcBorders>
                    <w:tl2br w:val="nil"/>
                    <w:tr2bl w:val="nil"/>
                  </w:tcBorders>
                  <w:vAlign w:val="center"/>
                </w:tcPr>
                <w:p w14:paraId="721653CE">
                  <w:pPr>
                    <w:jc w:val="center"/>
                    <w:rPr>
                      <w:szCs w:val="21"/>
                      <w:highlight w:val="none"/>
                    </w:rPr>
                  </w:pPr>
                  <w:r>
                    <w:rPr>
                      <w:szCs w:val="21"/>
                      <w:highlight w:val="none"/>
                    </w:rPr>
                    <w:t>废气</w:t>
                  </w:r>
                </w:p>
              </w:tc>
              <w:tc>
                <w:tcPr>
                  <w:tcW w:w="518" w:type="dxa"/>
                  <w:tcBorders>
                    <w:tl2br w:val="nil"/>
                    <w:tr2bl w:val="nil"/>
                  </w:tcBorders>
                  <w:vAlign w:val="center"/>
                </w:tcPr>
                <w:p w14:paraId="5D99FAB9">
                  <w:pPr>
                    <w:jc w:val="center"/>
                    <w:rPr>
                      <w:szCs w:val="21"/>
                      <w:highlight w:val="none"/>
                    </w:rPr>
                  </w:pPr>
                  <w:r>
                    <w:rPr>
                      <w:rFonts w:hint="eastAsia"/>
                      <w:szCs w:val="21"/>
                      <w:highlight w:val="none"/>
                    </w:rPr>
                    <w:t>无组织</w:t>
                  </w:r>
                </w:p>
              </w:tc>
              <w:tc>
                <w:tcPr>
                  <w:tcW w:w="1300" w:type="dxa"/>
                  <w:tcBorders>
                    <w:tl2br w:val="nil"/>
                    <w:tr2bl w:val="nil"/>
                  </w:tcBorders>
                  <w:vAlign w:val="center"/>
                </w:tcPr>
                <w:p w14:paraId="773472D4">
                  <w:pPr>
                    <w:jc w:val="center"/>
                    <w:rPr>
                      <w:szCs w:val="21"/>
                      <w:highlight w:val="none"/>
                    </w:rPr>
                  </w:pPr>
                  <w:r>
                    <w:rPr>
                      <w:rFonts w:hint="eastAsia"/>
                      <w:szCs w:val="21"/>
                      <w:highlight w:val="none"/>
                      <w:lang w:val="en-US" w:eastAsia="zh-CN"/>
                    </w:rPr>
                    <w:t>原料库粉尘</w:t>
                  </w:r>
                </w:p>
              </w:tc>
              <w:tc>
                <w:tcPr>
                  <w:tcW w:w="2977" w:type="dxa"/>
                  <w:tcBorders>
                    <w:tl2br w:val="nil"/>
                    <w:tr2bl w:val="nil"/>
                  </w:tcBorders>
                  <w:vAlign w:val="center"/>
                </w:tcPr>
                <w:p w14:paraId="3226373D">
                  <w:pPr>
                    <w:jc w:val="center"/>
                    <w:rPr>
                      <w:rFonts w:hint="eastAsia" w:eastAsia="宋体"/>
                      <w:szCs w:val="21"/>
                      <w:highlight w:val="none"/>
                      <w:lang w:eastAsia="zh-CN"/>
                    </w:rPr>
                  </w:pPr>
                  <w:r>
                    <w:rPr>
                      <w:szCs w:val="21"/>
                      <w:highlight w:val="none"/>
                    </w:rPr>
                    <w:t>全封闭</w:t>
                  </w:r>
                  <w:r>
                    <w:rPr>
                      <w:rFonts w:hint="eastAsia"/>
                      <w:szCs w:val="21"/>
                      <w:highlight w:val="none"/>
                    </w:rPr>
                    <w:t>棚</w:t>
                  </w:r>
                  <w:r>
                    <w:rPr>
                      <w:szCs w:val="21"/>
                      <w:highlight w:val="none"/>
                    </w:rPr>
                    <w:t>+</w:t>
                  </w:r>
                  <w:r>
                    <w:rPr>
                      <w:rFonts w:hint="eastAsia"/>
                      <w:szCs w:val="21"/>
                      <w:highlight w:val="none"/>
                      <w:lang w:val="en-US" w:eastAsia="zh-CN"/>
                    </w:rPr>
                    <w:t>雾炮抑尘</w:t>
                  </w:r>
                </w:p>
              </w:tc>
              <w:tc>
                <w:tcPr>
                  <w:tcW w:w="2717" w:type="dxa"/>
                  <w:tcBorders>
                    <w:tl2br w:val="nil"/>
                    <w:tr2bl w:val="nil"/>
                  </w:tcBorders>
                  <w:vAlign w:val="center"/>
                </w:tcPr>
                <w:p w14:paraId="7F21DB53">
                  <w:pPr>
                    <w:jc w:val="center"/>
                    <w:rPr>
                      <w:szCs w:val="21"/>
                      <w:highlight w:val="none"/>
                    </w:rPr>
                  </w:pPr>
                  <w:r>
                    <w:rPr>
                      <w:rFonts w:hint="eastAsia"/>
                      <w:highlight w:val="none"/>
                    </w:rPr>
                    <w:t>《水泥工业污染物排放标准》（GB4915-2013）</w:t>
                  </w:r>
                  <w:r>
                    <w:rPr>
                      <w:szCs w:val="21"/>
                      <w:highlight w:val="none"/>
                    </w:rPr>
                    <w:t>无组织排放浓度限值</w:t>
                  </w:r>
                </w:p>
              </w:tc>
            </w:tr>
            <w:tr w14:paraId="07B75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465" w:type="dxa"/>
                  <w:vMerge w:val="continue"/>
                  <w:tcBorders>
                    <w:tl2br w:val="nil"/>
                    <w:tr2bl w:val="nil"/>
                  </w:tcBorders>
                  <w:vAlign w:val="center"/>
                </w:tcPr>
                <w:p w14:paraId="748464BB">
                  <w:pPr>
                    <w:jc w:val="center"/>
                    <w:rPr>
                      <w:szCs w:val="21"/>
                      <w:highlight w:val="none"/>
                    </w:rPr>
                  </w:pPr>
                </w:p>
              </w:tc>
              <w:tc>
                <w:tcPr>
                  <w:tcW w:w="518" w:type="dxa"/>
                  <w:vMerge w:val="restart"/>
                  <w:tcBorders>
                    <w:tl2br w:val="nil"/>
                    <w:tr2bl w:val="nil"/>
                  </w:tcBorders>
                  <w:vAlign w:val="center"/>
                </w:tcPr>
                <w:p w14:paraId="16195472">
                  <w:pPr>
                    <w:jc w:val="center"/>
                    <w:rPr>
                      <w:szCs w:val="21"/>
                      <w:highlight w:val="none"/>
                    </w:rPr>
                  </w:pPr>
                  <w:r>
                    <w:rPr>
                      <w:rFonts w:hint="eastAsia"/>
                      <w:szCs w:val="21"/>
                      <w:highlight w:val="none"/>
                    </w:rPr>
                    <w:t>有组织</w:t>
                  </w:r>
                </w:p>
              </w:tc>
              <w:tc>
                <w:tcPr>
                  <w:tcW w:w="1300" w:type="dxa"/>
                  <w:tcBorders>
                    <w:tl2br w:val="nil"/>
                    <w:tr2bl w:val="nil"/>
                  </w:tcBorders>
                  <w:vAlign w:val="center"/>
                </w:tcPr>
                <w:p w14:paraId="64C94C4A">
                  <w:pPr>
                    <w:jc w:val="center"/>
                    <w:rPr>
                      <w:szCs w:val="21"/>
                      <w:highlight w:val="none"/>
                    </w:rPr>
                  </w:pPr>
                  <w:r>
                    <w:rPr>
                      <w:rFonts w:hint="eastAsia"/>
                      <w:szCs w:val="21"/>
                      <w:highlight w:val="none"/>
                    </w:rPr>
                    <w:t>搅拌机粉尘</w:t>
                  </w:r>
                </w:p>
              </w:tc>
              <w:tc>
                <w:tcPr>
                  <w:tcW w:w="2977" w:type="dxa"/>
                  <w:tcBorders>
                    <w:tl2br w:val="nil"/>
                    <w:tr2bl w:val="nil"/>
                  </w:tcBorders>
                  <w:vAlign w:val="center"/>
                </w:tcPr>
                <w:p w14:paraId="1980998A">
                  <w:pPr>
                    <w:jc w:val="center"/>
                    <w:rPr>
                      <w:szCs w:val="21"/>
                      <w:highlight w:val="none"/>
                    </w:rPr>
                  </w:pPr>
                  <w:r>
                    <w:rPr>
                      <w:szCs w:val="21"/>
                      <w:highlight w:val="none"/>
                    </w:rPr>
                    <w:t>全封闭棚+</w:t>
                  </w:r>
                  <w:r>
                    <w:rPr>
                      <w:rFonts w:hint="eastAsia"/>
                      <w:szCs w:val="21"/>
                      <w:highlight w:val="none"/>
                    </w:rPr>
                    <w:t>集尘罩</w:t>
                  </w:r>
                  <w:r>
                    <w:rPr>
                      <w:szCs w:val="21"/>
                      <w:highlight w:val="none"/>
                    </w:rPr>
                    <w:t>+布袋除尘器+</w:t>
                  </w:r>
                  <w:r>
                    <w:rPr>
                      <w:rFonts w:hint="eastAsia"/>
                      <w:szCs w:val="21"/>
                      <w:highlight w:val="none"/>
                    </w:rPr>
                    <w:t>15</w:t>
                  </w:r>
                  <w:r>
                    <w:rPr>
                      <w:szCs w:val="21"/>
                      <w:highlight w:val="none"/>
                    </w:rPr>
                    <w:t>m高排气筒</w:t>
                  </w:r>
                </w:p>
              </w:tc>
              <w:tc>
                <w:tcPr>
                  <w:tcW w:w="2717" w:type="dxa"/>
                  <w:vMerge w:val="restart"/>
                  <w:tcBorders>
                    <w:tl2br w:val="nil"/>
                    <w:tr2bl w:val="nil"/>
                  </w:tcBorders>
                  <w:vAlign w:val="center"/>
                </w:tcPr>
                <w:p w14:paraId="758EF0C3">
                  <w:pPr>
                    <w:jc w:val="center"/>
                    <w:rPr>
                      <w:szCs w:val="21"/>
                      <w:highlight w:val="none"/>
                    </w:rPr>
                  </w:pPr>
                  <w:r>
                    <w:rPr>
                      <w:rFonts w:hint="eastAsia"/>
                      <w:highlight w:val="none"/>
                    </w:rPr>
                    <w:t>《水泥工业污染物排放标准》（GB4915-2013</w:t>
                  </w:r>
                  <w:r>
                    <w:rPr>
                      <w:bCs/>
                      <w:szCs w:val="21"/>
                      <w:highlight w:val="none"/>
                    </w:rPr>
                    <w:t>）</w:t>
                  </w:r>
                </w:p>
              </w:tc>
            </w:tr>
            <w:tr w14:paraId="07FDD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465" w:type="dxa"/>
                  <w:vMerge w:val="continue"/>
                  <w:tcBorders>
                    <w:tl2br w:val="nil"/>
                    <w:tr2bl w:val="nil"/>
                  </w:tcBorders>
                  <w:vAlign w:val="center"/>
                </w:tcPr>
                <w:p w14:paraId="201515E4">
                  <w:pPr>
                    <w:jc w:val="center"/>
                    <w:rPr>
                      <w:szCs w:val="21"/>
                      <w:highlight w:val="none"/>
                    </w:rPr>
                  </w:pPr>
                </w:p>
              </w:tc>
              <w:tc>
                <w:tcPr>
                  <w:tcW w:w="518" w:type="dxa"/>
                  <w:vMerge w:val="continue"/>
                  <w:tcBorders>
                    <w:tl2br w:val="nil"/>
                    <w:tr2bl w:val="nil"/>
                  </w:tcBorders>
                  <w:vAlign w:val="center"/>
                </w:tcPr>
                <w:p w14:paraId="63F57CD4">
                  <w:pPr>
                    <w:jc w:val="center"/>
                    <w:rPr>
                      <w:szCs w:val="21"/>
                      <w:highlight w:val="none"/>
                    </w:rPr>
                  </w:pPr>
                </w:p>
              </w:tc>
              <w:tc>
                <w:tcPr>
                  <w:tcW w:w="1300" w:type="dxa"/>
                  <w:tcBorders>
                    <w:tl2br w:val="nil"/>
                    <w:tr2bl w:val="nil"/>
                  </w:tcBorders>
                  <w:vAlign w:val="center"/>
                </w:tcPr>
                <w:p w14:paraId="5BC2C946">
                  <w:pPr>
                    <w:jc w:val="center"/>
                    <w:rPr>
                      <w:szCs w:val="21"/>
                      <w:highlight w:val="none"/>
                    </w:rPr>
                  </w:pPr>
                  <w:r>
                    <w:rPr>
                      <w:rFonts w:hint="eastAsia"/>
                      <w:szCs w:val="21"/>
                      <w:highlight w:val="none"/>
                    </w:rPr>
                    <w:t>水泥筒仓、矿粉筒仓、硅粉筒仓</w:t>
                  </w:r>
                </w:p>
              </w:tc>
              <w:tc>
                <w:tcPr>
                  <w:tcW w:w="2977" w:type="dxa"/>
                  <w:tcBorders>
                    <w:tl2br w:val="nil"/>
                    <w:tr2bl w:val="nil"/>
                  </w:tcBorders>
                  <w:vAlign w:val="center"/>
                </w:tcPr>
                <w:p w14:paraId="5AB070B9">
                  <w:pPr>
                    <w:jc w:val="center"/>
                    <w:rPr>
                      <w:szCs w:val="21"/>
                      <w:highlight w:val="none"/>
                    </w:rPr>
                  </w:pPr>
                  <w:r>
                    <w:rPr>
                      <w:rFonts w:hint="eastAsia"/>
                      <w:szCs w:val="21"/>
                      <w:highlight w:val="none"/>
                    </w:rPr>
                    <w:t>筒仓自带滤芯除尘器</w:t>
                  </w:r>
                </w:p>
              </w:tc>
              <w:tc>
                <w:tcPr>
                  <w:tcW w:w="2717" w:type="dxa"/>
                  <w:vMerge w:val="continue"/>
                  <w:tcBorders>
                    <w:tl2br w:val="nil"/>
                    <w:tr2bl w:val="nil"/>
                  </w:tcBorders>
                  <w:vAlign w:val="center"/>
                </w:tcPr>
                <w:p w14:paraId="3DE1516F">
                  <w:pPr>
                    <w:jc w:val="center"/>
                    <w:rPr>
                      <w:szCs w:val="21"/>
                      <w:highlight w:val="none"/>
                    </w:rPr>
                  </w:pPr>
                </w:p>
              </w:tc>
            </w:tr>
            <w:tr w14:paraId="72187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3" w:hRule="atLeast"/>
                <w:jc w:val="center"/>
              </w:trPr>
              <w:tc>
                <w:tcPr>
                  <w:tcW w:w="983" w:type="dxa"/>
                  <w:gridSpan w:val="2"/>
                  <w:tcBorders>
                    <w:tl2br w:val="nil"/>
                    <w:tr2bl w:val="nil"/>
                  </w:tcBorders>
                  <w:vAlign w:val="center"/>
                </w:tcPr>
                <w:p w14:paraId="30F5784E">
                  <w:pPr>
                    <w:jc w:val="center"/>
                    <w:rPr>
                      <w:szCs w:val="21"/>
                      <w:highlight w:val="none"/>
                    </w:rPr>
                  </w:pPr>
                  <w:r>
                    <w:rPr>
                      <w:szCs w:val="21"/>
                      <w:highlight w:val="none"/>
                    </w:rPr>
                    <w:t>噪声</w:t>
                  </w:r>
                </w:p>
              </w:tc>
              <w:tc>
                <w:tcPr>
                  <w:tcW w:w="1300" w:type="dxa"/>
                  <w:tcBorders>
                    <w:tl2br w:val="nil"/>
                    <w:tr2bl w:val="nil"/>
                  </w:tcBorders>
                  <w:vAlign w:val="center"/>
                </w:tcPr>
                <w:p w14:paraId="541511C4">
                  <w:pPr>
                    <w:jc w:val="center"/>
                    <w:rPr>
                      <w:szCs w:val="21"/>
                      <w:highlight w:val="none"/>
                    </w:rPr>
                  </w:pPr>
                  <w:r>
                    <w:rPr>
                      <w:bCs/>
                      <w:szCs w:val="21"/>
                      <w:highlight w:val="none"/>
                    </w:rPr>
                    <w:t>设备噪声</w:t>
                  </w:r>
                </w:p>
              </w:tc>
              <w:tc>
                <w:tcPr>
                  <w:tcW w:w="2977" w:type="dxa"/>
                  <w:tcBorders>
                    <w:tl2br w:val="nil"/>
                    <w:tr2bl w:val="nil"/>
                  </w:tcBorders>
                  <w:vAlign w:val="center"/>
                </w:tcPr>
                <w:p w14:paraId="47576657">
                  <w:pPr>
                    <w:adjustRightInd w:val="0"/>
                    <w:snapToGrid w:val="0"/>
                    <w:jc w:val="center"/>
                    <w:textAlignment w:val="baseline"/>
                    <w:rPr>
                      <w:kern w:val="0"/>
                      <w:szCs w:val="21"/>
                      <w:highlight w:val="none"/>
                    </w:rPr>
                  </w:pPr>
                  <w:r>
                    <w:rPr>
                      <w:rFonts w:hint="eastAsia"/>
                      <w:kern w:val="0"/>
                      <w:szCs w:val="21"/>
                      <w:highlight w:val="none"/>
                    </w:rPr>
                    <w:t>选用低噪声设备，基础减振，厂房隔声。</w:t>
                  </w:r>
                </w:p>
              </w:tc>
              <w:tc>
                <w:tcPr>
                  <w:tcW w:w="2717" w:type="dxa"/>
                  <w:tcBorders>
                    <w:tl2br w:val="nil"/>
                    <w:tr2bl w:val="nil"/>
                  </w:tcBorders>
                  <w:vAlign w:val="center"/>
                </w:tcPr>
                <w:p w14:paraId="7EFE0526">
                  <w:pPr>
                    <w:jc w:val="center"/>
                    <w:rPr>
                      <w:szCs w:val="21"/>
                      <w:highlight w:val="none"/>
                    </w:rPr>
                  </w:pPr>
                  <w:r>
                    <w:rPr>
                      <w:szCs w:val="21"/>
                      <w:highlight w:val="none"/>
                    </w:rPr>
                    <w:t>《工业企业厂界环境噪声排放标准》（GB12348-2008）中</w:t>
                  </w:r>
                  <w:r>
                    <w:rPr>
                      <w:rFonts w:hint="eastAsia"/>
                      <w:szCs w:val="21"/>
                      <w:highlight w:val="none"/>
                      <w:lang w:val="en-US" w:eastAsia="zh-CN"/>
                    </w:rPr>
                    <w:t>2</w:t>
                  </w:r>
                  <w:r>
                    <w:rPr>
                      <w:szCs w:val="21"/>
                      <w:highlight w:val="none"/>
                    </w:rPr>
                    <w:t>类标准限值</w:t>
                  </w:r>
                  <w:r>
                    <w:rPr>
                      <w:rFonts w:hint="eastAsia"/>
                      <w:szCs w:val="21"/>
                      <w:highlight w:val="none"/>
                    </w:rPr>
                    <w:t>要求</w:t>
                  </w:r>
                </w:p>
              </w:tc>
            </w:tr>
            <w:tr w14:paraId="2B44C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983" w:type="dxa"/>
                  <w:gridSpan w:val="2"/>
                  <w:vMerge w:val="restart"/>
                  <w:tcBorders>
                    <w:tl2br w:val="nil"/>
                    <w:tr2bl w:val="nil"/>
                  </w:tcBorders>
                  <w:vAlign w:val="center"/>
                </w:tcPr>
                <w:p w14:paraId="2EDD12B4">
                  <w:pPr>
                    <w:jc w:val="center"/>
                    <w:rPr>
                      <w:szCs w:val="21"/>
                      <w:highlight w:val="none"/>
                    </w:rPr>
                  </w:pPr>
                  <w:r>
                    <w:rPr>
                      <w:rFonts w:hint="eastAsia"/>
                      <w:szCs w:val="21"/>
                      <w:highlight w:val="none"/>
                    </w:rPr>
                    <w:t>固废</w:t>
                  </w:r>
                </w:p>
              </w:tc>
              <w:tc>
                <w:tcPr>
                  <w:tcW w:w="1300" w:type="dxa"/>
                  <w:tcBorders>
                    <w:tl2br w:val="nil"/>
                    <w:tr2bl w:val="nil"/>
                  </w:tcBorders>
                  <w:vAlign w:val="center"/>
                </w:tcPr>
                <w:p w14:paraId="72234819">
                  <w:pPr>
                    <w:pStyle w:val="45"/>
                    <w:spacing w:before="0" w:line="240" w:lineRule="auto"/>
                    <w:ind w:right="0"/>
                    <w:rPr>
                      <w:b w:val="0"/>
                      <w:color w:val="auto"/>
                      <w:sz w:val="21"/>
                      <w:szCs w:val="21"/>
                      <w:highlight w:val="none"/>
                    </w:rPr>
                  </w:pPr>
                  <w:r>
                    <w:rPr>
                      <w:rFonts w:hint="eastAsia"/>
                      <w:b w:val="0"/>
                      <w:color w:val="auto"/>
                      <w:sz w:val="21"/>
                      <w:szCs w:val="21"/>
                      <w:highlight w:val="none"/>
                    </w:rPr>
                    <w:t>除尘器灰</w:t>
                  </w:r>
                </w:p>
              </w:tc>
              <w:tc>
                <w:tcPr>
                  <w:tcW w:w="2977" w:type="dxa"/>
                  <w:tcBorders>
                    <w:tl2br w:val="nil"/>
                    <w:tr2bl w:val="nil"/>
                  </w:tcBorders>
                  <w:vAlign w:val="center"/>
                </w:tcPr>
                <w:p w14:paraId="4E91D693">
                  <w:pPr>
                    <w:tabs>
                      <w:tab w:val="left" w:pos="1235"/>
                    </w:tabs>
                    <w:adjustRightInd w:val="0"/>
                    <w:snapToGrid w:val="0"/>
                    <w:jc w:val="center"/>
                    <w:textAlignment w:val="center"/>
                    <w:rPr>
                      <w:rFonts w:hint="eastAsia" w:eastAsia="宋体"/>
                      <w:szCs w:val="21"/>
                      <w:highlight w:val="none"/>
                      <w:lang w:eastAsia="zh-CN"/>
                    </w:rPr>
                  </w:pPr>
                  <w:r>
                    <w:rPr>
                      <w:rFonts w:hint="eastAsia"/>
                      <w:highlight w:val="none"/>
                    </w:rPr>
                    <w:t>收集后回用于生产</w:t>
                  </w:r>
                  <w:r>
                    <w:rPr>
                      <w:rFonts w:hint="eastAsia"/>
                      <w:highlight w:val="none"/>
                      <w:lang w:eastAsia="zh-CN"/>
                    </w:rPr>
                    <w:t>。</w:t>
                  </w:r>
                </w:p>
              </w:tc>
              <w:tc>
                <w:tcPr>
                  <w:tcW w:w="2717" w:type="dxa"/>
                  <w:tcBorders>
                    <w:tl2br w:val="nil"/>
                    <w:tr2bl w:val="nil"/>
                  </w:tcBorders>
                  <w:vAlign w:val="center"/>
                </w:tcPr>
                <w:p w14:paraId="4BE1AA08">
                  <w:pPr>
                    <w:jc w:val="center"/>
                    <w:rPr>
                      <w:rFonts w:hint="eastAsia" w:eastAsia="宋体"/>
                      <w:szCs w:val="21"/>
                      <w:highlight w:val="none"/>
                      <w:lang w:eastAsia="zh-CN"/>
                    </w:rPr>
                  </w:pPr>
                  <w:r>
                    <w:rPr>
                      <w:rFonts w:hint="eastAsia"/>
                      <w:highlight w:val="none"/>
                      <w:lang w:val="en-US" w:eastAsia="zh-CN"/>
                    </w:rPr>
                    <w:t>不外排</w:t>
                  </w:r>
                </w:p>
              </w:tc>
            </w:tr>
            <w:tr w14:paraId="45200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983" w:type="dxa"/>
                  <w:gridSpan w:val="2"/>
                  <w:vMerge w:val="continue"/>
                  <w:tcBorders>
                    <w:tl2br w:val="nil"/>
                    <w:tr2bl w:val="nil"/>
                  </w:tcBorders>
                  <w:vAlign w:val="center"/>
                </w:tcPr>
                <w:p w14:paraId="0968EAD0">
                  <w:pPr>
                    <w:jc w:val="center"/>
                    <w:rPr>
                      <w:szCs w:val="21"/>
                      <w:highlight w:val="none"/>
                    </w:rPr>
                  </w:pPr>
                </w:p>
              </w:tc>
              <w:tc>
                <w:tcPr>
                  <w:tcW w:w="1300" w:type="dxa"/>
                  <w:tcBorders>
                    <w:tl2br w:val="nil"/>
                    <w:tr2bl w:val="nil"/>
                  </w:tcBorders>
                  <w:vAlign w:val="center"/>
                </w:tcPr>
                <w:p w14:paraId="1904E503">
                  <w:pPr>
                    <w:pStyle w:val="45"/>
                    <w:spacing w:before="0" w:line="240" w:lineRule="auto"/>
                    <w:ind w:right="0"/>
                    <w:rPr>
                      <w:b w:val="0"/>
                      <w:color w:val="auto"/>
                      <w:sz w:val="21"/>
                      <w:szCs w:val="21"/>
                      <w:highlight w:val="none"/>
                    </w:rPr>
                  </w:pPr>
                  <w:r>
                    <w:rPr>
                      <w:rFonts w:hint="eastAsia"/>
                      <w:b w:val="0"/>
                      <w:color w:val="auto"/>
                      <w:sz w:val="21"/>
                      <w:szCs w:val="21"/>
                      <w:highlight w:val="none"/>
                    </w:rPr>
                    <w:t>不合格产品</w:t>
                  </w:r>
                </w:p>
              </w:tc>
              <w:tc>
                <w:tcPr>
                  <w:tcW w:w="2977" w:type="dxa"/>
                  <w:tcBorders>
                    <w:tl2br w:val="nil"/>
                    <w:tr2bl w:val="nil"/>
                  </w:tcBorders>
                  <w:vAlign w:val="center"/>
                </w:tcPr>
                <w:p w14:paraId="6BD26773">
                  <w:pPr>
                    <w:tabs>
                      <w:tab w:val="left" w:pos="1235"/>
                    </w:tabs>
                    <w:adjustRightInd w:val="0"/>
                    <w:snapToGrid w:val="0"/>
                    <w:jc w:val="center"/>
                    <w:textAlignment w:val="center"/>
                    <w:rPr>
                      <w:rFonts w:hint="eastAsia" w:eastAsia="宋体"/>
                      <w:highlight w:val="none"/>
                      <w:lang w:eastAsia="zh-CN"/>
                    </w:rPr>
                  </w:pPr>
                  <w:r>
                    <w:rPr>
                      <w:rFonts w:hint="eastAsia"/>
                      <w:highlight w:val="none"/>
                    </w:rPr>
                    <w:t>暂存于一般固废暂存间，定期作为建筑废料外运处理</w:t>
                  </w:r>
                  <w:r>
                    <w:rPr>
                      <w:rFonts w:hint="eastAsia"/>
                      <w:highlight w:val="none"/>
                      <w:lang w:eastAsia="zh-CN"/>
                    </w:rPr>
                    <w:t>。</w:t>
                  </w:r>
                </w:p>
              </w:tc>
              <w:tc>
                <w:tcPr>
                  <w:tcW w:w="2717" w:type="dxa"/>
                  <w:vMerge w:val="restart"/>
                  <w:tcBorders>
                    <w:tl2br w:val="nil"/>
                    <w:tr2bl w:val="nil"/>
                  </w:tcBorders>
                  <w:vAlign w:val="center"/>
                </w:tcPr>
                <w:p w14:paraId="01D78BEF">
                  <w:pPr>
                    <w:jc w:val="center"/>
                    <w:rPr>
                      <w:rFonts w:hint="eastAsia" w:eastAsia="宋体"/>
                      <w:highlight w:val="none"/>
                      <w:lang w:eastAsia="zh-CN"/>
                    </w:rPr>
                  </w:pPr>
                  <w:r>
                    <w:rPr>
                      <w:rFonts w:hint="eastAsia"/>
                      <w:szCs w:val="21"/>
                      <w:highlight w:val="none"/>
                    </w:rPr>
                    <w:t>《一般工业固体废物贮存和填埋污染控制标准》（</w:t>
                  </w:r>
                  <w:r>
                    <w:rPr>
                      <w:szCs w:val="21"/>
                      <w:highlight w:val="none"/>
                    </w:rPr>
                    <w:t>GB18599-20</w:t>
                  </w:r>
                  <w:r>
                    <w:rPr>
                      <w:rFonts w:hint="eastAsia"/>
                      <w:szCs w:val="21"/>
                      <w:highlight w:val="none"/>
                    </w:rPr>
                    <w:t>20），</w:t>
                  </w:r>
                  <w:r>
                    <w:rPr>
                      <w:rFonts w:hint="eastAsia"/>
                      <w:highlight w:val="none"/>
                    </w:rPr>
                    <w:t>合理处置</w:t>
                  </w:r>
                  <w:r>
                    <w:rPr>
                      <w:rFonts w:hint="eastAsia"/>
                      <w:highlight w:val="none"/>
                      <w:lang w:eastAsia="zh-CN"/>
                    </w:rPr>
                    <w:t>，</w:t>
                  </w:r>
                  <w:r>
                    <w:rPr>
                      <w:rFonts w:hint="eastAsia"/>
                      <w:highlight w:val="none"/>
                    </w:rPr>
                    <w:t>不外排</w:t>
                  </w:r>
                  <w:r>
                    <w:rPr>
                      <w:rFonts w:hint="eastAsia"/>
                      <w:highlight w:val="none"/>
                      <w:lang w:eastAsia="zh-CN"/>
                    </w:rPr>
                    <w:t>。</w:t>
                  </w:r>
                </w:p>
              </w:tc>
            </w:tr>
            <w:tr w14:paraId="4B05E3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983" w:type="dxa"/>
                  <w:gridSpan w:val="2"/>
                  <w:vMerge w:val="continue"/>
                  <w:tcBorders>
                    <w:tl2br w:val="nil"/>
                    <w:tr2bl w:val="nil"/>
                  </w:tcBorders>
                  <w:vAlign w:val="center"/>
                </w:tcPr>
                <w:p w14:paraId="796D6429">
                  <w:pPr>
                    <w:jc w:val="center"/>
                    <w:rPr>
                      <w:szCs w:val="21"/>
                      <w:highlight w:val="none"/>
                    </w:rPr>
                  </w:pPr>
                </w:p>
              </w:tc>
              <w:tc>
                <w:tcPr>
                  <w:tcW w:w="1300" w:type="dxa"/>
                  <w:tcBorders>
                    <w:tl2br w:val="nil"/>
                    <w:tr2bl w:val="nil"/>
                  </w:tcBorders>
                  <w:vAlign w:val="center"/>
                </w:tcPr>
                <w:p w14:paraId="74A86816">
                  <w:pPr>
                    <w:pStyle w:val="45"/>
                    <w:spacing w:before="0" w:line="240" w:lineRule="auto"/>
                    <w:ind w:right="0"/>
                    <w:rPr>
                      <w:b w:val="0"/>
                      <w:color w:val="auto"/>
                      <w:sz w:val="21"/>
                      <w:szCs w:val="21"/>
                      <w:highlight w:val="none"/>
                    </w:rPr>
                  </w:pPr>
                  <w:r>
                    <w:rPr>
                      <w:b w:val="0"/>
                      <w:color w:val="auto"/>
                      <w:sz w:val="21"/>
                      <w:szCs w:val="21"/>
                      <w:highlight w:val="none"/>
                    </w:rPr>
                    <w:t>生活垃圾</w:t>
                  </w:r>
                </w:p>
              </w:tc>
              <w:tc>
                <w:tcPr>
                  <w:tcW w:w="2977" w:type="dxa"/>
                  <w:tcBorders>
                    <w:tl2br w:val="nil"/>
                    <w:tr2bl w:val="nil"/>
                  </w:tcBorders>
                  <w:vAlign w:val="center"/>
                </w:tcPr>
                <w:p w14:paraId="7BAE031C">
                  <w:pPr>
                    <w:tabs>
                      <w:tab w:val="left" w:pos="1235"/>
                    </w:tabs>
                    <w:adjustRightInd w:val="0"/>
                    <w:snapToGrid w:val="0"/>
                    <w:jc w:val="center"/>
                    <w:textAlignment w:val="center"/>
                    <w:rPr>
                      <w:rFonts w:hint="eastAsia" w:eastAsia="宋体"/>
                      <w:szCs w:val="21"/>
                      <w:highlight w:val="none"/>
                      <w:lang w:eastAsia="zh-CN"/>
                    </w:rPr>
                  </w:pPr>
                  <w:r>
                    <w:rPr>
                      <w:rFonts w:hint="eastAsia"/>
                      <w:bCs/>
                      <w:szCs w:val="21"/>
                      <w:highlight w:val="none"/>
                    </w:rPr>
                    <w:t>厂</w:t>
                  </w:r>
                  <w:r>
                    <w:rPr>
                      <w:bCs/>
                      <w:szCs w:val="21"/>
                      <w:highlight w:val="none"/>
                    </w:rPr>
                    <w:t>区设置若干分类垃圾箱进行收集，</w:t>
                  </w:r>
                  <w:r>
                    <w:rPr>
                      <w:rFonts w:hint="eastAsia"/>
                      <w:bCs/>
                      <w:szCs w:val="21"/>
                      <w:highlight w:val="none"/>
                    </w:rPr>
                    <w:t>交由环卫部门定期清运处置</w:t>
                  </w:r>
                  <w:r>
                    <w:rPr>
                      <w:rFonts w:hint="eastAsia"/>
                      <w:bCs/>
                      <w:szCs w:val="21"/>
                      <w:highlight w:val="none"/>
                      <w:lang w:eastAsia="zh-CN"/>
                    </w:rPr>
                    <w:t>。</w:t>
                  </w:r>
                </w:p>
              </w:tc>
              <w:tc>
                <w:tcPr>
                  <w:tcW w:w="2717" w:type="dxa"/>
                  <w:vMerge w:val="continue"/>
                  <w:tcBorders>
                    <w:tl2br w:val="nil"/>
                    <w:tr2bl w:val="nil"/>
                  </w:tcBorders>
                  <w:vAlign w:val="center"/>
                </w:tcPr>
                <w:p w14:paraId="5DBA3165">
                  <w:pPr>
                    <w:jc w:val="center"/>
                    <w:rPr>
                      <w:szCs w:val="21"/>
                      <w:highlight w:val="none"/>
                    </w:rPr>
                  </w:pPr>
                </w:p>
              </w:tc>
            </w:tr>
            <w:tr w14:paraId="3BF84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983" w:type="dxa"/>
                  <w:gridSpan w:val="2"/>
                  <w:vMerge w:val="continue"/>
                  <w:tcBorders>
                    <w:tl2br w:val="nil"/>
                    <w:tr2bl w:val="nil"/>
                  </w:tcBorders>
                  <w:vAlign w:val="center"/>
                </w:tcPr>
                <w:p w14:paraId="3BE28C1C">
                  <w:pPr>
                    <w:jc w:val="center"/>
                    <w:rPr>
                      <w:szCs w:val="21"/>
                      <w:highlight w:val="none"/>
                    </w:rPr>
                  </w:pPr>
                </w:p>
              </w:tc>
              <w:tc>
                <w:tcPr>
                  <w:tcW w:w="1300" w:type="dxa"/>
                  <w:tcBorders>
                    <w:tl2br w:val="nil"/>
                    <w:tr2bl w:val="nil"/>
                  </w:tcBorders>
                  <w:vAlign w:val="center"/>
                </w:tcPr>
                <w:p w14:paraId="7D25D37A">
                  <w:pPr>
                    <w:pStyle w:val="45"/>
                    <w:spacing w:before="0" w:line="240" w:lineRule="auto"/>
                    <w:ind w:right="0"/>
                    <w:rPr>
                      <w:rFonts w:hint="default" w:eastAsia="宋体"/>
                      <w:b w:val="0"/>
                      <w:color w:val="auto"/>
                      <w:sz w:val="21"/>
                      <w:szCs w:val="21"/>
                      <w:highlight w:val="none"/>
                      <w:lang w:val="en-US" w:eastAsia="zh-CN"/>
                    </w:rPr>
                  </w:pPr>
                  <w:r>
                    <w:rPr>
                      <w:rFonts w:hint="eastAsia"/>
                      <w:b w:val="0"/>
                      <w:color w:val="auto"/>
                      <w:sz w:val="21"/>
                      <w:szCs w:val="21"/>
                      <w:highlight w:val="none"/>
                    </w:rPr>
                    <w:t>钢</w:t>
                  </w:r>
                  <w:r>
                    <w:rPr>
                      <w:rFonts w:hint="eastAsia"/>
                      <w:b w:val="0"/>
                      <w:color w:val="auto"/>
                      <w:sz w:val="21"/>
                      <w:szCs w:val="21"/>
                      <w:highlight w:val="none"/>
                      <w:lang w:val="en-US" w:eastAsia="zh-CN"/>
                    </w:rPr>
                    <w:t>材加工废料</w:t>
                  </w:r>
                </w:p>
              </w:tc>
              <w:tc>
                <w:tcPr>
                  <w:tcW w:w="2977" w:type="dxa"/>
                  <w:tcBorders>
                    <w:tl2br w:val="nil"/>
                    <w:tr2bl w:val="nil"/>
                  </w:tcBorders>
                  <w:vAlign w:val="center"/>
                </w:tcPr>
                <w:p w14:paraId="2F2EF033">
                  <w:pPr>
                    <w:tabs>
                      <w:tab w:val="left" w:pos="1235"/>
                    </w:tabs>
                    <w:adjustRightInd w:val="0"/>
                    <w:snapToGrid w:val="0"/>
                    <w:jc w:val="center"/>
                    <w:textAlignment w:val="center"/>
                    <w:rPr>
                      <w:rFonts w:hint="eastAsia" w:eastAsia="宋体"/>
                      <w:bCs/>
                      <w:szCs w:val="21"/>
                      <w:highlight w:val="none"/>
                      <w:lang w:eastAsia="zh-CN"/>
                    </w:rPr>
                  </w:pPr>
                  <w:r>
                    <w:rPr>
                      <w:rFonts w:hint="eastAsia"/>
                      <w:bCs/>
                      <w:szCs w:val="21"/>
                      <w:highlight w:val="none"/>
                    </w:rPr>
                    <w:t>暂存于一般固废暂存间，定期外售</w:t>
                  </w:r>
                  <w:r>
                    <w:rPr>
                      <w:rFonts w:hint="eastAsia"/>
                      <w:bCs/>
                      <w:szCs w:val="21"/>
                      <w:highlight w:val="none"/>
                      <w:lang w:eastAsia="zh-CN"/>
                    </w:rPr>
                    <w:t>。</w:t>
                  </w:r>
                </w:p>
              </w:tc>
              <w:tc>
                <w:tcPr>
                  <w:tcW w:w="2717" w:type="dxa"/>
                  <w:vMerge w:val="continue"/>
                  <w:tcBorders>
                    <w:tl2br w:val="nil"/>
                    <w:tr2bl w:val="nil"/>
                  </w:tcBorders>
                  <w:vAlign w:val="center"/>
                </w:tcPr>
                <w:p w14:paraId="36C19830">
                  <w:pPr>
                    <w:jc w:val="center"/>
                    <w:rPr>
                      <w:highlight w:val="none"/>
                    </w:rPr>
                  </w:pPr>
                </w:p>
              </w:tc>
            </w:tr>
            <w:tr w14:paraId="11414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983" w:type="dxa"/>
                  <w:gridSpan w:val="2"/>
                  <w:vMerge w:val="restart"/>
                  <w:tcBorders>
                    <w:tl2br w:val="nil"/>
                    <w:tr2bl w:val="nil"/>
                  </w:tcBorders>
                  <w:vAlign w:val="center"/>
                </w:tcPr>
                <w:p w14:paraId="3E596B0B">
                  <w:pPr>
                    <w:jc w:val="center"/>
                    <w:rPr>
                      <w:szCs w:val="21"/>
                      <w:highlight w:val="none"/>
                    </w:rPr>
                  </w:pPr>
                  <w:r>
                    <w:rPr>
                      <w:rFonts w:hint="eastAsia"/>
                      <w:szCs w:val="21"/>
                      <w:highlight w:val="none"/>
                    </w:rPr>
                    <w:t>废水</w:t>
                  </w:r>
                </w:p>
              </w:tc>
              <w:tc>
                <w:tcPr>
                  <w:tcW w:w="1300" w:type="dxa"/>
                  <w:tcBorders>
                    <w:tl2br w:val="nil"/>
                    <w:tr2bl w:val="nil"/>
                  </w:tcBorders>
                  <w:vAlign w:val="center"/>
                </w:tcPr>
                <w:p w14:paraId="076C576C">
                  <w:pPr>
                    <w:pStyle w:val="45"/>
                    <w:spacing w:before="0" w:line="240" w:lineRule="auto"/>
                    <w:ind w:right="0"/>
                    <w:rPr>
                      <w:b w:val="0"/>
                      <w:color w:val="auto"/>
                      <w:sz w:val="21"/>
                      <w:szCs w:val="21"/>
                      <w:highlight w:val="none"/>
                    </w:rPr>
                  </w:pPr>
                  <w:r>
                    <w:rPr>
                      <w:rFonts w:hint="eastAsia"/>
                      <w:b w:val="0"/>
                      <w:color w:val="auto"/>
                      <w:sz w:val="21"/>
                      <w:szCs w:val="21"/>
                      <w:highlight w:val="none"/>
                    </w:rPr>
                    <w:t>生活污水</w:t>
                  </w:r>
                </w:p>
              </w:tc>
              <w:tc>
                <w:tcPr>
                  <w:tcW w:w="2977" w:type="dxa"/>
                  <w:tcBorders>
                    <w:tl2br w:val="nil"/>
                    <w:tr2bl w:val="nil"/>
                  </w:tcBorders>
                  <w:vAlign w:val="center"/>
                </w:tcPr>
                <w:p w14:paraId="62627637">
                  <w:pPr>
                    <w:tabs>
                      <w:tab w:val="left" w:pos="1235"/>
                    </w:tabs>
                    <w:adjustRightInd w:val="0"/>
                    <w:snapToGrid w:val="0"/>
                    <w:jc w:val="center"/>
                    <w:textAlignment w:val="center"/>
                    <w:rPr>
                      <w:rFonts w:hint="eastAsia" w:eastAsia="宋体"/>
                      <w:spacing w:val="-4"/>
                      <w:szCs w:val="21"/>
                      <w:highlight w:val="none"/>
                      <w:lang w:eastAsia="zh-CN"/>
                    </w:rPr>
                  </w:pPr>
                  <w:r>
                    <w:rPr>
                      <w:highlight w:val="none"/>
                    </w:rPr>
                    <w:t>经化粪池</w:t>
                  </w:r>
                  <w:r>
                    <w:rPr>
                      <w:rFonts w:hint="eastAsia"/>
                      <w:highlight w:val="none"/>
                    </w:rPr>
                    <w:t>处理排放至园区</w:t>
                  </w:r>
                  <w:r>
                    <w:rPr>
                      <w:highlight w:val="none"/>
                    </w:rPr>
                    <w:t>污水处理站，不外排</w:t>
                  </w:r>
                  <w:r>
                    <w:rPr>
                      <w:rFonts w:hint="eastAsia"/>
                      <w:highlight w:val="none"/>
                      <w:lang w:eastAsia="zh-CN"/>
                    </w:rPr>
                    <w:t>。</w:t>
                  </w:r>
                </w:p>
              </w:tc>
              <w:tc>
                <w:tcPr>
                  <w:tcW w:w="2717" w:type="dxa"/>
                  <w:tcBorders>
                    <w:tl2br w:val="nil"/>
                    <w:tr2bl w:val="nil"/>
                  </w:tcBorders>
                  <w:vAlign w:val="center"/>
                </w:tcPr>
                <w:p w14:paraId="765E0DB8">
                  <w:pPr>
                    <w:jc w:val="center"/>
                    <w:rPr>
                      <w:rFonts w:hint="eastAsia" w:eastAsia="宋体"/>
                      <w:szCs w:val="21"/>
                      <w:highlight w:val="none"/>
                      <w:lang w:eastAsia="zh-CN"/>
                    </w:rPr>
                  </w:pPr>
                  <w:r>
                    <w:rPr>
                      <w:szCs w:val="21"/>
                      <w:highlight w:val="none"/>
                    </w:rPr>
                    <w:t>合理处置，不外排</w:t>
                  </w:r>
                  <w:r>
                    <w:rPr>
                      <w:rFonts w:hint="eastAsia"/>
                      <w:szCs w:val="21"/>
                      <w:highlight w:val="none"/>
                      <w:lang w:eastAsia="zh-CN"/>
                    </w:rPr>
                    <w:t>。</w:t>
                  </w:r>
                </w:p>
              </w:tc>
            </w:tr>
            <w:tr w14:paraId="59E65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983" w:type="dxa"/>
                  <w:gridSpan w:val="2"/>
                  <w:vMerge w:val="continue"/>
                  <w:tcBorders>
                    <w:tl2br w:val="nil"/>
                    <w:tr2bl w:val="nil"/>
                  </w:tcBorders>
                  <w:vAlign w:val="center"/>
                </w:tcPr>
                <w:p w14:paraId="32A30F26">
                  <w:pPr>
                    <w:jc w:val="center"/>
                    <w:rPr>
                      <w:rFonts w:hint="eastAsia"/>
                      <w:szCs w:val="21"/>
                      <w:highlight w:val="none"/>
                    </w:rPr>
                  </w:pPr>
                </w:p>
              </w:tc>
              <w:tc>
                <w:tcPr>
                  <w:tcW w:w="1300" w:type="dxa"/>
                  <w:tcBorders>
                    <w:tl2br w:val="nil"/>
                    <w:tr2bl w:val="nil"/>
                  </w:tcBorders>
                  <w:vAlign w:val="center"/>
                </w:tcPr>
                <w:p w14:paraId="79D51CF5">
                  <w:pPr>
                    <w:pStyle w:val="45"/>
                    <w:spacing w:before="0" w:line="240" w:lineRule="auto"/>
                    <w:ind w:right="0"/>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搅拌机清洗废水</w:t>
                  </w:r>
                </w:p>
              </w:tc>
              <w:tc>
                <w:tcPr>
                  <w:tcW w:w="2977" w:type="dxa"/>
                  <w:tcBorders>
                    <w:tl2br w:val="nil"/>
                    <w:tr2bl w:val="nil"/>
                  </w:tcBorders>
                  <w:vAlign w:val="center"/>
                </w:tcPr>
                <w:p w14:paraId="27DBADE3">
                  <w:pPr>
                    <w:tabs>
                      <w:tab w:val="left" w:pos="1235"/>
                    </w:tabs>
                    <w:adjustRightInd w:val="0"/>
                    <w:snapToGrid w:val="0"/>
                    <w:jc w:val="center"/>
                    <w:textAlignment w:val="center"/>
                    <w:rPr>
                      <w:rFonts w:hint="default" w:eastAsia="宋体"/>
                      <w:highlight w:val="none"/>
                      <w:lang w:val="en-US" w:eastAsia="zh-CN"/>
                    </w:rPr>
                  </w:pPr>
                  <w:r>
                    <w:rPr>
                      <w:rFonts w:hint="eastAsia"/>
                      <w:highlight w:val="none"/>
                      <w:lang w:val="en-US" w:eastAsia="zh-CN"/>
                    </w:rPr>
                    <w:t>回用于混凝土生产搅拌用水，不外排</w:t>
                  </w:r>
                </w:p>
              </w:tc>
              <w:tc>
                <w:tcPr>
                  <w:tcW w:w="2717" w:type="dxa"/>
                  <w:tcBorders>
                    <w:tl2br w:val="nil"/>
                    <w:tr2bl w:val="nil"/>
                  </w:tcBorders>
                  <w:vAlign w:val="center"/>
                </w:tcPr>
                <w:p w14:paraId="7BD14C39">
                  <w:pPr>
                    <w:jc w:val="center"/>
                    <w:rPr>
                      <w:rFonts w:hint="eastAsia" w:eastAsia="宋体"/>
                      <w:szCs w:val="21"/>
                      <w:highlight w:val="none"/>
                      <w:lang w:eastAsia="zh-CN"/>
                    </w:rPr>
                  </w:pPr>
                  <w:r>
                    <w:rPr>
                      <w:szCs w:val="21"/>
                      <w:highlight w:val="none"/>
                    </w:rPr>
                    <w:t>合理处置，不外排</w:t>
                  </w:r>
                  <w:r>
                    <w:rPr>
                      <w:rFonts w:hint="eastAsia"/>
                      <w:szCs w:val="21"/>
                      <w:highlight w:val="none"/>
                      <w:lang w:eastAsia="zh-CN"/>
                    </w:rPr>
                    <w:t>。</w:t>
                  </w:r>
                </w:p>
              </w:tc>
            </w:tr>
            <w:tr w14:paraId="574C0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983" w:type="dxa"/>
                  <w:gridSpan w:val="2"/>
                  <w:vMerge w:val="continue"/>
                  <w:tcBorders>
                    <w:tl2br w:val="nil"/>
                    <w:tr2bl w:val="nil"/>
                  </w:tcBorders>
                  <w:vAlign w:val="center"/>
                </w:tcPr>
                <w:p w14:paraId="4097C81E">
                  <w:pPr>
                    <w:jc w:val="center"/>
                    <w:rPr>
                      <w:rFonts w:hint="eastAsia"/>
                      <w:szCs w:val="21"/>
                      <w:highlight w:val="none"/>
                    </w:rPr>
                  </w:pPr>
                </w:p>
              </w:tc>
              <w:tc>
                <w:tcPr>
                  <w:tcW w:w="1300" w:type="dxa"/>
                  <w:tcBorders>
                    <w:tl2br w:val="nil"/>
                    <w:tr2bl w:val="nil"/>
                  </w:tcBorders>
                  <w:vAlign w:val="center"/>
                </w:tcPr>
                <w:p w14:paraId="70B58933">
                  <w:pPr>
                    <w:pStyle w:val="45"/>
                    <w:spacing w:before="0" w:line="240" w:lineRule="auto"/>
                    <w:ind w:right="0"/>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成型工序离心废水</w:t>
                  </w:r>
                </w:p>
              </w:tc>
              <w:tc>
                <w:tcPr>
                  <w:tcW w:w="2977" w:type="dxa"/>
                  <w:tcBorders>
                    <w:tl2br w:val="nil"/>
                    <w:tr2bl w:val="nil"/>
                  </w:tcBorders>
                  <w:vAlign w:val="center"/>
                </w:tcPr>
                <w:p w14:paraId="41264774">
                  <w:pPr>
                    <w:tabs>
                      <w:tab w:val="left" w:pos="1235"/>
                    </w:tabs>
                    <w:adjustRightInd w:val="0"/>
                    <w:snapToGrid w:val="0"/>
                    <w:jc w:val="center"/>
                    <w:textAlignment w:val="center"/>
                    <w:rPr>
                      <w:rFonts w:hint="default" w:eastAsia="宋体"/>
                      <w:highlight w:val="none"/>
                      <w:lang w:val="en-US" w:eastAsia="zh-CN"/>
                    </w:rPr>
                  </w:pPr>
                  <w:r>
                    <w:rPr>
                      <w:rFonts w:hint="eastAsia"/>
                      <w:highlight w:val="none"/>
                      <w:lang w:val="en-US" w:eastAsia="zh-CN"/>
                    </w:rPr>
                    <w:t>回用于混凝土生产搅拌用水，不外排</w:t>
                  </w:r>
                </w:p>
              </w:tc>
              <w:tc>
                <w:tcPr>
                  <w:tcW w:w="2717" w:type="dxa"/>
                  <w:tcBorders>
                    <w:tl2br w:val="nil"/>
                    <w:tr2bl w:val="nil"/>
                  </w:tcBorders>
                  <w:vAlign w:val="center"/>
                </w:tcPr>
                <w:p w14:paraId="357E0B39">
                  <w:pPr>
                    <w:jc w:val="center"/>
                    <w:rPr>
                      <w:rFonts w:hint="eastAsia" w:eastAsia="宋体"/>
                      <w:szCs w:val="21"/>
                      <w:highlight w:val="none"/>
                      <w:lang w:eastAsia="zh-CN"/>
                    </w:rPr>
                  </w:pPr>
                  <w:r>
                    <w:rPr>
                      <w:szCs w:val="21"/>
                      <w:highlight w:val="none"/>
                    </w:rPr>
                    <w:t>合理处置，不外排</w:t>
                  </w:r>
                  <w:r>
                    <w:rPr>
                      <w:rFonts w:hint="eastAsia"/>
                      <w:szCs w:val="21"/>
                      <w:highlight w:val="none"/>
                      <w:lang w:eastAsia="zh-CN"/>
                    </w:rPr>
                    <w:t>。</w:t>
                  </w:r>
                </w:p>
              </w:tc>
            </w:tr>
          </w:tbl>
          <w:p w14:paraId="6A6FE302">
            <w:pPr>
              <w:spacing w:line="360" w:lineRule="auto"/>
              <w:rPr>
                <w:b/>
                <w:bCs w:val="0"/>
                <w:sz w:val="24"/>
                <w:highlight w:val="none"/>
              </w:rPr>
            </w:pPr>
            <w:r>
              <w:rPr>
                <w:rFonts w:hint="eastAsia"/>
                <w:b/>
                <w:bCs w:val="0"/>
                <w:sz w:val="24"/>
                <w:highlight w:val="none"/>
              </w:rPr>
              <w:t>9</w:t>
            </w:r>
            <w:r>
              <w:rPr>
                <w:rFonts w:hint="eastAsia"/>
                <w:b/>
                <w:bCs w:val="0"/>
                <w:sz w:val="24"/>
                <w:highlight w:val="none"/>
                <w:lang w:val="en-US" w:eastAsia="zh-CN"/>
              </w:rPr>
              <w:t>.</w:t>
            </w:r>
            <w:r>
              <w:rPr>
                <w:b/>
                <w:bCs w:val="0"/>
                <w:sz w:val="24"/>
                <w:highlight w:val="none"/>
              </w:rPr>
              <w:t>环保投资</w:t>
            </w:r>
          </w:p>
          <w:p w14:paraId="6164A728">
            <w:pPr>
              <w:adjustRightInd w:val="0"/>
              <w:snapToGrid w:val="0"/>
              <w:spacing w:line="360" w:lineRule="auto"/>
              <w:ind w:firstLine="480" w:firstLineChars="200"/>
              <w:rPr>
                <w:sz w:val="24"/>
                <w:highlight w:val="none"/>
              </w:rPr>
            </w:pPr>
            <w:r>
              <w:rPr>
                <w:bCs/>
                <w:sz w:val="24"/>
                <w:highlight w:val="none"/>
              </w:rPr>
              <w:t>本项目总投资为</w:t>
            </w:r>
            <w:r>
              <w:rPr>
                <w:rFonts w:hint="eastAsia"/>
                <w:bCs/>
                <w:sz w:val="24"/>
                <w:highlight w:val="none"/>
                <w:lang w:val="en-US" w:eastAsia="zh-CN"/>
              </w:rPr>
              <w:t>5000</w:t>
            </w:r>
            <w:r>
              <w:rPr>
                <w:kern w:val="0"/>
                <w:sz w:val="24"/>
                <w:highlight w:val="none"/>
              </w:rPr>
              <w:t>万元，其中</w:t>
            </w:r>
            <w:r>
              <w:rPr>
                <w:sz w:val="24"/>
                <w:highlight w:val="none"/>
              </w:rPr>
              <w:t>环保投资</w:t>
            </w:r>
            <w:r>
              <w:rPr>
                <w:rFonts w:hint="eastAsia"/>
                <w:sz w:val="24"/>
                <w:highlight w:val="none"/>
                <w:lang w:val="en-US" w:eastAsia="zh-CN"/>
              </w:rPr>
              <w:t>407</w:t>
            </w:r>
            <w:r>
              <w:rPr>
                <w:sz w:val="24"/>
                <w:highlight w:val="none"/>
              </w:rPr>
              <w:t>万元，占总投资的</w:t>
            </w:r>
            <w:r>
              <w:rPr>
                <w:rFonts w:hint="eastAsia"/>
                <w:sz w:val="24"/>
                <w:highlight w:val="none"/>
                <w:lang w:val="en-US" w:eastAsia="zh-CN"/>
              </w:rPr>
              <w:t>8.14</w:t>
            </w:r>
            <w:r>
              <w:rPr>
                <w:sz w:val="24"/>
                <w:highlight w:val="none"/>
              </w:rPr>
              <w:t>%</w:t>
            </w:r>
            <w:r>
              <w:rPr>
                <w:rFonts w:hint="eastAsia"/>
                <w:sz w:val="24"/>
                <w:highlight w:val="none"/>
              </w:rPr>
              <w:t>。</w:t>
            </w:r>
          </w:p>
          <w:p w14:paraId="6D6D84CB">
            <w:pPr>
              <w:adjustRightInd w:val="0"/>
              <w:snapToGrid w:val="0"/>
              <w:ind w:firstLine="480" w:firstLineChars="200"/>
              <w:jc w:val="center"/>
              <w:rPr>
                <w:sz w:val="24"/>
                <w:highlight w:val="none"/>
              </w:rPr>
            </w:pPr>
            <w:r>
              <w:rPr>
                <w:rFonts w:hint="eastAsia"/>
                <w:sz w:val="24"/>
                <w:highlight w:val="none"/>
              </w:rPr>
              <w:t>表4-</w:t>
            </w:r>
            <w:r>
              <w:rPr>
                <w:rFonts w:hint="eastAsia"/>
                <w:sz w:val="24"/>
                <w:highlight w:val="none"/>
                <w:lang w:val="en-US" w:eastAsia="zh-CN"/>
              </w:rPr>
              <w:t>7</w:t>
            </w:r>
            <w:r>
              <w:rPr>
                <w:rFonts w:hint="eastAsia"/>
                <w:sz w:val="24"/>
                <w:highlight w:val="none"/>
              </w:rPr>
              <w:t xml:space="preserve"> 环保投资一览表</w:t>
            </w:r>
          </w:p>
          <w:tbl>
            <w:tblPr>
              <w:tblStyle w:val="30"/>
              <w:tblW w:w="799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3"/>
              <w:gridCol w:w="1711"/>
              <w:gridCol w:w="4402"/>
              <w:gridCol w:w="1152"/>
            </w:tblGrid>
            <w:tr w14:paraId="64AD9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33" w:type="dxa"/>
                  <w:tcBorders>
                    <w:tl2br w:val="nil"/>
                    <w:tr2bl w:val="nil"/>
                  </w:tcBorders>
                  <w:vAlign w:val="center"/>
                </w:tcPr>
                <w:p w14:paraId="1D8C42BB">
                  <w:pPr>
                    <w:jc w:val="center"/>
                    <w:rPr>
                      <w:szCs w:val="21"/>
                      <w:highlight w:val="none"/>
                    </w:rPr>
                  </w:pPr>
                  <w:r>
                    <w:rPr>
                      <w:rFonts w:hint="eastAsia"/>
                      <w:szCs w:val="21"/>
                      <w:highlight w:val="none"/>
                    </w:rPr>
                    <w:t>类别</w:t>
                  </w:r>
                </w:p>
              </w:tc>
              <w:tc>
                <w:tcPr>
                  <w:tcW w:w="1711" w:type="dxa"/>
                  <w:tcBorders>
                    <w:tl2br w:val="nil"/>
                    <w:tr2bl w:val="nil"/>
                  </w:tcBorders>
                  <w:vAlign w:val="center"/>
                </w:tcPr>
                <w:p w14:paraId="28E8B177">
                  <w:pPr>
                    <w:jc w:val="center"/>
                    <w:rPr>
                      <w:szCs w:val="21"/>
                      <w:highlight w:val="none"/>
                    </w:rPr>
                  </w:pPr>
                  <w:r>
                    <w:rPr>
                      <w:rFonts w:hint="eastAsia"/>
                      <w:szCs w:val="21"/>
                      <w:highlight w:val="none"/>
                    </w:rPr>
                    <w:t>污染源</w:t>
                  </w:r>
                </w:p>
              </w:tc>
              <w:tc>
                <w:tcPr>
                  <w:tcW w:w="4402" w:type="dxa"/>
                  <w:tcBorders>
                    <w:tl2br w:val="nil"/>
                    <w:tr2bl w:val="nil"/>
                  </w:tcBorders>
                  <w:vAlign w:val="center"/>
                </w:tcPr>
                <w:p w14:paraId="01ECD82F">
                  <w:pPr>
                    <w:jc w:val="center"/>
                    <w:rPr>
                      <w:szCs w:val="21"/>
                      <w:highlight w:val="none"/>
                    </w:rPr>
                  </w:pPr>
                  <w:r>
                    <w:rPr>
                      <w:rFonts w:hint="eastAsia"/>
                      <w:szCs w:val="21"/>
                      <w:highlight w:val="none"/>
                    </w:rPr>
                    <w:t>环保措施</w:t>
                  </w:r>
                </w:p>
              </w:tc>
              <w:tc>
                <w:tcPr>
                  <w:tcW w:w="1152" w:type="dxa"/>
                  <w:tcBorders>
                    <w:tl2br w:val="nil"/>
                    <w:tr2bl w:val="nil"/>
                  </w:tcBorders>
                  <w:vAlign w:val="center"/>
                </w:tcPr>
                <w:p w14:paraId="762E2E28">
                  <w:pPr>
                    <w:jc w:val="center"/>
                    <w:rPr>
                      <w:szCs w:val="21"/>
                      <w:highlight w:val="none"/>
                    </w:rPr>
                  </w:pPr>
                  <w:r>
                    <w:rPr>
                      <w:rFonts w:hint="eastAsia"/>
                      <w:szCs w:val="21"/>
                      <w:highlight w:val="none"/>
                    </w:rPr>
                    <w:t>环保投资（万元）</w:t>
                  </w:r>
                </w:p>
              </w:tc>
            </w:tr>
            <w:tr w14:paraId="1658F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733" w:type="dxa"/>
                  <w:vMerge w:val="restart"/>
                  <w:tcBorders>
                    <w:tl2br w:val="nil"/>
                    <w:tr2bl w:val="nil"/>
                  </w:tcBorders>
                  <w:vAlign w:val="center"/>
                </w:tcPr>
                <w:p w14:paraId="73C83DE7">
                  <w:pPr>
                    <w:jc w:val="center"/>
                    <w:rPr>
                      <w:szCs w:val="21"/>
                      <w:highlight w:val="none"/>
                    </w:rPr>
                  </w:pPr>
                  <w:r>
                    <w:rPr>
                      <w:szCs w:val="21"/>
                      <w:highlight w:val="none"/>
                    </w:rPr>
                    <w:t>废气</w:t>
                  </w:r>
                </w:p>
              </w:tc>
              <w:tc>
                <w:tcPr>
                  <w:tcW w:w="1711" w:type="dxa"/>
                  <w:tcBorders>
                    <w:tl2br w:val="nil"/>
                    <w:tr2bl w:val="nil"/>
                  </w:tcBorders>
                  <w:vAlign w:val="center"/>
                </w:tcPr>
                <w:p w14:paraId="63FBB5CF">
                  <w:pPr>
                    <w:jc w:val="center"/>
                    <w:rPr>
                      <w:rFonts w:hint="eastAsia" w:eastAsia="宋体"/>
                      <w:szCs w:val="21"/>
                      <w:highlight w:val="none"/>
                      <w:lang w:eastAsia="zh-CN"/>
                    </w:rPr>
                  </w:pPr>
                  <w:r>
                    <w:rPr>
                      <w:rFonts w:hint="eastAsia"/>
                      <w:szCs w:val="21"/>
                      <w:highlight w:val="none"/>
                      <w:lang w:val="en-US" w:eastAsia="zh-CN"/>
                    </w:rPr>
                    <w:t>原料库</w:t>
                  </w:r>
                </w:p>
              </w:tc>
              <w:tc>
                <w:tcPr>
                  <w:tcW w:w="4402" w:type="dxa"/>
                  <w:tcBorders>
                    <w:tl2br w:val="nil"/>
                    <w:tr2bl w:val="nil"/>
                  </w:tcBorders>
                  <w:vAlign w:val="center"/>
                </w:tcPr>
                <w:p w14:paraId="6E205590">
                  <w:pPr>
                    <w:jc w:val="left"/>
                    <w:rPr>
                      <w:highlight w:val="none"/>
                    </w:rPr>
                  </w:pPr>
                  <w:r>
                    <w:rPr>
                      <w:rFonts w:hint="eastAsia"/>
                      <w:szCs w:val="21"/>
                      <w:highlight w:val="none"/>
                      <w:lang w:val="en-US" w:eastAsia="zh-CN"/>
                    </w:rPr>
                    <w:t>雾炮抑尘、全封闭储棚</w:t>
                  </w:r>
                </w:p>
              </w:tc>
              <w:tc>
                <w:tcPr>
                  <w:tcW w:w="1152" w:type="dxa"/>
                  <w:tcBorders>
                    <w:tl2br w:val="nil"/>
                    <w:tr2bl w:val="nil"/>
                  </w:tcBorders>
                  <w:vAlign w:val="center"/>
                </w:tcPr>
                <w:p w14:paraId="621D3A78">
                  <w:pPr>
                    <w:jc w:val="center"/>
                    <w:rPr>
                      <w:szCs w:val="21"/>
                      <w:highlight w:val="none"/>
                    </w:rPr>
                  </w:pPr>
                  <w:r>
                    <w:rPr>
                      <w:rFonts w:hint="eastAsia"/>
                      <w:szCs w:val="21"/>
                      <w:highlight w:val="none"/>
                      <w:lang w:val="en-US" w:eastAsia="zh-CN"/>
                    </w:rPr>
                    <w:t>303</w:t>
                  </w:r>
                </w:p>
              </w:tc>
            </w:tr>
            <w:tr w14:paraId="2C9F3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733" w:type="dxa"/>
                  <w:vMerge w:val="continue"/>
                  <w:tcBorders>
                    <w:tl2br w:val="nil"/>
                    <w:tr2bl w:val="nil"/>
                  </w:tcBorders>
                  <w:vAlign w:val="center"/>
                </w:tcPr>
                <w:p w14:paraId="6E3D01C4">
                  <w:pPr>
                    <w:jc w:val="center"/>
                    <w:rPr>
                      <w:szCs w:val="21"/>
                      <w:highlight w:val="none"/>
                    </w:rPr>
                  </w:pPr>
                </w:p>
              </w:tc>
              <w:tc>
                <w:tcPr>
                  <w:tcW w:w="1711" w:type="dxa"/>
                  <w:tcBorders>
                    <w:tl2br w:val="nil"/>
                    <w:tr2bl w:val="nil"/>
                  </w:tcBorders>
                  <w:vAlign w:val="center"/>
                </w:tcPr>
                <w:p w14:paraId="3579B151">
                  <w:pPr>
                    <w:jc w:val="center"/>
                    <w:rPr>
                      <w:szCs w:val="21"/>
                      <w:highlight w:val="none"/>
                    </w:rPr>
                  </w:pPr>
                  <w:r>
                    <w:rPr>
                      <w:rFonts w:hint="eastAsia"/>
                      <w:szCs w:val="21"/>
                      <w:highlight w:val="none"/>
                    </w:rPr>
                    <w:t>搅拌机粉尘</w:t>
                  </w:r>
                </w:p>
              </w:tc>
              <w:tc>
                <w:tcPr>
                  <w:tcW w:w="4402" w:type="dxa"/>
                  <w:tcBorders>
                    <w:tl2br w:val="nil"/>
                    <w:tr2bl w:val="nil"/>
                  </w:tcBorders>
                  <w:vAlign w:val="center"/>
                </w:tcPr>
                <w:p w14:paraId="189446AC">
                  <w:pPr>
                    <w:jc w:val="left"/>
                    <w:rPr>
                      <w:rFonts w:hint="eastAsia" w:eastAsia="宋体"/>
                      <w:szCs w:val="21"/>
                      <w:highlight w:val="none"/>
                      <w:lang w:eastAsia="zh-CN"/>
                    </w:rPr>
                  </w:pPr>
                  <w:r>
                    <w:rPr>
                      <w:rFonts w:hint="eastAsia"/>
                      <w:szCs w:val="21"/>
                      <w:highlight w:val="none"/>
                    </w:rPr>
                    <w:t>布袋除尘器+15m排气筒</w:t>
                  </w:r>
                  <w:r>
                    <w:rPr>
                      <w:rFonts w:hint="eastAsia"/>
                      <w:szCs w:val="21"/>
                      <w:highlight w:val="none"/>
                      <w:lang w:eastAsia="zh-CN"/>
                    </w:rPr>
                    <w:t>。</w:t>
                  </w:r>
                </w:p>
              </w:tc>
              <w:tc>
                <w:tcPr>
                  <w:tcW w:w="1152" w:type="dxa"/>
                  <w:tcBorders>
                    <w:tl2br w:val="nil"/>
                    <w:tr2bl w:val="nil"/>
                  </w:tcBorders>
                  <w:vAlign w:val="center"/>
                </w:tcPr>
                <w:p w14:paraId="0B67EA96">
                  <w:pPr>
                    <w:jc w:val="center"/>
                    <w:rPr>
                      <w:szCs w:val="21"/>
                      <w:highlight w:val="none"/>
                    </w:rPr>
                  </w:pPr>
                  <w:r>
                    <w:rPr>
                      <w:rFonts w:hint="eastAsia"/>
                      <w:szCs w:val="21"/>
                      <w:highlight w:val="none"/>
                      <w:lang w:val="en-US" w:eastAsia="zh-CN"/>
                    </w:rPr>
                    <w:t>3</w:t>
                  </w:r>
                  <w:r>
                    <w:rPr>
                      <w:rFonts w:hint="eastAsia"/>
                      <w:szCs w:val="21"/>
                      <w:highlight w:val="none"/>
                    </w:rPr>
                    <w:t>5</w:t>
                  </w:r>
                </w:p>
              </w:tc>
            </w:tr>
            <w:tr w14:paraId="025B3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733" w:type="dxa"/>
                  <w:vMerge w:val="continue"/>
                  <w:tcBorders>
                    <w:tl2br w:val="nil"/>
                    <w:tr2bl w:val="nil"/>
                  </w:tcBorders>
                  <w:vAlign w:val="center"/>
                </w:tcPr>
                <w:p w14:paraId="72D4C531">
                  <w:pPr>
                    <w:jc w:val="center"/>
                    <w:rPr>
                      <w:szCs w:val="21"/>
                      <w:highlight w:val="none"/>
                    </w:rPr>
                  </w:pPr>
                </w:p>
              </w:tc>
              <w:tc>
                <w:tcPr>
                  <w:tcW w:w="1711" w:type="dxa"/>
                  <w:tcBorders>
                    <w:tl2br w:val="nil"/>
                    <w:tr2bl w:val="nil"/>
                  </w:tcBorders>
                  <w:vAlign w:val="center"/>
                </w:tcPr>
                <w:p w14:paraId="679DEA80">
                  <w:pPr>
                    <w:jc w:val="center"/>
                    <w:rPr>
                      <w:szCs w:val="21"/>
                      <w:highlight w:val="none"/>
                      <w:lang w:val="en-GB"/>
                    </w:rPr>
                  </w:pPr>
                  <w:r>
                    <w:rPr>
                      <w:rFonts w:hint="eastAsia"/>
                      <w:szCs w:val="21"/>
                      <w:highlight w:val="none"/>
                      <w:lang w:val="en-GB"/>
                    </w:rPr>
                    <w:t>筒仓粉尘</w:t>
                  </w:r>
                </w:p>
              </w:tc>
              <w:tc>
                <w:tcPr>
                  <w:tcW w:w="4402" w:type="dxa"/>
                  <w:tcBorders>
                    <w:tl2br w:val="nil"/>
                    <w:tr2bl w:val="nil"/>
                  </w:tcBorders>
                  <w:vAlign w:val="center"/>
                </w:tcPr>
                <w:p w14:paraId="303A1A86">
                  <w:pPr>
                    <w:jc w:val="left"/>
                    <w:rPr>
                      <w:rFonts w:hint="eastAsia" w:eastAsia="宋体"/>
                      <w:szCs w:val="21"/>
                      <w:highlight w:val="none"/>
                      <w:lang w:eastAsia="zh-CN"/>
                    </w:rPr>
                  </w:pPr>
                  <w:r>
                    <w:rPr>
                      <w:rFonts w:hint="eastAsia"/>
                      <w:szCs w:val="21"/>
                      <w:highlight w:val="none"/>
                    </w:rPr>
                    <w:t>筒仓顶部滤芯除尘器（筒仓自带）</w:t>
                  </w:r>
                  <w:r>
                    <w:rPr>
                      <w:rFonts w:hint="eastAsia"/>
                      <w:szCs w:val="21"/>
                      <w:highlight w:val="none"/>
                      <w:lang w:eastAsia="zh-CN"/>
                    </w:rPr>
                    <w:t>。</w:t>
                  </w:r>
                </w:p>
              </w:tc>
              <w:tc>
                <w:tcPr>
                  <w:tcW w:w="1152" w:type="dxa"/>
                  <w:tcBorders>
                    <w:tl2br w:val="nil"/>
                    <w:tr2bl w:val="nil"/>
                  </w:tcBorders>
                  <w:vAlign w:val="center"/>
                </w:tcPr>
                <w:p w14:paraId="40186158">
                  <w:pPr>
                    <w:jc w:val="center"/>
                    <w:rPr>
                      <w:rFonts w:hint="eastAsia" w:eastAsia="宋体"/>
                      <w:szCs w:val="21"/>
                      <w:highlight w:val="none"/>
                      <w:lang w:eastAsia="zh-CN"/>
                    </w:rPr>
                  </w:pPr>
                  <w:r>
                    <w:rPr>
                      <w:rFonts w:hint="eastAsia"/>
                      <w:szCs w:val="21"/>
                      <w:highlight w:val="none"/>
                      <w:lang w:val="en-US" w:eastAsia="zh-CN"/>
                    </w:rPr>
                    <w:t>/</w:t>
                  </w:r>
                </w:p>
              </w:tc>
            </w:tr>
            <w:tr w14:paraId="5D714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733" w:type="dxa"/>
                  <w:tcBorders>
                    <w:tl2br w:val="nil"/>
                    <w:tr2bl w:val="nil"/>
                  </w:tcBorders>
                  <w:vAlign w:val="center"/>
                </w:tcPr>
                <w:p w14:paraId="017C131A">
                  <w:pPr>
                    <w:jc w:val="center"/>
                    <w:rPr>
                      <w:szCs w:val="21"/>
                      <w:highlight w:val="none"/>
                    </w:rPr>
                  </w:pPr>
                  <w:r>
                    <w:rPr>
                      <w:szCs w:val="21"/>
                      <w:highlight w:val="none"/>
                    </w:rPr>
                    <w:t>废水</w:t>
                  </w:r>
                </w:p>
              </w:tc>
              <w:tc>
                <w:tcPr>
                  <w:tcW w:w="1711" w:type="dxa"/>
                  <w:tcBorders>
                    <w:tl2br w:val="nil"/>
                    <w:tr2bl w:val="nil"/>
                  </w:tcBorders>
                  <w:vAlign w:val="center"/>
                </w:tcPr>
                <w:p w14:paraId="0FF5786F">
                  <w:pPr>
                    <w:jc w:val="center"/>
                    <w:rPr>
                      <w:bCs/>
                      <w:szCs w:val="21"/>
                      <w:highlight w:val="none"/>
                      <w:lang w:bidi="ar"/>
                    </w:rPr>
                  </w:pPr>
                  <w:r>
                    <w:rPr>
                      <w:szCs w:val="21"/>
                      <w:highlight w:val="none"/>
                    </w:rPr>
                    <w:t>生活废水</w:t>
                  </w:r>
                </w:p>
              </w:tc>
              <w:tc>
                <w:tcPr>
                  <w:tcW w:w="4402" w:type="dxa"/>
                  <w:tcBorders>
                    <w:tl2br w:val="nil"/>
                    <w:tr2bl w:val="nil"/>
                  </w:tcBorders>
                  <w:vAlign w:val="center"/>
                </w:tcPr>
                <w:p w14:paraId="5719F656">
                  <w:pPr>
                    <w:jc w:val="left"/>
                    <w:rPr>
                      <w:rFonts w:hint="eastAsia" w:eastAsia="宋体"/>
                      <w:szCs w:val="21"/>
                      <w:highlight w:val="none"/>
                      <w:lang w:eastAsia="zh-CN"/>
                    </w:rPr>
                  </w:pPr>
                  <w:r>
                    <w:rPr>
                      <w:rFonts w:hint="eastAsia"/>
                      <w:szCs w:val="21"/>
                      <w:highlight w:val="none"/>
                    </w:rPr>
                    <w:t>生活污水经厂区设置的化粪池处理后排放至园区污水处理站，不外排</w:t>
                  </w:r>
                  <w:r>
                    <w:rPr>
                      <w:rFonts w:hint="eastAsia"/>
                      <w:szCs w:val="21"/>
                      <w:highlight w:val="none"/>
                      <w:lang w:eastAsia="zh-CN"/>
                    </w:rPr>
                    <w:t>。</w:t>
                  </w:r>
                </w:p>
              </w:tc>
              <w:tc>
                <w:tcPr>
                  <w:tcW w:w="1152" w:type="dxa"/>
                  <w:tcBorders>
                    <w:tl2br w:val="nil"/>
                    <w:tr2bl w:val="nil"/>
                  </w:tcBorders>
                  <w:vAlign w:val="center"/>
                </w:tcPr>
                <w:p w14:paraId="1A0C1AEA">
                  <w:pPr>
                    <w:jc w:val="center"/>
                    <w:rPr>
                      <w:szCs w:val="21"/>
                      <w:highlight w:val="none"/>
                    </w:rPr>
                  </w:pPr>
                  <w:r>
                    <w:rPr>
                      <w:rFonts w:hint="eastAsia"/>
                      <w:szCs w:val="21"/>
                      <w:highlight w:val="none"/>
                    </w:rPr>
                    <w:t>2</w:t>
                  </w:r>
                </w:p>
              </w:tc>
            </w:tr>
            <w:tr w14:paraId="36AEA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733" w:type="dxa"/>
                  <w:vMerge w:val="restart"/>
                  <w:tcBorders>
                    <w:tl2br w:val="nil"/>
                    <w:tr2bl w:val="nil"/>
                  </w:tcBorders>
                  <w:vAlign w:val="center"/>
                </w:tcPr>
                <w:p w14:paraId="5EE19B13">
                  <w:pPr>
                    <w:jc w:val="center"/>
                    <w:rPr>
                      <w:szCs w:val="21"/>
                      <w:highlight w:val="none"/>
                    </w:rPr>
                  </w:pPr>
                  <w:r>
                    <w:rPr>
                      <w:szCs w:val="21"/>
                      <w:highlight w:val="none"/>
                    </w:rPr>
                    <w:t>固</w:t>
                  </w:r>
                </w:p>
                <w:p w14:paraId="10071108">
                  <w:pPr>
                    <w:jc w:val="center"/>
                    <w:rPr>
                      <w:szCs w:val="21"/>
                      <w:highlight w:val="none"/>
                    </w:rPr>
                  </w:pPr>
                  <w:r>
                    <w:rPr>
                      <w:szCs w:val="21"/>
                      <w:highlight w:val="none"/>
                    </w:rPr>
                    <w:t>废</w:t>
                  </w:r>
                </w:p>
              </w:tc>
              <w:tc>
                <w:tcPr>
                  <w:tcW w:w="1711" w:type="dxa"/>
                  <w:tcBorders>
                    <w:tl2br w:val="nil"/>
                    <w:tr2bl w:val="nil"/>
                  </w:tcBorders>
                  <w:vAlign w:val="center"/>
                </w:tcPr>
                <w:p w14:paraId="7A250D4F">
                  <w:pPr>
                    <w:pStyle w:val="45"/>
                    <w:spacing w:before="0" w:line="240" w:lineRule="auto"/>
                    <w:ind w:right="0"/>
                    <w:rPr>
                      <w:bCs/>
                      <w:color w:val="auto"/>
                      <w:szCs w:val="21"/>
                      <w:highlight w:val="none"/>
                      <w:lang w:bidi="ar"/>
                    </w:rPr>
                  </w:pPr>
                  <w:r>
                    <w:rPr>
                      <w:rFonts w:hint="eastAsia"/>
                      <w:b w:val="0"/>
                      <w:color w:val="auto"/>
                      <w:sz w:val="21"/>
                      <w:szCs w:val="21"/>
                      <w:highlight w:val="none"/>
                    </w:rPr>
                    <w:t>除尘器灰</w:t>
                  </w:r>
                </w:p>
              </w:tc>
              <w:tc>
                <w:tcPr>
                  <w:tcW w:w="4402" w:type="dxa"/>
                  <w:tcBorders>
                    <w:tl2br w:val="nil"/>
                    <w:tr2bl w:val="nil"/>
                  </w:tcBorders>
                  <w:vAlign w:val="center"/>
                </w:tcPr>
                <w:p w14:paraId="7A7C92BF">
                  <w:pPr>
                    <w:tabs>
                      <w:tab w:val="left" w:pos="1235"/>
                    </w:tabs>
                    <w:adjustRightInd w:val="0"/>
                    <w:snapToGrid w:val="0"/>
                    <w:jc w:val="left"/>
                    <w:textAlignment w:val="center"/>
                    <w:rPr>
                      <w:szCs w:val="21"/>
                      <w:highlight w:val="none"/>
                    </w:rPr>
                  </w:pPr>
                  <w:r>
                    <w:rPr>
                      <w:rFonts w:hint="eastAsia"/>
                      <w:highlight w:val="none"/>
                    </w:rPr>
                    <w:t>收集后回用于生产</w:t>
                  </w:r>
                </w:p>
              </w:tc>
              <w:tc>
                <w:tcPr>
                  <w:tcW w:w="1152" w:type="dxa"/>
                  <w:tcBorders>
                    <w:tl2br w:val="nil"/>
                    <w:tr2bl w:val="nil"/>
                  </w:tcBorders>
                  <w:vAlign w:val="center"/>
                </w:tcPr>
                <w:p w14:paraId="18169DC1">
                  <w:pPr>
                    <w:jc w:val="center"/>
                    <w:rPr>
                      <w:highlight w:val="none"/>
                    </w:rPr>
                  </w:pPr>
                  <w:r>
                    <w:rPr>
                      <w:rFonts w:hint="eastAsia"/>
                      <w:szCs w:val="21"/>
                      <w:highlight w:val="none"/>
                    </w:rPr>
                    <w:t>/</w:t>
                  </w:r>
                </w:p>
              </w:tc>
            </w:tr>
            <w:tr w14:paraId="30DEF2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733" w:type="dxa"/>
                  <w:vMerge w:val="continue"/>
                  <w:tcBorders>
                    <w:tl2br w:val="nil"/>
                    <w:tr2bl w:val="nil"/>
                  </w:tcBorders>
                  <w:vAlign w:val="center"/>
                </w:tcPr>
                <w:p w14:paraId="660AB494">
                  <w:pPr>
                    <w:jc w:val="center"/>
                    <w:rPr>
                      <w:szCs w:val="21"/>
                      <w:highlight w:val="none"/>
                    </w:rPr>
                  </w:pPr>
                </w:p>
              </w:tc>
              <w:tc>
                <w:tcPr>
                  <w:tcW w:w="1711" w:type="dxa"/>
                  <w:tcBorders>
                    <w:tl2br w:val="nil"/>
                    <w:tr2bl w:val="nil"/>
                  </w:tcBorders>
                  <w:vAlign w:val="center"/>
                </w:tcPr>
                <w:p w14:paraId="43BE6D67">
                  <w:pPr>
                    <w:pStyle w:val="45"/>
                    <w:spacing w:before="0" w:line="240" w:lineRule="auto"/>
                    <w:ind w:right="0"/>
                    <w:rPr>
                      <w:b w:val="0"/>
                      <w:color w:val="auto"/>
                      <w:sz w:val="21"/>
                      <w:szCs w:val="21"/>
                      <w:highlight w:val="none"/>
                    </w:rPr>
                  </w:pPr>
                  <w:r>
                    <w:rPr>
                      <w:rFonts w:hint="eastAsia"/>
                      <w:b w:val="0"/>
                      <w:color w:val="auto"/>
                      <w:sz w:val="21"/>
                      <w:szCs w:val="21"/>
                      <w:highlight w:val="none"/>
                    </w:rPr>
                    <w:t>不合格产品</w:t>
                  </w:r>
                </w:p>
              </w:tc>
              <w:tc>
                <w:tcPr>
                  <w:tcW w:w="4402" w:type="dxa"/>
                  <w:tcBorders>
                    <w:tl2br w:val="nil"/>
                    <w:tr2bl w:val="nil"/>
                  </w:tcBorders>
                  <w:vAlign w:val="center"/>
                </w:tcPr>
                <w:p w14:paraId="7B77E7E0">
                  <w:pPr>
                    <w:tabs>
                      <w:tab w:val="left" w:pos="1235"/>
                    </w:tabs>
                    <w:adjustRightInd w:val="0"/>
                    <w:snapToGrid w:val="0"/>
                    <w:jc w:val="left"/>
                    <w:textAlignment w:val="center"/>
                    <w:rPr>
                      <w:rFonts w:hint="eastAsia" w:eastAsia="宋体"/>
                      <w:highlight w:val="none"/>
                      <w:lang w:eastAsia="zh-CN"/>
                    </w:rPr>
                  </w:pPr>
                  <w:r>
                    <w:rPr>
                      <w:rFonts w:hint="eastAsia"/>
                      <w:highlight w:val="none"/>
                    </w:rPr>
                    <w:t>暂存于一般固废暂存间，定期作为建筑废料外运处理</w:t>
                  </w:r>
                  <w:r>
                    <w:rPr>
                      <w:rFonts w:hint="eastAsia"/>
                      <w:highlight w:val="none"/>
                      <w:lang w:eastAsia="zh-CN"/>
                    </w:rPr>
                    <w:t>。</w:t>
                  </w:r>
                </w:p>
              </w:tc>
              <w:tc>
                <w:tcPr>
                  <w:tcW w:w="1152" w:type="dxa"/>
                  <w:tcBorders>
                    <w:tl2br w:val="nil"/>
                    <w:tr2bl w:val="nil"/>
                  </w:tcBorders>
                  <w:vAlign w:val="center"/>
                </w:tcPr>
                <w:p w14:paraId="420765F3">
                  <w:pPr>
                    <w:jc w:val="center"/>
                    <w:rPr>
                      <w:szCs w:val="21"/>
                      <w:highlight w:val="none"/>
                    </w:rPr>
                  </w:pPr>
                  <w:r>
                    <w:rPr>
                      <w:rFonts w:hint="eastAsia"/>
                      <w:szCs w:val="21"/>
                      <w:highlight w:val="none"/>
                    </w:rPr>
                    <w:t>5</w:t>
                  </w:r>
                </w:p>
              </w:tc>
            </w:tr>
            <w:tr w14:paraId="015A8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733" w:type="dxa"/>
                  <w:vMerge w:val="continue"/>
                  <w:tcBorders>
                    <w:tl2br w:val="nil"/>
                    <w:tr2bl w:val="nil"/>
                  </w:tcBorders>
                  <w:vAlign w:val="center"/>
                </w:tcPr>
                <w:p w14:paraId="79F4FEEF">
                  <w:pPr>
                    <w:jc w:val="center"/>
                    <w:rPr>
                      <w:szCs w:val="21"/>
                      <w:highlight w:val="none"/>
                    </w:rPr>
                  </w:pPr>
                </w:p>
              </w:tc>
              <w:tc>
                <w:tcPr>
                  <w:tcW w:w="1711" w:type="dxa"/>
                  <w:tcBorders>
                    <w:tl2br w:val="nil"/>
                    <w:tr2bl w:val="nil"/>
                  </w:tcBorders>
                  <w:shd w:val="clear" w:color="auto" w:fill="auto"/>
                  <w:vAlign w:val="center"/>
                </w:tcPr>
                <w:p w14:paraId="412A81CD">
                  <w:pPr>
                    <w:pStyle w:val="45"/>
                    <w:spacing w:before="0" w:line="240" w:lineRule="auto"/>
                    <w:ind w:right="0" w:rightChars="0"/>
                    <w:rPr>
                      <w:rFonts w:hint="eastAsia" w:ascii="Times New Roman" w:hAnsi="Times New Roman" w:eastAsia="宋体" w:cs="Times New Roman"/>
                      <w:b w:val="0"/>
                      <w:bCs/>
                      <w:color w:val="auto"/>
                      <w:kern w:val="0"/>
                      <w:sz w:val="21"/>
                      <w:szCs w:val="21"/>
                      <w:highlight w:val="none"/>
                      <w:lang w:val="en-US" w:eastAsia="zh-CN" w:bidi="ar-SA"/>
                    </w:rPr>
                  </w:pPr>
                  <w:r>
                    <w:rPr>
                      <w:rFonts w:hint="eastAsia"/>
                      <w:b w:val="0"/>
                      <w:color w:val="auto"/>
                      <w:sz w:val="21"/>
                      <w:szCs w:val="21"/>
                      <w:highlight w:val="none"/>
                    </w:rPr>
                    <w:t>钢棒切割渣</w:t>
                  </w:r>
                </w:p>
              </w:tc>
              <w:tc>
                <w:tcPr>
                  <w:tcW w:w="4402" w:type="dxa"/>
                  <w:tcBorders>
                    <w:tl2br w:val="nil"/>
                    <w:tr2bl w:val="nil"/>
                  </w:tcBorders>
                  <w:shd w:val="clear" w:color="auto" w:fill="auto"/>
                  <w:vAlign w:val="center"/>
                </w:tcPr>
                <w:p w14:paraId="413F21DD">
                  <w:pPr>
                    <w:pStyle w:val="45"/>
                    <w:spacing w:before="0" w:line="240" w:lineRule="auto"/>
                    <w:ind w:right="0" w:rightChars="0"/>
                    <w:jc w:val="left"/>
                    <w:rPr>
                      <w:rFonts w:hint="eastAsia" w:ascii="Times New Roman" w:hAnsi="Times New Roman" w:eastAsia="宋体" w:cs="Times New Roman"/>
                      <w:b w:val="0"/>
                      <w:bCs/>
                      <w:color w:val="auto"/>
                      <w:kern w:val="0"/>
                      <w:sz w:val="21"/>
                      <w:szCs w:val="21"/>
                      <w:highlight w:val="none"/>
                      <w:lang w:val="en-US" w:eastAsia="zh-CN" w:bidi="ar-SA"/>
                    </w:rPr>
                  </w:pPr>
                  <w:r>
                    <w:rPr>
                      <w:rFonts w:hint="eastAsia"/>
                      <w:b w:val="0"/>
                      <w:bCs/>
                      <w:color w:val="auto"/>
                      <w:sz w:val="21"/>
                      <w:szCs w:val="21"/>
                      <w:highlight w:val="none"/>
                    </w:rPr>
                    <w:t>暂存于一般固废暂存间，定期外售</w:t>
                  </w:r>
                  <w:r>
                    <w:rPr>
                      <w:rFonts w:hint="eastAsia"/>
                      <w:b w:val="0"/>
                      <w:bCs/>
                      <w:color w:val="auto"/>
                      <w:sz w:val="21"/>
                      <w:szCs w:val="21"/>
                      <w:highlight w:val="none"/>
                      <w:lang w:eastAsia="zh-CN"/>
                    </w:rPr>
                    <w:t>。</w:t>
                  </w:r>
                </w:p>
              </w:tc>
              <w:tc>
                <w:tcPr>
                  <w:tcW w:w="1152" w:type="dxa"/>
                  <w:tcBorders>
                    <w:tl2br w:val="nil"/>
                    <w:tr2bl w:val="nil"/>
                  </w:tcBorders>
                  <w:shd w:val="clear" w:color="auto" w:fill="auto"/>
                  <w:vAlign w:val="center"/>
                </w:tcPr>
                <w:p w14:paraId="3C4700A6">
                  <w:pPr>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w:t>
                  </w:r>
                </w:p>
              </w:tc>
            </w:tr>
            <w:tr w14:paraId="60DC7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733" w:type="dxa"/>
                  <w:vMerge w:val="continue"/>
                  <w:tcBorders>
                    <w:tl2br w:val="nil"/>
                    <w:tr2bl w:val="nil"/>
                  </w:tcBorders>
                  <w:vAlign w:val="center"/>
                </w:tcPr>
                <w:p w14:paraId="5C68FA37">
                  <w:pPr>
                    <w:jc w:val="center"/>
                    <w:rPr>
                      <w:szCs w:val="21"/>
                      <w:highlight w:val="none"/>
                    </w:rPr>
                  </w:pPr>
                </w:p>
              </w:tc>
              <w:tc>
                <w:tcPr>
                  <w:tcW w:w="1711" w:type="dxa"/>
                  <w:tcBorders>
                    <w:tl2br w:val="nil"/>
                    <w:tr2bl w:val="nil"/>
                  </w:tcBorders>
                  <w:vAlign w:val="center"/>
                </w:tcPr>
                <w:p w14:paraId="21E21726">
                  <w:pPr>
                    <w:pStyle w:val="45"/>
                    <w:spacing w:before="0" w:line="240" w:lineRule="auto"/>
                    <w:ind w:right="0"/>
                    <w:rPr>
                      <w:bCs/>
                      <w:color w:val="auto"/>
                      <w:szCs w:val="21"/>
                      <w:highlight w:val="none"/>
                      <w:lang w:bidi="ar"/>
                    </w:rPr>
                  </w:pPr>
                  <w:r>
                    <w:rPr>
                      <w:b w:val="0"/>
                      <w:bCs/>
                      <w:color w:val="auto"/>
                      <w:sz w:val="21"/>
                      <w:szCs w:val="21"/>
                      <w:highlight w:val="none"/>
                    </w:rPr>
                    <w:t>生活垃圾</w:t>
                  </w:r>
                </w:p>
              </w:tc>
              <w:tc>
                <w:tcPr>
                  <w:tcW w:w="4402" w:type="dxa"/>
                  <w:tcBorders>
                    <w:tl2br w:val="nil"/>
                    <w:tr2bl w:val="nil"/>
                  </w:tcBorders>
                  <w:vAlign w:val="center"/>
                </w:tcPr>
                <w:p w14:paraId="799ECE5D">
                  <w:pPr>
                    <w:pStyle w:val="45"/>
                    <w:spacing w:before="0" w:line="240" w:lineRule="auto"/>
                    <w:ind w:right="0"/>
                    <w:jc w:val="left"/>
                    <w:rPr>
                      <w:color w:val="auto"/>
                      <w:szCs w:val="21"/>
                      <w:highlight w:val="none"/>
                    </w:rPr>
                  </w:pPr>
                  <w:r>
                    <w:rPr>
                      <w:rFonts w:hint="eastAsia"/>
                      <w:b w:val="0"/>
                      <w:bCs/>
                      <w:color w:val="auto"/>
                      <w:sz w:val="21"/>
                      <w:szCs w:val="21"/>
                      <w:highlight w:val="none"/>
                    </w:rPr>
                    <w:t>厂</w:t>
                  </w:r>
                  <w:r>
                    <w:rPr>
                      <w:b w:val="0"/>
                      <w:bCs/>
                      <w:color w:val="auto"/>
                      <w:sz w:val="21"/>
                      <w:szCs w:val="21"/>
                      <w:highlight w:val="none"/>
                    </w:rPr>
                    <w:t>区设置若干分类垃圾箱进行收集，</w:t>
                  </w:r>
                  <w:r>
                    <w:rPr>
                      <w:rFonts w:hint="eastAsia"/>
                      <w:b w:val="0"/>
                      <w:bCs/>
                      <w:color w:val="auto"/>
                      <w:sz w:val="21"/>
                      <w:szCs w:val="21"/>
                      <w:highlight w:val="none"/>
                    </w:rPr>
                    <w:t>交由环卫部门定期清运处置。</w:t>
                  </w:r>
                </w:p>
              </w:tc>
              <w:tc>
                <w:tcPr>
                  <w:tcW w:w="1152" w:type="dxa"/>
                  <w:tcBorders>
                    <w:tl2br w:val="nil"/>
                    <w:tr2bl w:val="nil"/>
                  </w:tcBorders>
                  <w:vAlign w:val="center"/>
                </w:tcPr>
                <w:p w14:paraId="5C5FC383">
                  <w:pPr>
                    <w:jc w:val="center"/>
                    <w:rPr>
                      <w:szCs w:val="21"/>
                      <w:highlight w:val="none"/>
                    </w:rPr>
                  </w:pPr>
                  <w:r>
                    <w:rPr>
                      <w:rFonts w:hint="eastAsia"/>
                      <w:szCs w:val="21"/>
                      <w:highlight w:val="none"/>
                    </w:rPr>
                    <w:t>1</w:t>
                  </w:r>
                </w:p>
              </w:tc>
            </w:tr>
            <w:tr w14:paraId="4888B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733" w:type="dxa"/>
                  <w:tcBorders>
                    <w:tl2br w:val="nil"/>
                    <w:tr2bl w:val="nil"/>
                  </w:tcBorders>
                  <w:vAlign w:val="center"/>
                </w:tcPr>
                <w:p w14:paraId="03E7E2DF">
                  <w:pPr>
                    <w:jc w:val="center"/>
                    <w:rPr>
                      <w:szCs w:val="21"/>
                      <w:highlight w:val="none"/>
                    </w:rPr>
                  </w:pPr>
                  <w:r>
                    <w:rPr>
                      <w:szCs w:val="21"/>
                      <w:highlight w:val="none"/>
                    </w:rPr>
                    <w:t>噪</w:t>
                  </w:r>
                </w:p>
                <w:p w14:paraId="71F73EA1">
                  <w:pPr>
                    <w:jc w:val="center"/>
                    <w:rPr>
                      <w:szCs w:val="21"/>
                      <w:highlight w:val="none"/>
                    </w:rPr>
                  </w:pPr>
                  <w:r>
                    <w:rPr>
                      <w:szCs w:val="21"/>
                      <w:highlight w:val="none"/>
                    </w:rPr>
                    <w:t>声</w:t>
                  </w:r>
                </w:p>
              </w:tc>
              <w:tc>
                <w:tcPr>
                  <w:tcW w:w="1711" w:type="dxa"/>
                  <w:tcBorders>
                    <w:tl2br w:val="nil"/>
                    <w:tr2bl w:val="nil"/>
                  </w:tcBorders>
                  <w:vAlign w:val="center"/>
                </w:tcPr>
                <w:p w14:paraId="352A9A7A">
                  <w:pPr>
                    <w:jc w:val="center"/>
                    <w:rPr>
                      <w:szCs w:val="21"/>
                      <w:highlight w:val="none"/>
                    </w:rPr>
                  </w:pPr>
                  <w:r>
                    <w:rPr>
                      <w:szCs w:val="21"/>
                      <w:highlight w:val="none"/>
                    </w:rPr>
                    <w:t>产噪设备</w:t>
                  </w:r>
                </w:p>
              </w:tc>
              <w:tc>
                <w:tcPr>
                  <w:tcW w:w="4402" w:type="dxa"/>
                  <w:tcBorders>
                    <w:tl2br w:val="nil"/>
                    <w:tr2bl w:val="nil"/>
                  </w:tcBorders>
                  <w:vAlign w:val="center"/>
                </w:tcPr>
                <w:p w14:paraId="3E751B0E">
                  <w:pPr>
                    <w:jc w:val="left"/>
                    <w:rPr>
                      <w:szCs w:val="21"/>
                      <w:highlight w:val="none"/>
                    </w:rPr>
                  </w:pPr>
                  <w:r>
                    <w:rPr>
                      <w:szCs w:val="21"/>
                      <w:highlight w:val="none"/>
                    </w:rPr>
                    <w:t>选用低噪声设备，</w:t>
                  </w:r>
                  <w:r>
                    <w:rPr>
                      <w:rFonts w:hint="eastAsia"/>
                      <w:szCs w:val="21"/>
                      <w:highlight w:val="none"/>
                    </w:rPr>
                    <w:t>基础减震、</w:t>
                  </w:r>
                  <w:r>
                    <w:rPr>
                      <w:szCs w:val="21"/>
                      <w:highlight w:val="none"/>
                    </w:rPr>
                    <w:t>厂房隔声</w:t>
                  </w:r>
                  <w:r>
                    <w:rPr>
                      <w:rFonts w:hint="eastAsia"/>
                      <w:szCs w:val="21"/>
                      <w:highlight w:val="none"/>
                    </w:rPr>
                    <w:t>。</w:t>
                  </w:r>
                </w:p>
              </w:tc>
              <w:tc>
                <w:tcPr>
                  <w:tcW w:w="1152" w:type="dxa"/>
                  <w:tcBorders>
                    <w:tl2br w:val="nil"/>
                    <w:tr2bl w:val="nil"/>
                  </w:tcBorders>
                  <w:vAlign w:val="center"/>
                </w:tcPr>
                <w:p w14:paraId="2D9BAEAB">
                  <w:pPr>
                    <w:jc w:val="center"/>
                    <w:rPr>
                      <w:rFonts w:hint="default" w:eastAsia="宋体"/>
                      <w:szCs w:val="21"/>
                      <w:highlight w:val="none"/>
                      <w:lang w:val="en-US" w:eastAsia="zh-CN"/>
                    </w:rPr>
                  </w:pPr>
                  <w:r>
                    <w:rPr>
                      <w:rFonts w:hint="eastAsia"/>
                      <w:szCs w:val="21"/>
                      <w:highlight w:val="none"/>
                      <w:lang w:val="en-US" w:eastAsia="zh-CN"/>
                    </w:rPr>
                    <w:t>10</w:t>
                  </w:r>
                </w:p>
              </w:tc>
            </w:tr>
            <w:tr w14:paraId="46655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6" w:hRule="atLeast"/>
                <w:jc w:val="center"/>
              </w:trPr>
              <w:tc>
                <w:tcPr>
                  <w:tcW w:w="733" w:type="dxa"/>
                  <w:tcBorders>
                    <w:tl2br w:val="nil"/>
                    <w:tr2bl w:val="nil"/>
                  </w:tcBorders>
                  <w:vAlign w:val="center"/>
                </w:tcPr>
                <w:p w14:paraId="3F6E7B0E">
                  <w:pPr>
                    <w:jc w:val="center"/>
                    <w:rPr>
                      <w:szCs w:val="21"/>
                      <w:highlight w:val="none"/>
                    </w:rPr>
                  </w:pPr>
                  <w:r>
                    <w:rPr>
                      <w:szCs w:val="21"/>
                      <w:highlight w:val="none"/>
                    </w:rPr>
                    <w:t>防渗</w:t>
                  </w:r>
                </w:p>
              </w:tc>
              <w:tc>
                <w:tcPr>
                  <w:tcW w:w="6113" w:type="dxa"/>
                  <w:gridSpan w:val="2"/>
                  <w:tcBorders>
                    <w:tl2br w:val="nil"/>
                    <w:tr2bl w:val="nil"/>
                  </w:tcBorders>
                  <w:vAlign w:val="center"/>
                </w:tcPr>
                <w:p w14:paraId="2E0569DB">
                  <w:pPr>
                    <w:jc w:val="left"/>
                    <w:rPr>
                      <w:rFonts w:hint="eastAsia"/>
                      <w:highlight w:val="none"/>
                    </w:rPr>
                  </w:pPr>
                  <w:r>
                    <w:rPr>
                      <w:rFonts w:hint="eastAsia"/>
                      <w:highlight w:val="none"/>
                    </w:rPr>
                    <w:t>化粪池底部采用一般防渗</w:t>
                  </w:r>
                  <w:r>
                    <w:rPr>
                      <w:rFonts w:hint="eastAsia"/>
                      <w:highlight w:val="none"/>
                      <w:lang w:eastAsia="zh-CN"/>
                    </w:rPr>
                    <w:t>，</w:t>
                  </w:r>
                  <w:r>
                    <w:rPr>
                      <w:rFonts w:hint="eastAsia"/>
                      <w:highlight w:val="none"/>
                    </w:rPr>
                    <w:t>防渗层至少1m厚黏土层+10cm水泥防渗层，最终效果满足K≤1.0×10-7cm/s；</w:t>
                  </w:r>
                </w:p>
                <w:p w14:paraId="0C73A91F">
                  <w:pPr>
                    <w:jc w:val="left"/>
                    <w:rPr>
                      <w:spacing w:val="-8"/>
                      <w:szCs w:val="21"/>
                      <w:highlight w:val="none"/>
                    </w:rPr>
                  </w:pPr>
                  <w:r>
                    <w:rPr>
                      <w:rFonts w:hint="eastAsia"/>
                      <w:highlight w:val="none"/>
                    </w:rPr>
                    <w:t>厂区内道路及其他区域地面硬化采用普通水泥硬化处理。</w:t>
                  </w:r>
                </w:p>
              </w:tc>
              <w:tc>
                <w:tcPr>
                  <w:tcW w:w="1152" w:type="dxa"/>
                  <w:tcBorders>
                    <w:tl2br w:val="nil"/>
                    <w:tr2bl w:val="nil"/>
                  </w:tcBorders>
                  <w:vAlign w:val="center"/>
                </w:tcPr>
                <w:p w14:paraId="4C2BC65B">
                  <w:pPr>
                    <w:jc w:val="center"/>
                    <w:rPr>
                      <w:rFonts w:hint="default" w:eastAsia="宋体"/>
                      <w:szCs w:val="21"/>
                      <w:highlight w:val="none"/>
                      <w:lang w:val="en-US" w:eastAsia="zh-CN"/>
                    </w:rPr>
                  </w:pPr>
                  <w:r>
                    <w:rPr>
                      <w:rFonts w:hint="eastAsia"/>
                      <w:szCs w:val="21"/>
                      <w:highlight w:val="none"/>
                      <w:lang w:val="en-US" w:eastAsia="zh-CN"/>
                    </w:rPr>
                    <w:t>50</w:t>
                  </w:r>
                </w:p>
              </w:tc>
            </w:tr>
            <w:tr w14:paraId="7DBE0C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5" w:hRule="atLeast"/>
                <w:jc w:val="center"/>
              </w:trPr>
              <w:tc>
                <w:tcPr>
                  <w:tcW w:w="6846" w:type="dxa"/>
                  <w:gridSpan w:val="3"/>
                  <w:tcBorders>
                    <w:tl2br w:val="nil"/>
                    <w:tr2bl w:val="nil"/>
                  </w:tcBorders>
                  <w:vAlign w:val="center"/>
                </w:tcPr>
                <w:p w14:paraId="749EBF10">
                  <w:pPr>
                    <w:jc w:val="center"/>
                    <w:rPr>
                      <w:szCs w:val="21"/>
                      <w:highlight w:val="none"/>
                    </w:rPr>
                  </w:pPr>
                  <w:r>
                    <w:rPr>
                      <w:szCs w:val="21"/>
                      <w:highlight w:val="none"/>
                    </w:rPr>
                    <w:t>合计</w:t>
                  </w:r>
                </w:p>
              </w:tc>
              <w:tc>
                <w:tcPr>
                  <w:tcW w:w="1152" w:type="dxa"/>
                  <w:tcBorders>
                    <w:tl2br w:val="nil"/>
                    <w:tr2bl w:val="nil"/>
                  </w:tcBorders>
                  <w:vAlign w:val="center"/>
                </w:tcPr>
                <w:p w14:paraId="0914CB0B">
                  <w:pPr>
                    <w:jc w:val="center"/>
                    <w:rPr>
                      <w:rFonts w:hint="default" w:eastAsia="宋体"/>
                      <w:szCs w:val="21"/>
                      <w:highlight w:val="none"/>
                      <w:lang w:val="en-US" w:eastAsia="zh-CN"/>
                    </w:rPr>
                  </w:pPr>
                  <w:r>
                    <w:rPr>
                      <w:rFonts w:hint="eastAsia"/>
                      <w:szCs w:val="21"/>
                      <w:highlight w:val="none"/>
                      <w:lang w:val="en-US" w:eastAsia="zh-CN"/>
                    </w:rPr>
                    <w:t>407</w:t>
                  </w:r>
                </w:p>
              </w:tc>
            </w:tr>
            <w:tr w14:paraId="23421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6846" w:type="dxa"/>
                  <w:gridSpan w:val="3"/>
                  <w:tcBorders>
                    <w:tl2br w:val="nil"/>
                    <w:tr2bl w:val="nil"/>
                  </w:tcBorders>
                  <w:vAlign w:val="center"/>
                </w:tcPr>
                <w:p w14:paraId="7EFD3FCD">
                  <w:pPr>
                    <w:jc w:val="center"/>
                    <w:rPr>
                      <w:szCs w:val="21"/>
                      <w:highlight w:val="none"/>
                    </w:rPr>
                  </w:pPr>
                  <w:r>
                    <w:rPr>
                      <w:szCs w:val="21"/>
                      <w:highlight w:val="none"/>
                    </w:rPr>
                    <w:t>环保投资占工程总投资</w:t>
                  </w:r>
                  <w:r>
                    <w:rPr>
                      <w:rFonts w:hint="eastAsia"/>
                      <w:szCs w:val="21"/>
                      <w:highlight w:val="none"/>
                      <w:lang w:eastAsia="zh-CN"/>
                    </w:rPr>
                    <w:t>的</w:t>
                  </w:r>
                  <w:r>
                    <w:rPr>
                      <w:szCs w:val="21"/>
                      <w:highlight w:val="none"/>
                    </w:rPr>
                    <w:t>比例</w:t>
                  </w:r>
                </w:p>
              </w:tc>
              <w:tc>
                <w:tcPr>
                  <w:tcW w:w="1152" w:type="dxa"/>
                  <w:tcBorders>
                    <w:tl2br w:val="nil"/>
                    <w:tr2bl w:val="nil"/>
                  </w:tcBorders>
                  <w:vAlign w:val="center"/>
                </w:tcPr>
                <w:p w14:paraId="54859215">
                  <w:pPr>
                    <w:jc w:val="center"/>
                    <w:rPr>
                      <w:szCs w:val="21"/>
                      <w:highlight w:val="none"/>
                    </w:rPr>
                  </w:pPr>
                  <w:r>
                    <w:rPr>
                      <w:rFonts w:hint="eastAsia"/>
                      <w:szCs w:val="21"/>
                      <w:highlight w:val="none"/>
                      <w:lang w:val="en-US" w:eastAsia="zh-CN"/>
                    </w:rPr>
                    <w:t>8.14</w:t>
                  </w:r>
                  <w:r>
                    <w:rPr>
                      <w:szCs w:val="21"/>
                      <w:highlight w:val="none"/>
                    </w:rPr>
                    <w:t>%</w:t>
                  </w:r>
                </w:p>
              </w:tc>
            </w:tr>
          </w:tbl>
          <w:p w14:paraId="17C28571">
            <w:pPr>
              <w:adjustRightInd w:val="0"/>
              <w:snapToGrid w:val="0"/>
              <w:spacing w:line="360" w:lineRule="auto"/>
              <w:rPr>
                <w:bCs/>
                <w:spacing w:val="-10"/>
                <w:sz w:val="24"/>
                <w:highlight w:val="none"/>
              </w:rPr>
            </w:pPr>
          </w:p>
        </w:tc>
      </w:tr>
    </w:tbl>
    <w:p w14:paraId="4B758382">
      <w:pPr>
        <w:pStyle w:val="26"/>
        <w:numPr>
          <w:ilvl w:val="0"/>
          <w:numId w:val="5"/>
        </w:numPr>
        <w:jc w:val="center"/>
        <w:outlineLvl w:val="0"/>
        <w:rPr>
          <w:rFonts w:hint="eastAsia"/>
          <w:color w:val="000000" w:themeColor="text1"/>
          <w:highlight w:val="none"/>
          <w14:textFill>
            <w14:solidFill>
              <w14:schemeClr w14:val="tx1"/>
            </w14:solidFill>
          </w14:textFill>
        </w:rPr>
      </w:pPr>
      <w:bookmarkStart w:id="6" w:name="_Hlk54167917"/>
      <w:r>
        <w:rPr>
          <w:rFonts w:hint="eastAsia" w:ascii="黑体" w:hAnsi="黑体" w:eastAsia="黑体"/>
          <w:snapToGrid w:val="0"/>
          <w:color w:val="000000" w:themeColor="text1"/>
          <w:sz w:val="30"/>
          <w:szCs w:val="30"/>
          <w:highlight w:val="none"/>
          <w:lang w:eastAsia="zh-CN"/>
          <w14:textFill>
            <w14:solidFill>
              <w14:schemeClr w14:val="tx1"/>
            </w14:solidFill>
          </w14:textFill>
        </w:rPr>
        <w:t>环</w:t>
      </w:r>
      <w:r>
        <w:rPr>
          <w:rFonts w:hint="eastAsia" w:ascii="黑体" w:hAnsi="黑体" w:eastAsia="黑体"/>
          <w:snapToGrid w:val="0"/>
          <w:color w:val="000000" w:themeColor="text1"/>
          <w:sz w:val="30"/>
          <w:szCs w:val="30"/>
          <w:highlight w:val="none"/>
          <w14:textFill>
            <w14:solidFill>
              <w14:schemeClr w14:val="tx1"/>
            </w14:solidFill>
          </w14:textFill>
        </w:rPr>
        <w:t>境保护措施监督检查清单</w:t>
      </w:r>
      <w:bookmarkEnd w:id="6"/>
    </w:p>
    <w:tbl>
      <w:tblPr>
        <w:tblStyle w:val="30"/>
        <w:tblW w:w="522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63"/>
        <w:gridCol w:w="1765"/>
        <w:gridCol w:w="957"/>
        <w:gridCol w:w="2803"/>
        <w:gridCol w:w="2461"/>
      </w:tblGrid>
      <w:tr w14:paraId="1F559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3" w:type="pct"/>
            <w:vAlign w:val="center"/>
          </w:tcPr>
          <w:p w14:paraId="7642FB46">
            <w:pPr>
              <w:pStyle w:val="67"/>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内容要素</w:t>
            </w:r>
          </w:p>
        </w:tc>
        <w:tc>
          <w:tcPr>
            <w:tcW w:w="954" w:type="pct"/>
            <w:vAlign w:val="center"/>
          </w:tcPr>
          <w:p w14:paraId="02AE9F99">
            <w:pPr>
              <w:pStyle w:val="67"/>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排放口</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ascii="Times New Roman" w:hAnsi="Times New Roman" w:cs="Times New Roman"/>
                <w:color w:val="000000" w:themeColor="text1"/>
                <w:sz w:val="21"/>
                <w:szCs w:val="21"/>
                <w:highlight w:val="none"/>
                <w14:textFill>
                  <w14:solidFill>
                    <w14:schemeClr w14:val="tx1"/>
                  </w14:solidFill>
                </w14:textFill>
              </w:rPr>
              <w:t>编号、名称</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ascii="Times New Roman" w:hAnsi="Times New Roman" w:cs="Times New Roman"/>
                <w:color w:val="000000" w:themeColor="text1"/>
                <w:sz w:val="21"/>
                <w:szCs w:val="21"/>
                <w:highlight w:val="none"/>
                <w14:textFill>
                  <w14:solidFill>
                    <w14:schemeClr w14:val="tx1"/>
                  </w14:solidFill>
                </w14:textFill>
              </w:rPr>
              <w:t>/污染源</w:t>
            </w:r>
          </w:p>
        </w:tc>
        <w:tc>
          <w:tcPr>
            <w:tcW w:w="517" w:type="pct"/>
            <w:vAlign w:val="center"/>
          </w:tcPr>
          <w:p w14:paraId="002D6B1B">
            <w:pPr>
              <w:pStyle w:val="67"/>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污染物</w:t>
            </w:r>
          </w:p>
          <w:p w14:paraId="697298F7">
            <w:pPr>
              <w:pStyle w:val="67"/>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项目</w:t>
            </w:r>
          </w:p>
        </w:tc>
        <w:tc>
          <w:tcPr>
            <w:tcW w:w="1515" w:type="pct"/>
            <w:vAlign w:val="center"/>
          </w:tcPr>
          <w:p w14:paraId="6C63285E">
            <w:pPr>
              <w:pStyle w:val="67"/>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环境保护措施</w:t>
            </w:r>
          </w:p>
        </w:tc>
        <w:tc>
          <w:tcPr>
            <w:tcW w:w="1329" w:type="pct"/>
            <w:vAlign w:val="center"/>
          </w:tcPr>
          <w:p w14:paraId="33109CA1">
            <w:pPr>
              <w:pStyle w:val="67"/>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执行标准</w:t>
            </w:r>
          </w:p>
        </w:tc>
      </w:tr>
      <w:tr w14:paraId="03C26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83" w:type="pct"/>
            <w:vMerge w:val="restart"/>
            <w:vAlign w:val="center"/>
          </w:tcPr>
          <w:p w14:paraId="319BD00E">
            <w:pPr>
              <w:pStyle w:val="67"/>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大气环境</w:t>
            </w:r>
          </w:p>
        </w:tc>
        <w:tc>
          <w:tcPr>
            <w:tcW w:w="954" w:type="pct"/>
            <w:vAlign w:val="center"/>
          </w:tcPr>
          <w:p w14:paraId="41896EB2">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石子和砂子的卸料储存扬尘</w:t>
            </w:r>
          </w:p>
        </w:tc>
        <w:tc>
          <w:tcPr>
            <w:tcW w:w="517" w:type="pct"/>
            <w:vAlign w:val="center"/>
          </w:tcPr>
          <w:p w14:paraId="506872B0">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1515" w:type="pct"/>
            <w:vAlign w:val="center"/>
          </w:tcPr>
          <w:p w14:paraId="5204A37A">
            <w:pPr>
              <w:jc w:val="center"/>
              <w:rPr>
                <w:rFonts w:hint="default" w:eastAsia="宋体"/>
                <w:color w:val="000000" w:themeColor="text1"/>
                <w:szCs w:val="21"/>
                <w:highlight w:val="none"/>
                <w:lang w:val="en-US" w:eastAsia="zh-CN"/>
                <w14:textFill>
                  <w14:solidFill>
                    <w14:schemeClr w14:val="tx1"/>
                  </w14:solidFill>
                </w14:textFill>
              </w:rPr>
            </w:pPr>
            <w:r>
              <w:rPr>
                <w:color w:val="000000" w:themeColor="text1"/>
                <w:szCs w:val="21"/>
                <w:highlight w:val="none"/>
                <w14:textFill>
                  <w14:solidFill>
                    <w14:schemeClr w14:val="tx1"/>
                  </w14:solidFill>
                </w14:textFill>
              </w:rPr>
              <w:t>全封闭</w:t>
            </w:r>
            <w:r>
              <w:rPr>
                <w:rFonts w:hint="eastAsia"/>
                <w:color w:val="000000" w:themeColor="text1"/>
                <w:szCs w:val="21"/>
                <w:highlight w:val="none"/>
                <w14:textFill>
                  <w14:solidFill>
                    <w14:schemeClr w14:val="tx1"/>
                  </w14:solidFill>
                </w14:textFill>
              </w:rPr>
              <w:t>棚</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雾炮抑尘</w:t>
            </w:r>
          </w:p>
        </w:tc>
        <w:tc>
          <w:tcPr>
            <w:tcW w:w="1329" w:type="pct"/>
            <w:vAlign w:val="center"/>
          </w:tcPr>
          <w:p w14:paraId="17005B7C">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《水泥工业污染物排放标准》（GB4915-2013）无组织排放浓度限值</w:t>
            </w:r>
            <w:r>
              <w:rPr>
                <w:rFonts w:hint="eastAsia"/>
                <w:color w:val="000000" w:themeColor="text1"/>
                <w:szCs w:val="21"/>
                <w:highlight w:val="none"/>
                <w:lang w:eastAsia="zh-CN"/>
                <w14:textFill>
                  <w14:solidFill>
                    <w14:schemeClr w14:val="tx1"/>
                  </w14:solidFill>
                </w14:textFill>
              </w:rPr>
              <w:t>。</w:t>
            </w:r>
          </w:p>
        </w:tc>
      </w:tr>
      <w:tr w14:paraId="1941B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83" w:type="pct"/>
            <w:vMerge w:val="continue"/>
            <w:vAlign w:val="center"/>
          </w:tcPr>
          <w:p w14:paraId="19FE42F2">
            <w:pPr>
              <w:pStyle w:val="67"/>
              <w:rPr>
                <w:rFonts w:ascii="Times New Roman" w:hAnsi="Times New Roman" w:cs="Times New Roman"/>
                <w:color w:val="000000" w:themeColor="text1"/>
                <w:sz w:val="21"/>
                <w:szCs w:val="21"/>
                <w:highlight w:val="none"/>
                <w14:textFill>
                  <w14:solidFill>
                    <w14:schemeClr w14:val="tx1"/>
                  </w14:solidFill>
                </w14:textFill>
              </w:rPr>
            </w:pPr>
          </w:p>
        </w:tc>
        <w:tc>
          <w:tcPr>
            <w:tcW w:w="954" w:type="pct"/>
            <w:vAlign w:val="center"/>
          </w:tcPr>
          <w:p w14:paraId="4A5AF86F">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搅拌机粉尘</w:t>
            </w:r>
          </w:p>
        </w:tc>
        <w:tc>
          <w:tcPr>
            <w:tcW w:w="517" w:type="pct"/>
            <w:vAlign w:val="center"/>
          </w:tcPr>
          <w:p w14:paraId="1EF98ED8">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1515" w:type="pct"/>
            <w:vAlign w:val="center"/>
          </w:tcPr>
          <w:p w14:paraId="66E9CA1C">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全封闭棚+布袋除尘器+</w:t>
            </w:r>
            <w:r>
              <w:rPr>
                <w:rFonts w:hint="eastAsia"/>
                <w:color w:val="000000" w:themeColor="text1"/>
                <w:szCs w:val="21"/>
                <w:highlight w:val="none"/>
                <w14:textFill>
                  <w14:solidFill>
                    <w14:schemeClr w14:val="tx1"/>
                  </w14:solidFill>
                </w14:textFill>
              </w:rPr>
              <w:t>15</w:t>
            </w:r>
            <w:r>
              <w:rPr>
                <w:color w:val="000000" w:themeColor="text1"/>
                <w:szCs w:val="21"/>
                <w:highlight w:val="none"/>
                <w14:textFill>
                  <w14:solidFill>
                    <w14:schemeClr w14:val="tx1"/>
                  </w14:solidFill>
                </w14:textFill>
              </w:rPr>
              <w:t>m高排气筒</w:t>
            </w:r>
          </w:p>
        </w:tc>
        <w:tc>
          <w:tcPr>
            <w:tcW w:w="1329" w:type="pct"/>
            <w:vMerge w:val="restart"/>
            <w:vAlign w:val="center"/>
          </w:tcPr>
          <w:p w14:paraId="31FB859D">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《水泥工业污染物排放标准》（GB4915-2013）排放限值</w:t>
            </w:r>
            <w:r>
              <w:rPr>
                <w:rFonts w:hint="eastAsia"/>
                <w:color w:val="000000" w:themeColor="text1"/>
                <w:szCs w:val="21"/>
                <w:highlight w:val="none"/>
                <w:lang w:eastAsia="zh-CN"/>
                <w14:textFill>
                  <w14:solidFill>
                    <w14:schemeClr w14:val="tx1"/>
                  </w14:solidFill>
                </w14:textFill>
              </w:rPr>
              <w:t>。</w:t>
            </w:r>
          </w:p>
        </w:tc>
      </w:tr>
      <w:tr w14:paraId="634CE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683" w:type="pct"/>
            <w:vMerge w:val="continue"/>
            <w:vAlign w:val="center"/>
          </w:tcPr>
          <w:p w14:paraId="08576FCB">
            <w:pPr>
              <w:pStyle w:val="67"/>
              <w:rPr>
                <w:rFonts w:ascii="Times New Roman" w:hAnsi="Times New Roman" w:cs="Times New Roman"/>
                <w:color w:val="000000" w:themeColor="text1"/>
                <w:sz w:val="21"/>
                <w:szCs w:val="21"/>
                <w:highlight w:val="none"/>
                <w14:textFill>
                  <w14:solidFill>
                    <w14:schemeClr w14:val="tx1"/>
                  </w14:solidFill>
                </w14:textFill>
              </w:rPr>
            </w:pPr>
          </w:p>
        </w:tc>
        <w:tc>
          <w:tcPr>
            <w:tcW w:w="954" w:type="pct"/>
            <w:vAlign w:val="center"/>
          </w:tcPr>
          <w:p w14:paraId="1D686988">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筒仓呼吸粉尘</w:t>
            </w:r>
          </w:p>
        </w:tc>
        <w:tc>
          <w:tcPr>
            <w:tcW w:w="517" w:type="pct"/>
            <w:vAlign w:val="center"/>
          </w:tcPr>
          <w:p w14:paraId="49A55561">
            <w:pPr>
              <w:jc w:val="center"/>
              <w:rPr>
                <w:color w:val="000000" w:themeColor="text1"/>
                <w:kern w:val="0"/>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1515" w:type="pct"/>
            <w:vAlign w:val="center"/>
          </w:tcPr>
          <w:p w14:paraId="66C9554F">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筒仓顶部滤芯除尘器</w:t>
            </w:r>
          </w:p>
        </w:tc>
        <w:tc>
          <w:tcPr>
            <w:tcW w:w="1329" w:type="pct"/>
            <w:vMerge w:val="continue"/>
            <w:vAlign w:val="center"/>
          </w:tcPr>
          <w:p w14:paraId="54DAA731">
            <w:pPr>
              <w:pStyle w:val="67"/>
              <w:rPr>
                <w:rFonts w:ascii="Times New Roman" w:hAnsi="Times New Roman" w:cs="Times New Roman"/>
                <w:color w:val="000000" w:themeColor="text1"/>
                <w:sz w:val="21"/>
                <w:szCs w:val="21"/>
                <w:highlight w:val="none"/>
                <w:lang w:val="en-US"/>
                <w14:textFill>
                  <w14:solidFill>
                    <w14:schemeClr w14:val="tx1"/>
                  </w14:solidFill>
                </w14:textFill>
              </w:rPr>
            </w:pPr>
          </w:p>
        </w:tc>
      </w:tr>
      <w:tr w14:paraId="5E79E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3" w:type="pct"/>
            <w:vMerge w:val="restart"/>
            <w:vAlign w:val="center"/>
          </w:tcPr>
          <w:p w14:paraId="18573EA1">
            <w:pPr>
              <w:pStyle w:val="67"/>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地表水环境</w:t>
            </w:r>
          </w:p>
        </w:tc>
        <w:tc>
          <w:tcPr>
            <w:tcW w:w="954" w:type="pct"/>
            <w:vMerge w:val="restart"/>
            <w:vAlign w:val="center"/>
          </w:tcPr>
          <w:p w14:paraId="660A6DE5">
            <w:pPr>
              <w:pStyle w:val="67"/>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生活污水</w:t>
            </w:r>
          </w:p>
        </w:tc>
        <w:tc>
          <w:tcPr>
            <w:tcW w:w="517" w:type="pct"/>
            <w:vAlign w:val="center"/>
          </w:tcPr>
          <w:p w14:paraId="3926C801">
            <w:pPr>
              <w:pStyle w:val="67"/>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COD</w:t>
            </w:r>
          </w:p>
        </w:tc>
        <w:tc>
          <w:tcPr>
            <w:tcW w:w="1515" w:type="pct"/>
            <w:vMerge w:val="restart"/>
            <w:vAlign w:val="center"/>
          </w:tcPr>
          <w:p w14:paraId="1FD391BA">
            <w:pPr>
              <w:widowControl/>
              <w:jc w:val="center"/>
              <w:rPr>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生活污水经化粪池</w:t>
            </w:r>
            <w:r>
              <w:rPr>
                <w:rFonts w:hint="eastAsia"/>
                <w:bCs/>
                <w:color w:val="000000" w:themeColor="text1"/>
                <w:szCs w:val="21"/>
                <w:highlight w:val="none"/>
                <w14:textFill>
                  <w14:solidFill>
                    <w14:schemeClr w14:val="tx1"/>
                  </w14:solidFill>
                </w14:textFill>
              </w:rPr>
              <w:t>处理后排放至园区</w:t>
            </w:r>
            <w:r>
              <w:rPr>
                <w:bCs/>
                <w:color w:val="000000" w:themeColor="text1"/>
                <w:szCs w:val="21"/>
                <w:highlight w:val="none"/>
                <w14:textFill>
                  <w14:solidFill>
                    <w14:schemeClr w14:val="tx1"/>
                  </w14:solidFill>
                </w14:textFill>
              </w:rPr>
              <w:t xml:space="preserve">污水处理站，不外排。 </w:t>
            </w:r>
          </w:p>
        </w:tc>
        <w:tc>
          <w:tcPr>
            <w:tcW w:w="1329" w:type="pct"/>
            <w:vMerge w:val="restart"/>
            <w:vAlign w:val="center"/>
          </w:tcPr>
          <w:p w14:paraId="128A4B5D">
            <w:pPr>
              <w:jc w:val="center"/>
              <w:rPr>
                <w:color w:val="000000" w:themeColor="text1"/>
                <w:szCs w:val="21"/>
                <w:highlight w:val="none"/>
                <w:lang w:bidi="zh-CN"/>
                <w14:textFill>
                  <w14:solidFill>
                    <w14:schemeClr w14:val="tx1"/>
                  </w14:solidFill>
                </w14:textFill>
              </w:rPr>
            </w:pPr>
            <w:r>
              <w:rPr>
                <w:color w:val="000000" w:themeColor="text1"/>
                <w:szCs w:val="21"/>
                <w:highlight w:val="none"/>
                <w:lang w:bidi="zh-CN"/>
                <w14:textFill>
                  <w14:solidFill>
                    <w14:schemeClr w14:val="tx1"/>
                  </w14:solidFill>
                </w14:textFill>
              </w:rPr>
              <w:t>/</w:t>
            </w:r>
          </w:p>
        </w:tc>
      </w:tr>
      <w:tr w14:paraId="4307A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 w:hRule="atLeast"/>
          <w:jc w:val="center"/>
        </w:trPr>
        <w:tc>
          <w:tcPr>
            <w:tcW w:w="683" w:type="pct"/>
            <w:vMerge w:val="continue"/>
            <w:vAlign w:val="center"/>
          </w:tcPr>
          <w:p w14:paraId="062627CA">
            <w:pPr>
              <w:jc w:val="center"/>
              <w:rPr>
                <w:color w:val="000000" w:themeColor="text1"/>
                <w:szCs w:val="21"/>
                <w:highlight w:val="none"/>
                <w14:textFill>
                  <w14:solidFill>
                    <w14:schemeClr w14:val="tx1"/>
                  </w14:solidFill>
                </w14:textFill>
              </w:rPr>
            </w:pPr>
          </w:p>
        </w:tc>
        <w:tc>
          <w:tcPr>
            <w:tcW w:w="954" w:type="pct"/>
            <w:vMerge w:val="continue"/>
            <w:vAlign w:val="center"/>
          </w:tcPr>
          <w:p w14:paraId="00D12A75">
            <w:pPr>
              <w:jc w:val="center"/>
              <w:rPr>
                <w:color w:val="000000" w:themeColor="text1"/>
                <w:szCs w:val="21"/>
                <w:highlight w:val="none"/>
                <w14:textFill>
                  <w14:solidFill>
                    <w14:schemeClr w14:val="tx1"/>
                  </w14:solidFill>
                </w14:textFill>
              </w:rPr>
            </w:pPr>
          </w:p>
        </w:tc>
        <w:tc>
          <w:tcPr>
            <w:tcW w:w="517" w:type="pct"/>
            <w:vAlign w:val="center"/>
          </w:tcPr>
          <w:p w14:paraId="73567536">
            <w:pPr>
              <w:pStyle w:val="67"/>
              <w:rPr>
                <w:rFonts w:ascii="Times New Roman" w:hAnsi="Times New Roman" w:cs="Times New Roman"/>
                <w:color w:val="000000" w:themeColor="text1"/>
                <w:sz w:val="21"/>
                <w:szCs w:val="21"/>
                <w:highlight w:val="none"/>
                <w:lang w:val="en-US"/>
                <w14:textFill>
                  <w14:solidFill>
                    <w14:schemeClr w14:val="tx1"/>
                  </w14:solidFill>
                </w14:textFill>
              </w:rPr>
            </w:pPr>
            <w:r>
              <w:rPr>
                <w:rFonts w:ascii="Times New Roman" w:hAnsi="Times New Roman" w:cs="Times New Roman"/>
                <w:color w:val="000000" w:themeColor="text1"/>
                <w:sz w:val="21"/>
                <w:szCs w:val="21"/>
                <w:highlight w:val="none"/>
                <w:lang w:val="en-US"/>
                <w14:textFill>
                  <w14:solidFill>
                    <w14:schemeClr w14:val="tx1"/>
                  </w14:solidFill>
                </w14:textFill>
              </w:rPr>
              <w:t>BOD</w:t>
            </w:r>
          </w:p>
        </w:tc>
        <w:tc>
          <w:tcPr>
            <w:tcW w:w="1515" w:type="pct"/>
            <w:vMerge w:val="continue"/>
            <w:vAlign w:val="center"/>
          </w:tcPr>
          <w:p w14:paraId="56DB86FD">
            <w:pPr>
              <w:jc w:val="center"/>
              <w:rPr>
                <w:color w:val="000000" w:themeColor="text1"/>
                <w:szCs w:val="21"/>
                <w:highlight w:val="none"/>
                <w14:textFill>
                  <w14:solidFill>
                    <w14:schemeClr w14:val="tx1"/>
                  </w14:solidFill>
                </w14:textFill>
              </w:rPr>
            </w:pPr>
          </w:p>
        </w:tc>
        <w:tc>
          <w:tcPr>
            <w:tcW w:w="1329" w:type="pct"/>
            <w:vMerge w:val="continue"/>
            <w:vAlign w:val="center"/>
          </w:tcPr>
          <w:p w14:paraId="3ED66C5B">
            <w:pPr>
              <w:jc w:val="center"/>
              <w:rPr>
                <w:color w:val="000000" w:themeColor="text1"/>
                <w:szCs w:val="21"/>
                <w:highlight w:val="none"/>
                <w14:textFill>
                  <w14:solidFill>
                    <w14:schemeClr w14:val="tx1"/>
                  </w14:solidFill>
                </w14:textFill>
              </w:rPr>
            </w:pPr>
          </w:p>
        </w:tc>
      </w:tr>
      <w:tr w14:paraId="20826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83" w:type="pct"/>
            <w:vMerge w:val="continue"/>
            <w:vAlign w:val="center"/>
          </w:tcPr>
          <w:p w14:paraId="18A0D480">
            <w:pPr>
              <w:pStyle w:val="67"/>
              <w:rPr>
                <w:rFonts w:ascii="Times New Roman" w:hAnsi="Times New Roman" w:cs="Times New Roman"/>
                <w:color w:val="000000" w:themeColor="text1"/>
                <w:sz w:val="21"/>
                <w:szCs w:val="21"/>
                <w:highlight w:val="none"/>
                <w14:textFill>
                  <w14:solidFill>
                    <w14:schemeClr w14:val="tx1"/>
                  </w14:solidFill>
                </w14:textFill>
              </w:rPr>
            </w:pPr>
          </w:p>
        </w:tc>
        <w:tc>
          <w:tcPr>
            <w:tcW w:w="954" w:type="pct"/>
            <w:vMerge w:val="continue"/>
            <w:vAlign w:val="center"/>
          </w:tcPr>
          <w:p w14:paraId="6D04E5C0">
            <w:pPr>
              <w:pStyle w:val="67"/>
              <w:rPr>
                <w:rFonts w:ascii="Times New Roman" w:hAnsi="Times New Roman" w:cs="Times New Roman"/>
                <w:color w:val="000000" w:themeColor="text1"/>
                <w:sz w:val="21"/>
                <w:szCs w:val="21"/>
                <w:highlight w:val="none"/>
                <w14:textFill>
                  <w14:solidFill>
                    <w14:schemeClr w14:val="tx1"/>
                  </w14:solidFill>
                </w14:textFill>
              </w:rPr>
            </w:pPr>
          </w:p>
        </w:tc>
        <w:tc>
          <w:tcPr>
            <w:tcW w:w="517" w:type="pct"/>
            <w:vAlign w:val="center"/>
          </w:tcPr>
          <w:p w14:paraId="6FEED9E1">
            <w:pPr>
              <w:pStyle w:val="67"/>
              <w:rPr>
                <w:rFonts w:ascii="Times New Roman" w:hAnsi="Times New Roman" w:cs="Times New Roman"/>
                <w:color w:val="000000" w:themeColor="text1"/>
                <w:sz w:val="21"/>
                <w:szCs w:val="21"/>
                <w:highlight w:val="none"/>
                <w:lang w:val="en-US"/>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SS</w:t>
            </w:r>
          </w:p>
        </w:tc>
        <w:tc>
          <w:tcPr>
            <w:tcW w:w="1515" w:type="pct"/>
            <w:vMerge w:val="continue"/>
            <w:vAlign w:val="center"/>
          </w:tcPr>
          <w:p w14:paraId="39297291">
            <w:pPr>
              <w:pStyle w:val="67"/>
              <w:rPr>
                <w:rFonts w:ascii="Times New Roman" w:hAnsi="Times New Roman" w:cs="Times New Roman"/>
                <w:color w:val="000000" w:themeColor="text1"/>
                <w:sz w:val="21"/>
                <w:szCs w:val="21"/>
                <w:highlight w:val="none"/>
                <w:lang w:val="en-US"/>
                <w14:textFill>
                  <w14:solidFill>
                    <w14:schemeClr w14:val="tx1"/>
                  </w14:solidFill>
                </w14:textFill>
              </w:rPr>
            </w:pPr>
          </w:p>
        </w:tc>
        <w:tc>
          <w:tcPr>
            <w:tcW w:w="1329" w:type="pct"/>
            <w:vMerge w:val="continue"/>
            <w:vAlign w:val="center"/>
          </w:tcPr>
          <w:p w14:paraId="061CF8D3">
            <w:pPr>
              <w:pStyle w:val="67"/>
              <w:rPr>
                <w:rFonts w:ascii="Times New Roman" w:hAnsi="Times New Roman" w:cs="Times New Roman"/>
                <w:color w:val="000000" w:themeColor="text1"/>
                <w:sz w:val="21"/>
                <w:szCs w:val="21"/>
                <w:highlight w:val="none"/>
                <w:lang w:val="en-US"/>
                <w14:textFill>
                  <w14:solidFill>
                    <w14:schemeClr w14:val="tx1"/>
                  </w14:solidFill>
                </w14:textFill>
              </w:rPr>
            </w:pPr>
          </w:p>
        </w:tc>
      </w:tr>
      <w:tr w14:paraId="6A347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83" w:type="pct"/>
            <w:vMerge w:val="continue"/>
            <w:vAlign w:val="center"/>
          </w:tcPr>
          <w:p w14:paraId="461466D3">
            <w:pPr>
              <w:pStyle w:val="67"/>
              <w:rPr>
                <w:rFonts w:ascii="Times New Roman" w:hAnsi="Times New Roman" w:cs="Times New Roman"/>
                <w:color w:val="000000" w:themeColor="text1"/>
                <w:sz w:val="21"/>
                <w:szCs w:val="21"/>
                <w:highlight w:val="none"/>
                <w:lang w:val="en-US"/>
                <w14:textFill>
                  <w14:solidFill>
                    <w14:schemeClr w14:val="tx1"/>
                  </w14:solidFill>
                </w14:textFill>
              </w:rPr>
            </w:pPr>
          </w:p>
        </w:tc>
        <w:tc>
          <w:tcPr>
            <w:tcW w:w="954" w:type="pct"/>
            <w:vMerge w:val="continue"/>
            <w:vAlign w:val="center"/>
          </w:tcPr>
          <w:p w14:paraId="17B984C5">
            <w:pPr>
              <w:pStyle w:val="67"/>
              <w:rPr>
                <w:rFonts w:ascii="Times New Roman" w:hAnsi="Times New Roman" w:cs="Times New Roman"/>
                <w:color w:val="000000" w:themeColor="text1"/>
                <w:sz w:val="21"/>
                <w:szCs w:val="21"/>
                <w:highlight w:val="none"/>
                <w:lang w:val="en-US"/>
                <w14:textFill>
                  <w14:solidFill>
                    <w14:schemeClr w14:val="tx1"/>
                  </w14:solidFill>
                </w14:textFill>
              </w:rPr>
            </w:pPr>
          </w:p>
        </w:tc>
        <w:tc>
          <w:tcPr>
            <w:tcW w:w="517" w:type="pct"/>
            <w:vAlign w:val="center"/>
          </w:tcPr>
          <w:p w14:paraId="4327446B">
            <w:pPr>
              <w:pStyle w:val="67"/>
              <w:rPr>
                <w:rFonts w:ascii="Times New Roman" w:hAnsi="Times New Roman" w:cs="Times New Roman"/>
                <w:color w:val="000000" w:themeColor="text1"/>
                <w:sz w:val="21"/>
                <w:szCs w:val="21"/>
                <w:highlight w:val="none"/>
                <w:lang w:val="en-US"/>
                <w14:textFill>
                  <w14:solidFill>
                    <w14:schemeClr w14:val="tx1"/>
                  </w14:solidFill>
                </w14:textFill>
              </w:rPr>
            </w:pPr>
            <w:r>
              <w:rPr>
                <w:rFonts w:ascii="Times New Roman" w:hAnsi="Times New Roman" w:cs="Times New Roman"/>
                <w:color w:val="000000" w:themeColor="text1"/>
                <w:position w:val="2"/>
                <w:sz w:val="21"/>
                <w:szCs w:val="21"/>
                <w:highlight w:val="none"/>
                <w14:textFill>
                  <w14:solidFill>
                    <w14:schemeClr w14:val="tx1"/>
                  </w14:solidFill>
                </w14:textFill>
              </w:rPr>
              <w:t>NH</w:t>
            </w:r>
            <w:r>
              <w:rPr>
                <w:rFonts w:ascii="Times New Roman" w:hAnsi="Times New Roman" w:cs="Times New Roman"/>
                <w:color w:val="000000" w:themeColor="text1"/>
                <w:position w:val="2"/>
                <w:sz w:val="21"/>
                <w:szCs w:val="21"/>
                <w:highlight w:val="none"/>
                <w:vertAlign w:val="subscript"/>
                <w14:textFill>
                  <w14:solidFill>
                    <w14:schemeClr w14:val="tx1"/>
                  </w14:solidFill>
                </w14:textFill>
              </w:rPr>
              <w:t>3-</w:t>
            </w:r>
            <w:r>
              <w:rPr>
                <w:rFonts w:ascii="Times New Roman" w:hAnsi="Times New Roman" w:cs="Times New Roman"/>
                <w:color w:val="000000" w:themeColor="text1"/>
                <w:position w:val="2"/>
                <w:sz w:val="21"/>
                <w:szCs w:val="21"/>
                <w:highlight w:val="none"/>
                <w14:textFill>
                  <w14:solidFill>
                    <w14:schemeClr w14:val="tx1"/>
                  </w14:solidFill>
                </w14:textFill>
              </w:rPr>
              <w:t>N</w:t>
            </w:r>
          </w:p>
        </w:tc>
        <w:tc>
          <w:tcPr>
            <w:tcW w:w="1515" w:type="pct"/>
            <w:vMerge w:val="continue"/>
            <w:vAlign w:val="center"/>
          </w:tcPr>
          <w:p w14:paraId="5478A851">
            <w:pPr>
              <w:pStyle w:val="67"/>
              <w:rPr>
                <w:rFonts w:ascii="Times New Roman" w:hAnsi="Times New Roman" w:cs="Times New Roman"/>
                <w:color w:val="000000" w:themeColor="text1"/>
                <w:sz w:val="21"/>
                <w:szCs w:val="21"/>
                <w:highlight w:val="none"/>
                <w:lang w:val="en-US"/>
                <w14:textFill>
                  <w14:solidFill>
                    <w14:schemeClr w14:val="tx1"/>
                  </w14:solidFill>
                </w14:textFill>
              </w:rPr>
            </w:pPr>
          </w:p>
        </w:tc>
        <w:tc>
          <w:tcPr>
            <w:tcW w:w="1329" w:type="pct"/>
            <w:vMerge w:val="continue"/>
            <w:vAlign w:val="center"/>
          </w:tcPr>
          <w:p w14:paraId="33DE1766">
            <w:pPr>
              <w:pStyle w:val="67"/>
              <w:rPr>
                <w:rFonts w:ascii="Times New Roman" w:hAnsi="Times New Roman" w:cs="Times New Roman"/>
                <w:color w:val="000000" w:themeColor="text1"/>
                <w:sz w:val="21"/>
                <w:szCs w:val="21"/>
                <w:highlight w:val="none"/>
                <w:lang w:val="en-US"/>
                <w14:textFill>
                  <w14:solidFill>
                    <w14:schemeClr w14:val="tx1"/>
                  </w14:solidFill>
                </w14:textFill>
              </w:rPr>
            </w:pPr>
          </w:p>
        </w:tc>
      </w:tr>
      <w:tr w14:paraId="3646D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83" w:type="pct"/>
            <w:vAlign w:val="center"/>
          </w:tcPr>
          <w:p w14:paraId="0A20AE35">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声环境</w:t>
            </w:r>
          </w:p>
        </w:tc>
        <w:tc>
          <w:tcPr>
            <w:tcW w:w="954" w:type="pct"/>
            <w:vAlign w:val="center"/>
          </w:tcPr>
          <w:p w14:paraId="22C7EF1D">
            <w:pPr>
              <w:widowControl/>
              <w:jc w:val="center"/>
              <w:rPr>
                <w:color w:val="000000" w:themeColor="text1"/>
                <w:szCs w:val="21"/>
                <w:highlight w:val="none"/>
                <w14:textFill>
                  <w14:solidFill>
                    <w14:schemeClr w14:val="tx1"/>
                  </w14:solidFill>
                </w14:textFill>
              </w:rPr>
            </w:pPr>
            <w:r>
              <w:rPr>
                <w:color w:val="000000" w:themeColor="text1"/>
                <w:kern w:val="0"/>
                <w:szCs w:val="21"/>
                <w:highlight w:val="none"/>
                <w:lang w:bidi="ar"/>
                <w14:textFill>
                  <w14:solidFill>
                    <w14:schemeClr w14:val="tx1"/>
                  </w14:solidFill>
                </w14:textFill>
              </w:rPr>
              <w:t>设备噪声</w:t>
            </w:r>
          </w:p>
        </w:tc>
        <w:tc>
          <w:tcPr>
            <w:tcW w:w="517" w:type="pct"/>
            <w:tcBorders>
              <w:right w:val="single" w:color="auto" w:sz="4" w:space="0"/>
            </w:tcBorders>
            <w:vAlign w:val="center"/>
          </w:tcPr>
          <w:p w14:paraId="6B2CE66D">
            <w:pPr>
              <w:pStyle w:val="67"/>
              <w:rPr>
                <w:rFonts w:ascii="Times New Roman" w:hAnsi="Times New Roman" w:cs="Times New Roman"/>
                <w:color w:val="000000" w:themeColor="text1"/>
                <w:position w:val="2"/>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噪声</w:t>
            </w:r>
          </w:p>
        </w:tc>
        <w:tc>
          <w:tcPr>
            <w:tcW w:w="1515" w:type="pct"/>
            <w:tcBorders>
              <w:left w:val="single" w:color="auto" w:sz="4" w:space="0"/>
            </w:tcBorders>
            <w:vAlign w:val="center"/>
          </w:tcPr>
          <w:p w14:paraId="3490DAF6">
            <w:pPr>
              <w:jc w:val="center"/>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选用低噪声设备，厂房隔声，减少车辆鸣笛。</w:t>
            </w:r>
          </w:p>
        </w:tc>
        <w:tc>
          <w:tcPr>
            <w:tcW w:w="1329" w:type="pct"/>
            <w:vAlign w:val="center"/>
          </w:tcPr>
          <w:p w14:paraId="342CD07B">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《工业企业厂界环境噪声排放标准》（GB12348-2008）</w:t>
            </w: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类标准</w:t>
            </w:r>
          </w:p>
        </w:tc>
      </w:tr>
      <w:tr w14:paraId="57940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jc w:val="center"/>
        </w:trPr>
        <w:tc>
          <w:tcPr>
            <w:tcW w:w="683" w:type="pct"/>
            <w:vMerge w:val="restart"/>
            <w:tcBorders>
              <w:top w:val="single" w:color="auto" w:sz="4" w:space="0"/>
            </w:tcBorders>
            <w:vAlign w:val="center"/>
          </w:tcPr>
          <w:p w14:paraId="533AD669">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固体废物</w:t>
            </w:r>
          </w:p>
        </w:tc>
        <w:tc>
          <w:tcPr>
            <w:tcW w:w="954" w:type="pct"/>
            <w:vAlign w:val="center"/>
          </w:tcPr>
          <w:p w14:paraId="13405855">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除尘器</w:t>
            </w:r>
          </w:p>
        </w:tc>
        <w:tc>
          <w:tcPr>
            <w:tcW w:w="517" w:type="pct"/>
            <w:tcBorders>
              <w:right w:val="single" w:color="auto" w:sz="4" w:space="0"/>
            </w:tcBorders>
            <w:vAlign w:val="center"/>
          </w:tcPr>
          <w:p w14:paraId="268974B8">
            <w:pPr>
              <w:pStyle w:val="45"/>
              <w:spacing w:before="0" w:line="240" w:lineRule="auto"/>
              <w:ind w:right="0"/>
              <w:rPr>
                <w:b w:val="0"/>
                <w:color w:val="000000" w:themeColor="text1"/>
                <w:kern w:val="2"/>
                <w:sz w:val="21"/>
                <w:szCs w:val="21"/>
                <w:highlight w:val="none"/>
                <w14:textFill>
                  <w14:solidFill>
                    <w14:schemeClr w14:val="tx1"/>
                  </w14:solidFill>
                </w14:textFill>
              </w:rPr>
            </w:pPr>
            <w:r>
              <w:rPr>
                <w:rFonts w:hint="eastAsia"/>
                <w:b w:val="0"/>
                <w:color w:val="000000" w:themeColor="text1"/>
                <w:kern w:val="2"/>
                <w:sz w:val="21"/>
                <w:szCs w:val="21"/>
                <w:highlight w:val="none"/>
                <w14:textFill>
                  <w14:solidFill>
                    <w14:schemeClr w14:val="tx1"/>
                  </w14:solidFill>
                </w14:textFill>
              </w:rPr>
              <w:t>除尘器灰</w:t>
            </w:r>
          </w:p>
        </w:tc>
        <w:tc>
          <w:tcPr>
            <w:tcW w:w="1515" w:type="pct"/>
            <w:tcBorders>
              <w:left w:val="single" w:color="auto" w:sz="4" w:space="0"/>
            </w:tcBorders>
            <w:vAlign w:val="center"/>
          </w:tcPr>
          <w:p w14:paraId="024F8765">
            <w:pPr>
              <w:tabs>
                <w:tab w:val="left" w:pos="1235"/>
              </w:tabs>
              <w:adjustRightInd w:val="0"/>
              <w:snapToGri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收集后回用于生产工序。</w:t>
            </w:r>
          </w:p>
        </w:tc>
        <w:tc>
          <w:tcPr>
            <w:tcW w:w="1329" w:type="pct"/>
            <w:vMerge w:val="restart"/>
            <w:tcBorders>
              <w:top w:val="single" w:color="auto" w:sz="4" w:space="0"/>
            </w:tcBorders>
            <w:vAlign w:val="center"/>
          </w:tcPr>
          <w:p w14:paraId="0C22D9EC">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《一般工业固体废物贮存和填埋污染控制标准》</w:t>
            </w:r>
          </w:p>
          <w:p w14:paraId="7DE7055D">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（GB18599-2020），合理处置不外排</w:t>
            </w:r>
          </w:p>
        </w:tc>
      </w:tr>
      <w:tr w14:paraId="07A25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83" w:type="pct"/>
            <w:vMerge w:val="continue"/>
            <w:vAlign w:val="center"/>
          </w:tcPr>
          <w:p w14:paraId="660A04E0">
            <w:pPr>
              <w:jc w:val="center"/>
              <w:rPr>
                <w:color w:val="000000" w:themeColor="text1"/>
                <w:szCs w:val="21"/>
                <w:highlight w:val="none"/>
                <w14:textFill>
                  <w14:solidFill>
                    <w14:schemeClr w14:val="tx1"/>
                  </w14:solidFill>
                </w14:textFill>
              </w:rPr>
            </w:pPr>
          </w:p>
        </w:tc>
        <w:tc>
          <w:tcPr>
            <w:tcW w:w="954" w:type="pct"/>
            <w:vAlign w:val="center"/>
          </w:tcPr>
          <w:p w14:paraId="2969FD1D">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钢材加工</w:t>
            </w:r>
          </w:p>
        </w:tc>
        <w:tc>
          <w:tcPr>
            <w:tcW w:w="517" w:type="pct"/>
            <w:tcBorders>
              <w:right w:val="single" w:color="auto" w:sz="4" w:space="0"/>
            </w:tcBorders>
            <w:vAlign w:val="center"/>
          </w:tcPr>
          <w:p w14:paraId="621FFF0D">
            <w:pPr>
              <w:pStyle w:val="45"/>
              <w:spacing w:before="0" w:line="240" w:lineRule="auto"/>
              <w:ind w:right="0"/>
              <w:rPr>
                <w:b w:val="0"/>
                <w:color w:val="000000" w:themeColor="text1"/>
                <w:kern w:val="2"/>
                <w:sz w:val="21"/>
                <w:szCs w:val="21"/>
                <w:highlight w:val="none"/>
                <w14:textFill>
                  <w14:solidFill>
                    <w14:schemeClr w14:val="tx1"/>
                  </w14:solidFill>
                </w14:textFill>
              </w:rPr>
            </w:pPr>
            <w:r>
              <w:rPr>
                <w:rFonts w:hint="eastAsia"/>
                <w:b w:val="0"/>
                <w:color w:val="000000" w:themeColor="text1"/>
                <w:kern w:val="2"/>
                <w:sz w:val="21"/>
                <w:szCs w:val="21"/>
                <w:highlight w:val="none"/>
                <w14:textFill>
                  <w14:solidFill>
                    <w14:schemeClr w14:val="tx1"/>
                  </w14:solidFill>
                </w14:textFill>
              </w:rPr>
              <w:t>钢棒切割渣</w:t>
            </w:r>
          </w:p>
        </w:tc>
        <w:tc>
          <w:tcPr>
            <w:tcW w:w="1515" w:type="pct"/>
            <w:tcBorders>
              <w:left w:val="single" w:color="auto" w:sz="4" w:space="0"/>
            </w:tcBorders>
            <w:vAlign w:val="center"/>
          </w:tcPr>
          <w:p w14:paraId="00887470">
            <w:pPr>
              <w:tabs>
                <w:tab w:val="left" w:pos="1235"/>
              </w:tabs>
              <w:adjustRightInd w:val="0"/>
              <w:snapToGrid w:val="0"/>
              <w:jc w:val="center"/>
              <w:textAlignment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暂存于一般固废暂存间，定期外售。</w:t>
            </w:r>
          </w:p>
        </w:tc>
        <w:tc>
          <w:tcPr>
            <w:tcW w:w="1329" w:type="pct"/>
            <w:vMerge w:val="continue"/>
            <w:tcBorders>
              <w:top w:val="single" w:color="auto" w:sz="4" w:space="0"/>
              <w:bottom w:val="single" w:color="auto" w:sz="4" w:space="0"/>
            </w:tcBorders>
            <w:vAlign w:val="center"/>
          </w:tcPr>
          <w:p w14:paraId="0DE79095">
            <w:pPr>
              <w:jc w:val="center"/>
              <w:rPr>
                <w:color w:val="000000" w:themeColor="text1"/>
                <w:szCs w:val="21"/>
                <w:highlight w:val="none"/>
                <w14:textFill>
                  <w14:solidFill>
                    <w14:schemeClr w14:val="tx1"/>
                  </w14:solidFill>
                </w14:textFill>
              </w:rPr>
            </w:pPr>
          </w:p>
        </w:tc>
      </w:tr>
      <w:tr w14:paraId="75980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83" w:type="pct"/>
            <w:vMerge w:val="continue"/>
            <w:vAlign w:val="center"/>
          </w:tcPr>
          <w:p w14:paraId="7A105217">
            <w:pPr>
              <w:jc w:val="center"/>
              <w:rPr>
                <w:color w:val="000000" w:themeColor="text1"/>
                <w:szCs w:val="21"/>
                <w:highlight w:val="none"/>
                <w14:textFill>
                  <w14:solidFill>
                    <w14:schemeClr w14:val="tx1"/>
                  </w14:solidFill>
                </w14:textFill>
              </w:rPr>
            </w:pPr>
          </w:p>
        </w:tc>
        <w:tc>
          <w:tcPr>
            <w:tcW w:w="954" w:type="pct"/>
            <w:vAlign w:val="center"/>
          </w:tcPr>
          <w:p w14:paraId="5F2A3E64">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检验工序</w:t>
            </w:r>
          </w:p>
        </w:tc>
        <w:tc>
          <w:tcPr>
            <w:tcW w:w="517" w:type="pct"/>
            <w:tcBorders>
              <w:right w:val="single" w:color="auto" w:sz="4" w:space="0"/>
            </w:tcBorders>
            <w:vAlign w:val="center"/>
          </w:tcPr>
          <w:p w14:paraId="72A8787D">
            <w:pPr>
              <w:pStyle w:val="45"/>
              <w:spacing w:before="0" w:line="240" w:lineRule="auto"/>
              <w:ind w:right="0"/>
              <w:rPr>
                <w:b w:val="0"/>
                <w:color w:val="000000" w:themeColor="text1"/>
                <w:kern w:val="2"/>
                <w:sz w:val="21"/>
                <w:szCs w:val="21"/>
                <w:highlight w:val="none"/>
                <w14:textFill>
                  <w14:solidFill>
                    <w14:schemeClr w14:val="tx1"/>
                  </w14:solidFill>
                </w14:textFill>
              </w:rPr>
            </w:pPr>
            <w:r>
              <w:rPr>
                <w:rFonts w:hint="eastAsia"/>
                <w:b w:val="0"/>
                <w:color w:val="000000" w:themeColor="text1"/>
                <w:sz w:val="21"/>
                <w:szCs w:val="21"/>
                <w:highlight w:val="none"/>
                <w14:textFill>
                  <w14:solidFill>
                    <w14:schemeClr w14:val="tx1"/>
                  </w14:solidFill>
                </w14:textFill>
              </w:rPr>
              <w:t>不合格产品</w:t>
            </w:r>
          </w:p>
        </w:tc>
        <w:tc>
          <w:tcPr>
            <w:tcW w:w="1515" w:type="pct"/>
            <w:tcBorders>
              <w:left w:val="single" w:color="auto" w:sz="4" w:space="0"/>
            </w:tcBorders>
            <w:vAlign w:val="center"/>
          </w:tcPr>
          <w:p w14:paraId="44233E68">
            <w:pPr>
              <w:tabs>
                <w:tab w:val="left" w:pos="1235"/>
              </w:tabs>
              <w:adjustRightInd w:val="0"/>
              <w:snapToGrid w:val="0"/>
              <w:jc w:val="center"/>
              <w:textAlignment w:val="center"/>
              <w:rPr>
                <w:rFonts w:hint="eastAsia" w:eastAsia="宋体"/>
                <w:szCs w:val="21"/>
                <w:highlight w:val="none"/>
                <w:lang w:eastAsia="zh-CN"/>
              </w:rPr>
            </w:pPr>
            <w:r>
              <w:rPr>
                <w:rFonts w:hint="eastAsia"/>
                <w:highlight w:val="none"/>
              </w:rPr>
              <w:t>暂存于一般固废暂存间，定期作为建筑废料外运处理</w:t>
            </w:r>
            <w:r>
              <w:rPr>
                <w:rFonts w:hint="eastAsia"/>
                <w:highlight w:val="none"/>
                <w:lang w:eastAsia="zh-CN"/>
              </w:rPr>
              <w:t>。</w:t>
            </w:r>
          </w:p>
        </w:tc>
        <w:tc>
          <w:tcPr>
            <w:tcW w:w="1329" w:type="pct"/>
            <w:vMerge w:val="continue"/>
            <w:tcBorders>
              <w:top w:val="single" w:color="auto" w:sz="4" w:space="0"/>
              <w:bottom w:val="single" w:color="auto" w:sz="4" w:space="0"/>
            </w:tcBorders>
            <w:vAlign w:val="center"/>
          </w:tcPr>
          <w:p w14:paraId="171E044F">
            <w:pPr>
              <w:jc w:val="center"/>
              <w:rPr>
                <w:color w:val="000000" w:themeColor="text1"/>
                <w:szCs w:val="21"/>
                <w:highlight w:val="none"/>
                <w14:textFill>
                  <w14:solidFill>
                    <w14:schemeClr w14:val="tx1"/>
                  </w14:solidFill>
                </w14:textFill>
              </w:rPr>
            </w:pPr>
          </w:p>
        </w:tc>
      </w:tr>
      <w:tr w14:paraId="27C3D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83" w:type="pct"/>
            <w:shd w:val="clear" w:color="auto" w:fill="auto"/>
            <w:vAlign w:val="center"/>
          </w:tcPr>
          <w:p w14:paraId="09A34F29">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生活垃圾</w:t>
            </w:r>
          </w:p>
        </w:tc>
        <w:tc>
          <w:tcPr>
            <w:tcW w:w="954" w:type="pct"/>
            <w:shd w:val="clear" w:color="auto" w:fill="auto"/>
            <w:vAlign w:val="center"/>
          </w:tcPr>
          <w:p w14:paraId="65ED0070">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工作人员</w:t>
            </w:r>
          </w:p>
        </w:tc>
        <w:tc>
          <w:tcPr>
            <w:tcW w:w="517" w:type="pct"/>
            <w:tcBorders>
              <w:right w:val="single" w:color="auto" w:sz="4" w:space="0"/>
            </w:tcBorders>
            <w:shd w:val="clear" w:color="auto" w:fill="auto"/>
            <w:vAlign w:val="center"/>
          </w:tcPr>
          <w:p w14:paraId="51AD4E7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生活垃圾</w:t>
            </w:r>
          </w:p>
        </w:tc>
        <w:tc>
          <w:tcPr>
            <w:tcW w:w="1515" w:type="pct"/>
            <w:tcBorders>
              <w:left w:val="single" w:color="auto" w:sz="4" w:space="0"/>
            </w:tcBorders>
            <w:shd w:val="clear" w:color="auto" w:fill="auto"/>
            <w:vAlign w:val="center"/>
          </w:tcPr>
          <w:p w14:paraId="02FD321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bCs/>
                <w:color w:val="000000" w:themeColor="text1"/>
                <w:szCs w:val="21"/>
                <w:highlight w:val="none"/>
                <w14:textFill>
                  <w14:solidFill>
                    <w14:schemeClr w14:val="tx1"/>
                  </w14:solidFill>
                </w14:textFill>
              </w:rPr>
              <w:t>厂区设置若干分类垃圾箱进行收集，</w:t>
            </w:r>
            <w:r>
              <w:rPr>
                <w:rFonts w:hint="eastAsia"/>
                <w:bCs/>
                <w:color w:val="000000" w:themeColor="text1"/>
                <w:szCs w:val="21"/>
                <w:highlight w:val="none"/>
                <w14:textFill>
                  <w14:solidFill>
                    <w14:schemeClr w14:val="tx1"/>
                  </w14:solidFill>
                </w14:textFill>
              </w:rPr>
              <w:t>交由环卫部门定期清运处置</w:t>
            </w:r>
            <w:r>
              <w:rPr>
                <w:bCs/>
                <w:color w:val="000000" w:themeColor="text1"/>
                <w:szCs w:val="21"/>
                <w:highlight w:val="none"/>
                <w14:textFill>
                  <w14:solidFill>
                    <w14:schemeClr w14:val="tx1"/>
                  </w14:solidFill>
                </w14:textFill>
              </w:rPr>
              <w:t>。</w:t>
            </w:r>
          </w:p>
        </w:tc>
        <w:tc>
          <w:tcPr>
            <w:tcW w:w="1329" w:type="pct"/>
            <w:tcBorders>
              <w:top w:val="single" w:color="auto" w:sz="4" w:space="0"/>
              <w:bottom w:val="single" w:color="auto" w:sz="4" w:space="0"/>
            </w:tcBorders>
            <w:shd w:val="clear" w:color="auto" w:fill="auto"/>
            <w:vAlign w:val="center"/>
          </w:tcPr>
          <w:p w14:paraId="33DC3952">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r>
      <w:tr w14:paraId="0C249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jc w:val="center"/>
        </w:trPr>
        <w:tc>
          <w:tcPr>
            <w:tcW w:w="683" w:type="pct"/>
            <w:vAlign w:val="center"/>
          </w:tcPr>
          <w:p w14:paraId="653ADC48">
            <w:pPr>
              <w:pStyle w:val="67"/>
              <w:rPr>
                <w:rFonts w:ascii="Times New Roman" w:hAnsi="Times New Roman" w:cs="Times New Roman"/>
                <w:color w:val="000000" w:themeColor="text1"/>
                <w:sz w:val="21"/>
                <w:szCs w:val="21"/>
                <w:highlight w:val="none"/>
                <w:lang w:val="en-US"/>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土壤及地下水污染防治措施</w:t>
            </w:r>
          </w:p>
        </w:tc>
        <w:tc>
          <w:tcPr>
            <w:tcW w:w="4316" w:type="pct"/>
            <w:gridSpan w:val="4"/>
            <w:vAlign w:val="center"/>
          </w:tcPr>
          <w:p w14:paraId="1E21A786">
            <w:pPr>
              <w:widowControl/>
              <w:jc w:val="left"/>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化粪池采用一般防渗，防渗层至少1m厚黏土层+10cm水泥防渗层，最终效果满足K≤1.0×10-7cm/s；厂区内道路及其他区域地面硬化采用普通水泥硬化处理。</w:t>
            </w:r>
          </w:p>
        </w:tc>
      </w:tr>
      <w:tr w14:paraId="4352A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jc w:val="center"/>
        </w:trPr>
        <w:tc>
          <w:tcPr>
            <w:tcW w:w="683" w:type="pct"/>
            <w:vAlign w:val="center"/>
          </w:tcPr>
          <w:p w14:paraId="721CC0C1">
            <w:pPr>
              <w:pStyle w:val="67"/>
              <w:rPr>
                <w:rFonts w:ascii="Times New Roman" w:hAnsi="Times New Roman" w:cs="Times New Roman"/>
                <w:color w:val="000000" w:themeColor="text1"/>
                <w:sz w:val="21"/>
                <w:szCs w:val="21"/>
                <w:highlight w:val="none"/>
                <w:lang w:val="en-US"/>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生态保护措施</w:t>
            </w:r>
          </w:p>
        </w:tc>
        <w:tc>
          <w:tcPr>
            <w:tcW w:w="4316" w:type="pct"/>
            <w:gridSpan w:val="4"/>
            <w:vAlign w:val="center"/>
          </w:tcPr>
          <w:p w14:paraId="541BA340">
            <w:pPr>
              <w:jc w:val="center"/>
              <w:rPr>
                <w:color w:val="000000" w:themeColor="text1"/>
                <w:szCs w:val="21"/>
                <w:highlight w:val="none"/>
                <w14:textFill>
                  <w14:solidFill>
                    <w14:schemeClr w14:val="tx1"/>
                  </w14:solidFill>
                </w14:textFill>
              </w:rPr>
            </w:pPr>
          </w:p>
        </w:tc>
      </w:tr>
      <w:tr w14:paraId="1C736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jc w:val="center"/>
        </w:trPr>
        <w:tc>
          <w:tcPr>
            <w:tcW w:w="683" w:type="pct"/>
            <w:vAlign w:val="center"/>
          </w:tcPr>
          <w:p w14:paraId="53F35871">
            <w:pPr>
              <w:pStyle w:val="67"/>
              <w:rPr>
                <w:rFonts w:ascii="Times New Roman" w:hAnsi="Times New Roman" w:cs="Times New Roman"/>
                <w:color w:val="000000" w:themeColor="text1"/>
                <w:sz w:val="21"/>
                <w:szCs w:val="21"/>
                <w:highlight w:val="none"/>
                <w:lang w:val="en-US"/>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环境风险防范措施</w:t>
            </w:r>
          </w:p>
        </w:tc>
        <w:tc>
          <w:tcPr>
            <w:tcW w:w="4316" w:type="pct"/>
            <w:gridSpan w:val="4"/>
            <w:vAlign w:val="center"/>
          </w:tcPr>
          <w:p w14:paraId="3994CC6E">
            <w:pP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①加强对污染突发事故应急的安全知识教育，提高环境</w:t>
            </w:r>
            <w:r>
              <w:rPr>
                <w:rFonts w:hint="eastAsia"/>
                <w:color w:val="000000" w:themeColor="text1"/>
                <w:szCs w:val="21"/>
                <w:highlight w:val="none"/>
                <w:lang w:eastAsia="zh-CN"/>
                <w14:textFill>
                  <w14:solidFill>
                    <w14:schemeClr w14:val="tx1"/>
                  </w14:solidFill>
                </w14:textFill>
              </w:rPr>
              <w:t>保护</w:t>
            </w:r>
            <w:r>
              <w:rPr>
                <w:rFonts w:hint="eastAsia"/>
                <w:color w:val="000000" w:themeColor="text1"/>
                <w:szCs w:val="21"/>
                <w:highlight w:val="none"/>
                <w14:textFill>
                  <w14:solidFill>
                    <w14:schemeClr w14:val="tx1"/>
                  </w14:solidFill>
                </w14:textFill>
              </w:rPr>
              <w:t>意识。②加强车间原辅材料暂存管理，各种材料应分别存放，应有专人管理，加强防火。③为防止发生火灾，项目应做好消防措施：a.严格按照消防法的规定做到配套完善，如灭火器等。b.在平时或事故时，重要消防用电设备要保</w:t>
            </w:r>
            <w:r>
              <w:rPr>
                <w:rFonts w:hint="eastAsia"/>
                <w:color w:val="000000" w:themeColor="text1"/>
                <w:szCs w:val="21"/>
                <w:highlight w:val="none"/>
                <w:lang w:eastAsia="zh-CN"/>
                <w14:textFill>
                  <w14:solidFill>
                    <w14:schemeClr w14:val="tx1"/>
                  </w14:solidFill>
                </w14:textFill>
              </w:rPr>
              <w:t>持</w:t>
            </w:r>
            <w:r>
              <w:rPr>
                <w:rFonts w:hint="eastAsia"/>
                <w:color w:val="000000" w:themeColor="text1"/>
                <w:szCs w:val="21"/>
                <w:highlight w:val="none"/>
                <w14:textFill>
                  <w14:solidFill>
                    <w14:schemeClr w14:val="tx1"/>
                  </w14:solidFill>
                </w14:textFill>
              </w:rPr>
              <w:t>正常供电。同时消防用电设备的电气线路应与非消防用电线路分开布置，为火灾时及时切断非消防用电设备电源和防止扩大火灾蔓延、减少损失及为消防扑救与安全救灾创造必要条件。c.建筑周围要有通畅的消防救灾道路。</w:t>
            </w:r>
          </w:p>
        </w:tc>
      </w:tr>
      <w:tr w14:paraId="67A31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6" w:hRule="atLeast"/>
          <w:jc w:val="center"/>
        </w:trPr>
        <w:tc>
          <w:tcPr>
            <w:tcW w:w="683" w:type="pct"/>
            <w:vAlign w:val="center"/>
          </w:tcPr>
          <w:p w14:paraId="1280070E">
            <w:pPr>
              <w:pStyle w:val="67"/>
              <w:rPr>
                <w:rFonts w:ascii="Times New Roman" w:hAnsi="Times New Roman" w:cs="Times New Roman"/>
                <w:color w:val="000000" w:themeColor="text1"/>
                <w:sz w:val="21"/>
                <w:szCs w:val="21"/>
                <w:highlight w:val="none"/>
                <w:lang w:val="en-US"/>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其他环境管理要求</w:t>
            </w:r>
          </w:p>
        </w:tc>
        <w:tc>
          <w:tcPr>
            <w:tcW w:w="4316" w:type="pct"/>
            <w:gridSpan w:val="4"/>
            <w:vAlign w:val="center"/>
          </w:tcPr>
          <w:p w14:paraId="549B5F47">
            <w:pPr>
              <w:jc w:val="both"/>
              <w:rPr>
                <w:color w:val="000000" w:themeColor="text1"/>
                <w:szCs w:val="21"/>
                <w:highlight w:val="none"/>
                <w14:textFill>
                  <w14:solidFill>
                    <w14:schemeClr w14:val="tx1"/>
                  </w14:solidFill>
                </w14:textFill>
              </w:rPr>
            </w:pPr>
            <w:r>
              <w:rPr>
                <w:rFonts w:hint="eastAsia" w:ascii="Times New Roman" w:hAnsi="Times New Roman" w:cs="Times New Roman"/>
                <w:color w:val="auto"/>
                <w:sz w:val="21"/>
                <w:szCs w:val="21"/>
                <w:highlight w:val="none"/>
                <w:lang w:eastAsia="zh-CN"/>
              </w:rPr>
              <w:t>按照环境监测计划按时进行环境监测</w:t>
            </w:r>
            <w:r>
              <w:rPr>
                <w:rFonts w:hint="eastAsia"/>
                <w:color w:val="auto"/>
                <w:sz w:val="21"/>
                <w:szCs w:val="21"/>
                <w:highlight w:val="none"/>
                <w:lang w:eastAsia="zh-CN"/>
              </w:rPr>
              <w:t>；</w:t>
            </w:r>
            <w:r>
              <w:rPr>
                <w:rFonts w:hint="eastAsia"/>
                <w:color w:val="auto"/>
                <w:sz w:val="21"/>
                <w:szCs w:val="21"/>
                <w:highlight w:val="none"/>
                <w:lang w:val="en-US" w:eastAsia="zh-CN"/>
              </w:rPr>
              <w:t>执行排污许可制度；</w:t>
            </w:r>
            <w:r>
              <w:rPr>
                <w:rFonts w:hint="eastAsia"/>
                <w:color w:val="auto"/>
                <w:sz w:val="21"/>
                <w:szCs w:val="21"/>
                <w:highlight w:val="none"/>
                <w:lang w:eastAsia="zh-CN"/>
              </w:rPr>
              <w:t>贯彻执行国家和地方各项环保方针、政策和法规，将环境指标纳入生产计划指标，建立企业内部的环境保护机构、制定与其相适应的管理规章制度及细则、及时验收生产；做好环保设施的“三同时”环境保护工作，在项目建成后确保各项污染物必须达标排放，对各部门的环保工作进行监督与考核；编制突发环境应急预案。</w:t>
            </w:r>
          </w:p>
        </w:tc>
      </w:tr>
    </w:tbl>
    <w:p w14:paraId="763637AC">
      <w:pPr>
        <w:pStyle w:val="26"/>
        <w:jc w:val="center"/>
        <w:outlineLvl w:val="0"/>
        <w:rPr>
          <w:rFonts w:hint="eastAsia" w:ascii="黑体" w:hAnsi="黑体" w:eastAsia="黑体"/>
          <w:snapToGrid w:val="0"/>
          <w:color w:val="000000" w:themeColor="text1"/>
          <w:sz w:val="30"/>
          <w:szCs w:val="30"/>
          <w:highlight w:val="none"/>
          <w14:textFill>
            <w14:solidFill>
              <w14:schemeClr w14:val="tx1"/>
            </w14:solidFill>
          </w14:textFill>
        </w:rPr>
      </w:pPr>
      <w:r>
        <w:rPr>
          <w:snapToGrid w:val="0"/>
          <w:color w:val="000000" w:themeColor="text1"/>
          <w:highlight w:val="none"/>
          <w14:textFill>
            <w14:solidFill>
              <w14:schemeClr w14:val="tx1"/>
            </w14:solidFill>
          </w14:textFill>
        </w:rPr>
        <w:br w:type="page"/>
      </w:r>
      <w:r>
        <w:rPr>
          <w:rFonts w:hint="eastAsia" w:ascii="黑体" w:hAnsi="黑体" w:eastAsia="黑体"/>
          <w:snapToGrid w:val="0"/>
          <w:color w:val="000000" w:themeColor="text1"/>
          <w:sz w:val="30"/>
          <w:szCs w:val="30"/>
          <w:highlight w:val="none"/>
          <w14:textFill>
            <w14:solidFill>
              <w14:schemeClr w14:val="tx1"/>
            </w14:solidFill>
          </w14:textFill>
        </w:rPr>
        <w:t>六、结论</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A8190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18186258">
            <w:pPr>
              <w:spacing w:line="360" w:lineRule="auto"/>
              <w:ind w:firstLine="480" w:firstLineChars="200"/>
              <w:rPr>
                <w:rFonts w:ascii="宋体" w:cs="宋体"/>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综上所述，</w:t>
            </w:r>
            <w:r>
              <w:rPr>
                <w:rFonts w:hint="eastAsia"/>
                <w:color w:val="000000" w:themeColor="text1"/>
                <w:sz w:val="24"/>
                <w:highlight w:val="none"/>
                <w:lang w:val="en-US" w:eastAsia="zh-CN"/>
                <w14:textFill>
                  <w14:solidFill>
                    <w14:schemeClr w14:val="tx1"/>
                  </w14:solidFill>
                </w14:textFill>
              </w:rPr>
              <w:t>本</w:t>
            </w:r>
            <w:r>
              <w:rPr>
                <w:rFonts w:hint="eastAsia"/>
                <w:color w:val="000000" w:themeColor="text1"/>
                <w:sz w:val="24"/>
                <w:highlight w:val="none"/>
                <w14:textFill>
                  <w14:solidFill>
                    <w14:schemeClr w14:val="tx1"/>
                  </w14:solidFill>
                </w14:textFill>
              </w:rPr>
              <w:t>项目</w:t>
            </w:r>
            <w:r>
              <w:rPr>
                <w:color w:val="000000" w:themeColor="text1"/>
                <w:sz w:val="24"/>
                <w:highlight w:val="none"/>
                <w14:textFill>
                  <w14:solidFill>
                    <w14:schemeClr w14:val="tx1"/>
                  </w14:solidFill>
                </w14:textFill>
              </w:rPr>
              <w:t>符合国家产业政策，项目选址</w:t>
            </w:r>
            <w:r>
              <w:rPr>
                <w:rFonts w:hint="eastAsia"/>
                <w:color w:val="000000" w:themeColor="text1"/>
                <w:sz w:val="24"/>
                <w:highlight w:val="none"/>
                <w:lang w:eastAsia="zh-CN"/>
                <w14:textFill>
                  <w14:solidFill>
                    <w14:schemeClr w14:val="tx1"/>
                  </w14:solidFill>
                </w14:textFill>
              </w:rPr>
              <w:t>合理</w:t>
            </w:r>
            <w:r>
              <w:rPr>
                <w:color w:val="000000" w:themeColor="text1"/>
                <w:sz w:val="24"/>
                <w:highlight w:val="none"/>
                <w14:textFill>
                  <w14:solidFill>
                    <w14:schemeClr w14:val="tx1"/>
                  </w14:solidFill>
                </w14:textFill>
              </w:rPr>
              <w:t>。通过本项目所在地环境现状调查、污染分析、环境影响分析可知，只要建设方在生产过程中充分落实本环评提出的各项污染防治对策，认真做好</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三同时</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及日常环保管理工作，项目对环境的影响可降至最小。因此，从环保角度出发，本项目的建设可行。</w:t>
            </w:r>
          </w:p>
        </w:tc>
      </w:tr>
    </w:tbl>
    <w:p w14:paraId="3ED36745">
      <w:pPr>
        <w:rPr>
          <w:rFonts w:ascii="宋体"/>
          <w:color w:val="000000" w:themeColor="text1"/>
          <w:highlight w:val="none"/>
          <w14:textFill>
            <w14:solidFill>
              <w14:schemeClr w14:val="tx1"/>
            </w14:solidFill>
          </w14:textFill>
        </w:rPr>
        <w:sectPr>
          <w:pgSz w:w="11906" w:h="16838"/>
          <w:pgMar w:top="1701" w:right="1531" w:bottom="1701" w:left="1531" w:header="851" w:footer="851" w:gutter="0"/>
          <w:cols w:space="720" w:num="1"/>
          <w:docGrid w:linePitch="312" w:charSpace="0"/>
        </w:sectPr>
      </w:pPr>
    </w:p>
    <w:p w14:paraId="494EAF93">
      <w:pPr>
        <w:pStyle w:val="26"/>
        <w:adjustRightInd w:val="0"/>
        <w:snapToGrid w:val="0"/>
        <w:spacing w:before="0" w:beforeAutospacing="0" w:after="0" w:afterAutospacing="0" w:line="648" w:lineRule="auto"/>
        <w:outlineLvl w:val="0"/>
        <w:rPr>
          <w:rFonts w:hint="eastAsia" w:ascii="黑体" w:hAnsi="黑体" w:eastAsia="黑体"/>
          <w:snapToGrid w:val="0"/>
          <w:color w:val="000000" w:themeColor="text1"/>
          <w:sz w:val="32"/>
          <w:szCs w:val="32"/>
          <w:highlight w:val="none"/>
          <w14:textFill>
            <w14:solidFill>
              <w14:schemeClr w14:val="tx1"/>
            </w14:solidFill>
          </w14:textFill>
        </w:rPr>
      </w:pPr>
      <w:r>
        <w:rPr>
          <w:rFonts w:hint="eastAsia" w:ascii="黑体" w:hAnsi="黑体" w:eastAsia="黑体"/>
          <w:snapToGrid w:val="0"/>
          <w:color w:val="000000" w:themeColor="text1"/>
          <w:sz w:val="32"/>
          <w:szCs w:val="32"/>
          <w:highlight w:val="none"/>
          <w14:textFill>
            <w14:solidFill>
              <w14:schemeClr w14:val="tx1"/>
            </w14:solidFill>
          </w14:textFill>
        </w:rPr>
        <w:t>附表</w:t>
      </w:r>
    </w:p>
    <w:p w14:paraId="6AB28267">
      <w:pPr>
        <w:pStyle w:val="26"/>
        <w:adjustRightInd w:val="0"/>
        <w:snapToGrid w:val="0"/>
        <w:spacing w:before="0" w:beforeAutospacing="0" w:after="0" w:afterAutospacing="0" w:line="360" w:lineRule="auto"/>
        <w:jc w:val="center"/>
        <w:outlineLvl w:val="0"/>
        <w:rPr>
          <w:rFonts w:hint="eastAsia" w:ascii="方正小标宋_GBK" w:hAnsi="黑体" w:eastAsia="方正小标宋_GBK"/>
          <w:snapToGrid w:val="0"/>
          <w:color w:val="000000" w:themeColor="text1"/>
          <w:sz w:val="38"/>
          <w:szCs w:val="38"/>
          <w:highlight w:val="none"/>
          <w14:textFill>
            <w14:solidFill>
              <w14:schemeClr w14:val="tx1"/>
            </w14:solidFill>
          </w14:textFill>
        </w:rPr>
      </w:pPr>
      <w:r>
        <w:rPr>
          <w:rFonts w:hint="eastAsia" w:ascii="方正小标宋_GBK" w:hAnsi="黑体" w:eastAsia="方正小标宋_GBK"/>
          <w:snapToGrid w:val="0"/>
          <w:color w:val="000000" w:themeColor="text1"/>
          <w:sz w:val="38"/>
          <w:szCs w:val="38"/>
          <w:highlight w:val="none"/>
          <w14:textFill>
            <w14:solidFill>
              <w14:schemeClr w14:val="tx1"/>
            </w14:solidFill>
          </w14:textFill>
        </w:rPr>
        <w:t>建设项目污染物排放量汇总表</w:t>
      </w:r>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1455"/>
        <w:gridCol w:w="1680"/>
        <w:gridCol w:w="1275"/>
        <w:gridCol w:w="1545"/>
        <w:gridCol w:w="1650"/>
        <w:gridCol w:w="1575"/>
        <w:gridCol w:w="1806"/>
        <w:gridCol w:w="1361"/>
      </w:tblGrid>
      <w:tr w14:paraId="016FE9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41" w:type="dxa"/>
            <w:tcBorders>
              <w:tl2br w:val="single" w:color="auto" w:sz="4" w:space="0"/>
            </w:tcBorders>
            <w:tcMar>
              <w:left w:w="28" w:type="dxa"/>
              <w:right w:w="28" w:type="dxa"/>
            </w:tcMar>
            <w:vAlign w:val="center"/>
          </w:tcPr>
          <w:p w14:paraId="5D4187C0">
            <w:pPr>
              <w:pStyle w:val="49"/>
              <w:spacing w:beforeLines="0" w:afterLines="0" w:line="240" w:lineRule="auto"/>
              <w:jc w:val="right"/>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项目</w:t>
            </w:r>
          </w:p>
          <w:p w14:paraId="3601C4E4">
            <w:pPr>
              <w:pStyle w:val="49"/>
              <w:spacing w:beforeLines="0" w:afterLines="0" w:line="240" w:lineRule="auto"/>
              <w:jc w:val="left"/>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分类</w:t>
            </w:r>
          </w:p>
        </w:tc>
        <w:tc>
          <w:tcPr>
            <w:tcW w:w="1455" w:type="dxa"/>
            <w:tcMar>
              <w:left w:w="28" w:type="dxa"/>
              <w:right w:w="28" w:type="dxa"/>
            </w:tcMar>
            <w:vAlign w:val="center"/>
          </w:tcPr>
          <w:p w14:paraId="7CEB2721">
            <w:pPr>
              <w:pStyle w:val="49"/>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污染物名称</w:t>
            </w:r>
          </w:p>
        </w:tc>
        <w:tc>
          <w:tcPr>
            <w:tcW w:w="1680" w:type="dxa"/>
            <w:tcMar>
              <w:left w:w="28" w:type="dxa"/>
              <w:right w:w="28" w:type="dxa"/>
            </w:tcMar>
            <w:vAlign w:val="center"/>
          </w:tcPr>
          <w:p w14:paraId="65927FB8">
            <w:pPr>
              <w:pStyle w:val="49"/>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现有工程排放量（固体废物产生量）</w:t>
            </w: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ascii="Times New Roman" w:eastAsia="黑体"/>
                <w:color w:val="000000" w:themeColor="text1"/>
                <w:kern w:val="2"/>
                <w:szCs w:val="21"/>
                <w:highlight w:val="none"/>
                <w14:textFill>
                  <w14:solidFill>
                    <w14:schemeClr w14:val="tx1"/>
                  </w14:solidFill>
                </w14:textFill>
              </w:rPr>
              <w:t>①</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275" w:type="dxa"/>
            <w:tcMar>
              <w:left w:w="28" w:type="dxa"/>
              <w:right w:w="28" w:type="dxa"/>
            </w:tcMar>
            <w:vAlign w:val="center"/>
          </w:tcPr>
          <w:p w14:paraId="027DD736">
            <w:pPr>
              <w:pStyle w:val="49"/>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现有工程许可排放量</w:t>
            </w: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2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ascii="Times New Roman" w:eastAsia="黑体"/>
                <w:snapToGrid w:val="0"/>
                <w:color w:val="000000" w:themeColor="text1"/>
                <w:spacing w:val="-6"/>
                <w:kern w:val="21"/>
                <w:szCs w:val="21"/>
                <w:highlight w:val="none"/>
                <w14:textFill>
                  <w14:solidFill>
                    <w14:schemeClr w14:val="tx1"/>
                  </w14:solidFill>
                </w14:textFill>
              </w:rPr>
              <w:t>②</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545" w:type="dxa"/>
            <w:tcMar>
              <w:left w:w="28" w:type="dxa"/>
              <w:right w:w="28" w:type="dxa"/>
            </w:tcMar>
            <w:vAlign w:val="center"/>
          </w:tcPr>
          <w:p w14:paraId="4BE4886E">
            <w:pPr>
              <w:pStyle w:val="49"/>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在建工程排放量（固体废物产生量）</w:t>
            </w: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3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ascii="Times New Roman" w:eastAsia="黑体"/>
                <w:color w:val="000000" w:themeColor="text1"/>
                <w:kern w:val="2"/>
                <w:szCs w:val="21"/>
                <w:highlight w:val="none"/>
                <w14:textFill>
                  <w14:solidFill>
                    <w14:schemeClr w14:val="tx1"/>
                  </w14:solidFill>
                </w14:textFill>
              </w:rPr>
              <w:t>③</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650" w:type="dxa"/>
            <w:tcMar>
              <w:left w:w="28" w:type="dxa"/>
              <w:right w:w="28" w:type="dxa"/>
            </w:tcMar>
            <w:vAlign w:val="center"/>
          </w:tcPr>
          <w:p w14:paraId="15C1193A">
            <w:pPr>
              <w:pStyle w:val="49"/>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本项目排放量（固体废物产生量）</w:t>
            </w: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4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ascii="Times New Roman" w:eastAsia="黑体"/>
                <w:color w:val="000000" w:themeColor="text1"/>
                <w:kern w:val="2"/>
                <w:szCs w:val="21"/>
                <w:highlight w:val="none"/>
                <w14:textFill>
                  <w14:solidFill>
                    <w14:schemeClr w14:val="tx1"/>
                  </w14:solidFill>
                </w14:textFill>
              </w:rPr>
              <w:t>④</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575" w:type="dxa"/>
            <w:tcMar>
              <w:left w:w="28" w:type="dxa"/>
              <w:right w:w="28" w:type="dxa"/>
            </w:tcMar>
            <w:vAlign w:val="center"/>
          </w:tcPr>
          <w:p w14:paraId="6A075F12">
            <w:pPr>
              <w:pStyle w:val="49"/>
              <w:spacing w:beforeLines="0" w:afterLines="0" w:line="240" w:lineRule="auto"/>
              <w:rPr>
                <w:rFonts w:ascii="Times New Roman" w:eastAsia="黑体"/>
                <w:snapToGrid w:val="0"/>
                <w:color w:val="000000" w:themeColor="text1"/>
                <w:spacing w:val="-16"/>
                <w:kern w:val="21"/>
                <w:szCs w:val="21"/>
                <w:highlight w:val="none"/>
                <w14:textFill>
                  <w14:solidFill>
                    <w14:schemeClr w14:val="tx1"/>
                  </w14:solidFill>
                </w14:textFill>
              </w:rPr>
            </w:pPr>
            <w:r>
              <w:rPr>
                <w:rFonts w:ascii="Times New Roman" w:eastAsia="黑体"/>
                <w:snapToGrid w:val="0"/>
                <w:color w:val="000000" w:themeColor="text1"/>
                <w:spacing w:val="-16"/>
                <w:kern w:val="21"/>
                <w:szCs w:val="21"/>
                <w:highlight w:val="none"/>
                <w14:textFill>
                  <w14:solidFill>
                    <w14:schemeClr w14:val="tx1"/>
                  </w14:solidFill>
                </w14:textFill>
              </w:rPr>
              <w:t>以新带老削减量（新建项目不填）</w:t>
            </w:r>
            <w:r>
              <w:rPr>
                <w:rFonts w:ascii="Times New Roman" w:eastAsia="黑体"/>
                <w:snapToGrid w:val="0"/>
                <w:color w:val="000000" w:themeColor="text1"/>
                <w:spacing w:val="-16"/>
                <w:kern w:val="21"/>
                <w:szCs w:val="21"/>
                <w:highlight w:val="none"/>
                <w14:textFill>
                  <w14:solidFill>
                    <w14:schemeClr w14:val="tx1"/>
                  </w14:solidFill>
                </w14:textFill>
              </w:rPr>
              <w:fldChar w:fldCharType="begin"/>
            </w:r>
            <w:r>
              <w:rPr>
                <w:rFonts w:ascii="Times New Roman" w:eastAsia="黑体"/>
                <w:snapToGrid w:val="0"/>
                <w:color w:val="000000" w:themeColor="text1"/>
                <w:spacing w:val="-16"/>
                <w:kern w:val="21"/>
                <w:szCs w:val="21"/>
                <w:highlight w:val="none"/>
                <w14:textFill>
                  <w14:solidFill>
                    <w14:schemeClr w14:val="tx1"/>
                  </w14:solidFill>
                </w14:textFill>
              </w:rPr>
              <w:instrText xml:space="preserve"> = 5 \* GB3 \* MERGEFORMAT </w:instrText>
            </w:r>
            <w:r>
              <w:rPr>
                <w:rFonts w:ascii="Times New Roman" w:eastAsia="黑体"/>
                <w:snapToGrid w:val="0"/>
                <w:color w:val="000000" w:themeColor="text1"/>
                <w:spacing w:val="-16"/>
                <w:kern w:val="21"/>
                <w:szCs w:val="21"/>
                <w:highlight w:val="none"/>
                <w14:textFill>
                  <w14:solidFill>
                    <w14:schemeClr w14:val="tx1"/>
                  </w14:solidFill>
                </w14:textFill>
              </w:rPr>
              <w:fldChar w:fldCharType="separate"/>
            </w:r>
            <w:r>
              <w:rPr>
                <w:rFonts w:ascii="Times New Roman" w:eastAsia="黑体"/>
                <w:color w:val="000000" w:themeColor="text1"/>
                <w:kern w:val="2"/>
                <w:szCs w:val="21"/>
                <w:highlight w:val="none"/>
                <w14:textFill>
                  <w14:solidFill>
                    <w14:schemeClr w14:val="tx1"/>
                  </w14:solidFill>
                </w14:textFill>
              </w:rPr>
              <w:t>⑤</w:t>
            </w:r>
            <w:r>
              <w:rPr>
                <w:rFonts w:ascii="Times New Roman" w:eastAsia="黑体"/>
                <w:snapToGrid w:val="0"/>
                <w:color w:val="000000" w:themeColor="text1"/>
                <w:spacing w:val="-16"/>
                <w:kern w:val="21"/>
                <w:szCs w:val="21"/>
                <w:highlight w:val="none"/>
                <w14:textFill>
                  <w14:solidFill>
                    <w14:schemeClr w14:val="tx1"/>
                  </w14:solidFill>
                </w14:textFill>
              </w:rPr>
              <w:fldChar w:fldCharType="end"/>
            </w:r>
          </w:p>
        </w:tc>
        <w:tc>
          <w:tcPr>
            <w:tcW w:w="1806" w:type="dxa"/>
            <w:tcMar>
              <w:left w:w="28" w:type="dxa"/>
              <w:right w:w="28" w:type="dxa"/>
            </w:tcMar>
            <w:vAlign w:val="center"/>
          </w:tcPr>
          <w:p w14:paraId="55E7EF30">
            <w:pPr>
              <w:pStyle w:val="49"/>
              <w:spacing w:beforeLines="0" w:afterLines="0" w:line="240" w:lineRule="auto"/>
              <w:rPr>
                <w:rFonts w:ascii="Times New Roman" w:eastAsia="黑体"/>
                <w:snapToGrid w:val="0"/>
                <w:color w:val="000000" w:themeColor="text1"/>
                <w:spacing w:val="-16"/>
                <w:kern w:val="21"/>
                <w:szCs w:val="21"/>
                <w:highlight w:val="none"/>
                <w14:textFill>
                  <w14:solidFill>
                    <w14:schemeClr w14:val="tx1"/>
                  </w14:solidFill>
                </w14:textFill>
              </w:rPr>
            </w:pPr>
            <w:r>
              <w:rPr>
                <w:rFonts w:ascii="Times New Roman" w:eastAsia="黑体"/>
                <w:snapToGrid w:val="0"/>
                <w:color w:val="000000" w:themeColor="text1"/>
                <w:spacing w:val="-16"/>
                <w:kern w:val="21"/>
                <w:szCs w:val="21"/>
                <w:highlight w:val="none"/>
                <w14:textFill>
                  <w14:solidFill>
                    <w14:schemeClr w14:val="tx1"/>
                  </w14:solidFill>
                </w14:textFill>
              </w:rPr>
              <w:t>本项目建成后全厂排放量（固体废物产生量）</w:t>
            </w:r>
            <w:r>
              <w:rPr>
                <w:rFonts w:ascii="Times New Roman" w:eastAsia="黑体"/>
                <w:snapToGrid w:val="0"/>
                <w:color w:val="000000" w:themeColor="text1"/>
                <w:spacing w:val="-16"/>
                <w:kern w:val="21"/>
                <w:szCs w:val="21"/>
                <w:highlight w:val="none"/>
                <w14:textFill>
                  <w14:solidFill>
                    <w14:schemeClr w14:val="tx1"/>
                  </w14:solidFill>
                </w14:textFill>
              </w:rPr>
              <w:fldChar w:fldCharType="begin"/>
            </w:r>
            <w:r>
              <w:rPr>
                <w:rFonts w:ascii="Times New Roman" w:eastAsia="黑体"/>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eastAsia="黑体"/>
                <w:snapToGrid w:val="0"/>
                <w:color w:val="000000" w:themeColor="text1"/>
                <w:spacing w:val="-16"/>
                <w:kern w:val="21"/>
                <w:szCs w:val="21"/>
                <w:highlight w:val="none"/>
                <w14:textFill>
                  <w14:solidFill>
                    <w14:schemeClr w14:val="tx1"/>
                  </w14:solidFill>
                </w14:textFill>
              </w:rPr>
              <w:fldChar w:fldCharType="separate"/>
            </w:r>
            <w:r>
              <w:rPr>
                <w:rFonts w:ascii="Times New Roman" w:eastAsia="黑体"/>
                <w:color w:val="000000" w:themeColor="text1"/>
                <w:kern w:val="2"/>
                <w:szCs w:val="21"/>
                <w:highlight w:val="none"/>
                <w14:textFill>
                  <w14:solidFill>
                    <w14:schemeClr w14:val="tx1"/>
                  </w14:solidFill>
                </w14:textFill>
              </w:rPr>
              <w:t>⑥</w:t>
            </w:r>
            <w:r>
              <w:rPr>
                <w:rFonts w:ascii="Times New Roman" w:eastAsia="黑体"/>
                <w:snapToGrid w:val="0"/>
                <w:color w:val="000000" w:themeColor="text1"/>
                <w:spacing w:val="-16"/>
                <w:kern w:val="21"/>
                <w:szCs w:val="21"/>
                <w:highlight w:val="none"/>
                <w14:textFill>
                  <w14:solidFill>
                    <w14:schemeClr w14:val="tx1"/>
                  </w14:solidFill>
                </w14:textFill>
              </w:rPr>
              <w:fldChar w:fldCharType="end"/>
            </w:r>
          </w:p>
        </w:tc>
        <w:tc>
          <w:tcPr>
            <w:tcW w:w="1361" w:type="dxa"/>
            <w:tcMar>
              <w:left w:w="28" w:type="dxa"/>
              <w:right w:w="28" w:type="dxa"/>
            </w:tcMar>
            <w:vAlign w:val="center"/>
          </w:tcPr>
          <w:p w14:paraId="69EB42D6">
            <w:pPr>
              <w:pStyle w:val="49"/>
              <w:spacing w:beforeLines="0" w:afterLines="0" w:line="240" w:lineRule="auto"/>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变化量</w:t>
            </w: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7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ascii="Times New Roman" w:eastAsia="黑体"/>
                <w:color w:val="000000" w:themeColor="text1"/>
                <w:kern w:val="2"/>
                <w:szCs w:val="21"/>
                <w:highlight w:val="none"/>
                <w14:textFill>
                  <w14:solidFill>
                    <w14:schemeClr w14:val="tx1"/>
                  </w14:solidFill>
                </w14:textFill>
              </w:rPr>
              <w:t>⑦</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r>
      <w:tr w14:paraId="14BA0E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1" w:type="dxa"/>
            <w:vMerge w:val="restart"/>
            <w:vAlign w:val="center"/>
          </w:tcPr>
          <w:p w14:paraId="3D6B2F6E">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废气</w:t>
            </w:r>
          </w:p>
        </w:tc>
        <w:tc>
          <w:tcPr>
            <w:tcW w:w="1455" w:type="dxa"/>
            <w:vAlign w:val="center"/>
          </w:tcPr>
          <w:p w14:paraId="540763A1">
            <w:pPr>
              <w:pStyle w:val="49"/>
              <w:spacing w:beforeLines="0" w:afterLines="0" w:line="240" w:lineRule="auto"/>
              <w:rPr>
                <w:rFonts w:hint="default"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颗粒物</w:t>
            </w:r>
            <w:r>
              <w:rPr>
                <w:rFonts w:hint="eastAsia" w:ascii="Times New Roman"/>
                <w:snapToGrid w:val="0"/>
                <w:color w:val="000000" w:themeColor="text1"/>
                <w:kern w:val="21"/>
                <w:szCs w:val="21"/>
                <w:highlight w:val="none"/>
                <w:lang w:eastAsia="zh-CN"/>
                <w14:textFill>
                  <w14:solidFill>
                    <w14:schemeClr w14:val="tx1"/>
                  </w14:solidFill>
                </w14:textFill>
              </w:rPr>
              <w:t>（</w:t>
            </w:r>
            <w:r>
              <w:rPr>
                <w:rFonts w:hint="eastAsia" w:ascii="Times New Roman"/>
                <w:snapToGrid w:val="0"/>
                <w:color w:val="000000" w:themeColor="text1"/>
                <w:kern w:val="21"/>
                <w:szCs w:val="21"/>
                <w:highlight w:val="none"/>
                <w:lang w:val="en-US" w:eastAsia="zh-CN"/>
                <w14:textFill>
                  <w14:solidFill>
                    <w14:schemeClr w14:val="tx1"/>
                  </w14:solidFill>
                </w14:textFill>
              </w:rPr>
              <w:t>有组织）</w:t>
            </w:r>
          </w:p>
        </w:tc>
        <w:tc>
          <w:tcPr>
            <w:tcW w:w="1680" w:type="dxa"/>
            <w:vAlign w:val="center"/>
          </w:tcPr>
          <w:p w14:paraId="3A860688">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275" w:type="dxa"/>
            <w:vAlign w:val="center"/>
          </w:tcPr>
          <w:p w14:paraId="42B57097">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545" w:type="dxa"/>
            <w:vAlign w:val="center"/>
          </w:tcPr>
          <w:p w14:paraId="45AD1AE2">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650" w:type="dxa"/>
            <w:vAlign w:val="center"/>
          </w:tcPr>
          <w:p w14:paraId="1CED3BA0">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0.06275</w:t>
            </w:r>
            <w:r>
              <w:rPr>
                <w:rFonts w:ascii="Times New Roman"/>
                <w:snapToGrid w:val="0"/>
                <w:color w:val="000000" w:themeColor="text1"/>
                <w:kern w:val="21"/>
                <w:szCs w:val="21"/>
                <w:highlight w:val="none"/>
                <w14:textFill>
                  <w14:solidFill>
                    <w14:schemeClr w14:val="tx1"/>
                  </w14:solidFill>
                </w14:textFill>
              </w:rPr>
              <w:t>t/a</w:t>
            </w:r>
          </w:p>
        </w:tc>
        <w:tc>
          <w:tcPr>
            <w:tcW w:w="1575" w:type="dxa"/>
            <w:vAlign w:val="center"/>
          </w:tcPr>
          <w:p w14:paraId="541535B3">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806" w:type="dxa"/>
            <w:vAlign w:val="center"/>
          </w:tcPr>
          <w:p w14:paraId="4CBA064B">
            <w:pPr>
              <w:pStyle w:val="49"/>
              <w:spacing w:beforeLines="0" w:afterLines="0" w:line="240" w:lineRule="auto"/>
              <w:rPr>
                <w:rFonts w:ascii="Times New Roman"/>
                <w:color w:val="000000" w:themeColor="text1"/>
                <w:highlight w:val="none"/>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0.06275</w:t>
            </w:r>
            <w:r>
              <w:rPr>
                <w:rFonts w:ascii="Times New Roman"/>
                <w:snapToGrid w:val="0"/>
                <w:color w:val="000000" w:themeColor="text1"/>
                <w:kern w:val="21"/>
                <w:szCs w:val="21"/>
                <w:highlight w:val="none"/>
                <w14:textFill>
                  <w14:solidFill>
                    <w14:schemeClr w14:val="tx1"/>
                  </w14:solidFill>
                </w14:textFill>
              </w:rPr>
              <w:t>t/a</w:t>
            </w:r>
          </w:p>
        </w:tc>
        <w:tc>
          <w:tcPr>
            <w:tcW w:w="1361" w:type="dxa"/>
            <w:vAlign w:val="center"/>
          </w:tcPr>
          <w:p w14:paraId="1790452A">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r>
              <w:rPr>
                <w:rFonts w:hint="eastAsia" w:ascii="Times New Roman"/>
                <w:snapToGrid w:val="0"/>
                <w:color w:val="000000" w:themeColor="text1"/>
                <w:kern w:val="21"/>
                <w:szCs w:val="21"/>
                <w:highlight w:val="none"/>
                <w:lang w:val="en-US" w:eastAsia="zh-CN"/>
                <w14:textFill>
                  <w14:solidFill>
                    <w14:schemeClr w14:val="tx1"/>
                  </w14:solidFill>
                </w14:textFill>
              </w:rPr>
              <w:t>0.06275</w:t>
            </w:r>
            <w:r>
              <w:rPr>
                <w:rFonts w:ascii="Times New Roman"/>
                <w:snapToGrid w:val="0"/>
                <w:color w:val="000000" w:themeColor="text1"/>
                <w:kern w:val="21"/>
                <w:szCs w:val="21"/>
                <w:highlight w:val="none"/>
                <w14:textFill>
                  <w14:solidFill>
                    <w14:schemeClr w14:val="tx1"/>
                  </w14:solidFill>
                </w14:textFill>
              </w:rPr>
              <w:t>t/a</w:t>
            </w:r>
          </w:p>
        </w:tc>
      </w:tr>
      <w:tr w14:paraId="1FEE5F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1" w:type="dxa"/>
            <w:vMerge w:val="continue"/>
            <w:vAlign w:val="center"/>
          </w:tcPr>
          <w:p w14:paraId="45503F64">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455" w:type="dxa"/>
            <w:vAlign w:val="center"/>
          </w:tcPr>
          <w:p w14:paraId="329CADC7">
            <w:pPr>
              <w:pStyle w:val="49"/>
              <w:spacing w:beforeLines="0" w:afterLines="0" w:line="240" w:lineRule="auto"/>
              <w:rPr>
                <w:rFonts w:hint="default" w:ascii="Times New Roman" w:eastAsia="宋体"/>
                <w:snapToGrid w:val="0"/>
                <w:color w:val="000000" w:themeColor="text1"/>
                <w:kern w:val="21"/>
                <w:szCs w:val="21"/>
                <w:highlight w:val="none"/>
                <w:lang w:val="en-US" w:eastAsia="zh-CN"/>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颗粒物（无组织）</w:t>
            </w:r>
          </w:p>
        </w:tc>
        <w:tc>
          <w:tcPr>
            <w:tcW w:w="1680" w:type="dxa"/>
            <w:vAlign w:val="center"/>
          </w:tcPr>
          <w:p w14:paraId="3FC38BF3">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275" w:type="dxa"/>
            <w:vAlign w:val="center"/>
          </w:tcPr>
          <w:p w14:paraId="4BDCCF41">
            <w:pPr>
              <w:jc w:val="center"/>
              <w:rPr>
                <w:snapToGrid w:val="0"/>
                <w:color w:val="000000" w:themeColor="text1"/>
                <w:kern w:val="21"/>
                <w:szCs w:val="21"/>
                <w:highlight w:val="none"/>
                <w14:textFill>
                  <w14:solidFill>
                    <w14:schemeClr w14:val="tx1"/>
                  </w14:solidFill>
                </w14:textFill>
              </w:rPr>
            </w:pPr>
          </w:p>
        </w:tc>
        <w:tc>
          <w:tcPr>
            <w:tcW w:w="1545" w:type="dxa"/>
            <w:vAlign w:val="center"/>
          </w:tcPr>
          <w:p w14:paraId="7107D29E">
            <w:pPr>
              <w:jc w:val="center"/>
              <w:rPr>
                <w:snapToGrid w:val="0"/>
                <w:color w:val="000000" w:themeColor="text1"/>
                <w:kern w:val="21"/>
                <w:szCs w:val="21"/>
                <w:highlight w:val="none"/>
                <w14:textFill>
                  <w14:solidFill>
                    <w14:schemeClr w14:val="tx1"/>
                  </w14:solidFill>
                </w14:textFill>
              </w:rPr>
            </w:pPr>
          </w:p>
        </w:tc>
        <w:tc>
          <w:tcPr>
            <w:tcW w:w="1650" w:type="dxa"/>
            <w:vAlign w:val="center"/>
          </w:tcPr>
          <w:p w14:paraId="5427E7B7">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40.18</w:t>
            </w:r>
            <w:r>
              <w:rPr>
                <w:rFonts w:ascii="Times New Roman"/>
                <w:snapToGrid w:val="0"/>
                <w:color w:val="000000" w:themeColor="text1"/>
                <w:kern w:val="21"/>
                <w:szCs w:val="21"/>
                <w:highlight w:val="none"/>
                <w14:textFill>
                  <w14:solidFill>
                    <w14:schemeClr w14:val="tx1"/>
                  </w14:solidFill>
                </w14:textFill>
              </w:rPr>
              <w:t>t/a</w:t>
            </w:r>
          </w:p>
        </w:tc>
        <w:tc>
          <w:tcPr>
            <w:tcW w:w="1575" w:type="dxa"/>
            <w:vAlign w:val="center"/>
          </w:tcPr>
          <w:p w14:paraId="19F13C1D">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806" w:type="dxa"/>
            <w:vAlign w:val="center"/>
          </w:tcPr>
          <w:p w14:paraId="569BD5D6">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lang w:val="en-US" w:eastAsia="zh-CN"/>
                <w14:textFill>
                  <w14:solidFill>
                    <w14:schemeClr w14:val="tx1"/>
                  </w14:solidFill>
                </w14:textFill>
              </w:rPr>
              <w:t>40.18</w:t>
            </w:r>
            <w:r>
              <w:rPr>
                <w:rFonts w:ascii="Times New Roman"/>
                <w:snapToGrid w:val="0"/>
                <w:color w:val="000000" w:themeColor="text1"/>
                <w:kern w:val="21"/>
                <w:szCs w:val="21"/>
                <w:highlight w:val="none"/>
                <w14:textFill>
                  <w14:solidFill>
                    <w14:schemeClr w14:val="tx1"/>
                  </w14:solidFill>
                </w14:textFill>
              </w:rPr>
              <w:t>t/a</w:t>
            </w:r>
          </w:p>
        </w:tc>
        <w:tc>
          <w:tcPr>
            <w:tcW w:w="1361" w:type="dxa"/>
            <w:vAlign w:val="center"/>
          </w:tcPr>
          <w:p w14:paraId="33676083">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lang w:val="en-US" w:eastAsia="zh-CN"/>
                <w14:textFill>
                  <w14:solidFill>
                    <w14:schemeClr w14:val="tx1"/>
                  </w14:solidFill>
                </w14:textFill>
              </w:rPr>
              <w:t>+</w:t>
            </w:r>
            <w:r>
              <w:rPr>
                <w:rFonts w:hint="eastAsia" w:ascii="Times New Roman"/>
                <w:snapToGrid w:val="0"/>
                <w:color w:val="000000" w:themeColor="text1"/>
                <w:kern w:val="21"/>
                <w:szCs w:val="21"/>
                <w:highlight w:val="none"/>
                <w:lang w:val="en-US" w:eastAsia="zh-CN"/>
                <w14:textFill>
                  <w14:solidFill>
                    <w14:schemeClr w14:val="tx1"/>
                  </w14:solidFill>
                </w14:textFill>
              </w:rPr>
              <w:t>40.18</w:t>
            </w:r>
            <w:r>
              <w:rPr>
                <w:rFonts w:ascii="Times New Roman"/>
                <w:snapToGrid w:val="0"/>
                <w:color w:val="000000" w:themeColor="text1"/>
                <w:kern w:val="21"/>
                <w:szCs w:val="21"/>
                <w:highlight w:val="none"/>
                <w14:textFill>
                  <w14:solidFill>
                    <w14:schemeClr w14:val="tx1"/>
                  </w14:solidFill>
                </w14:textFill>
              </w:rPr>
              <w:t>t/a</w:t>
            </w:r>
          </w:p>
        </w:tc>
      </w:tr>
      <w:tr w14:paraId="4F8F5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441" w:type="dxa"/>
            <w:vAlign w:val="center"/>
          </w:tcPr>
          <w:p w14:paraId="40CC730A">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废水</w:t>
            </w:r>
          </w:p>
        </w:tc>
        <w:tc>
          <w:tcPr>
            <w:tcW w:w="1455" w:type="dxa"/>
            <w:vAlign w:val="center"/>
          </w:tcPr>
          <w:p w14:paraId="7E66153B">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snapToGrid w:val="0"/>
                <w:color w:val="000000" w:themeColor="text1"/>
                <w:kern w:val="21"/>
                <w:szCs w:val="21"/>
                <w:highlight w:val="none"/>
                <w14:textFill>
                  <w14:solidFill>
                    <w14:schemeClr w14:val="tx1"/>
                  </w14:solidFill>
                </w14:textFill>
              </w:rPr>
              <w:t>/</w:t>
            </w:r>
          </w:p>
        </w:tc>
        <w:tc>
          <w:tcPr>
            <w:tcW w:w="1680" w:type="dxa"/>
            <w:vAlign w:val="center"/>
          </w:tcPr>
          <w:p w14:paraId="2D496707">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275" w:type="dxa"/>
            <w:vAlign w:val="center"/>
          </w:tcPr>
          <w:p w14:paraId="74025547">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545" w:type="dxa"/>
            <w:vAlign w:val="center"/>
          </w:tcPr>
          <w:p w14:paraId="188E678D">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650" w:type="dxa"/>
            <w:vAlign w:val="center"/>
          </w:tcPr>
          <w:p w14:paraId="2A274F49">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575" w:type="dxa"/>
            <w:vAlign w:val="center"/>
          </w:tcPr>
          <w:p w14:paraId="41196CCD">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806" w:type="dxa"/>
            <w:vAlign w:val="center"/>
          </w:tcPr>
          <w:p w14:paraId="076FC0AE">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361" w:type="dxa"/>
            <w:vAlign w:val="center"/>
          </w:tcPr>
          <w:p w14:paraId="653F7C45">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r>
      <w:tr w14:paraId="102AC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1" w:type="dxa"/>
            <w:vMerge w:val="restart"/>
            <w:vAlign w:val="center"/>
          </w:tcPr>
          <w:p w14:paraId="4839BE42">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一般工业</w:t>
            </w:r>
          </w:p>
          <w:p w14:paraId="6A44D0DA">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固体废物</w:t>
            </w:r>
          </w:p>
        </w:tc>
        <w:tc>
          <w:tcPr>
            <w:tcW w:w="1455" w:type="dxa"/>
            <w:vAlign w:val="center"/>
          </w:tcPr>
          <w:p w14:paraId="6D0D2418">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不合格产品</w:t>
            </w:r>
          </w:p>
        </w:tc>
        <w:tc>
          <w:tcPr>
            <w:tcW w:w="1680" w:type="dxa"/>
            <w:vAlign w:val="center"/>
          </w:tcPr>
          <w:p w14:paraId="2C2E91F3">
            <w:pPr>
              <w:jc w:val="center"/>
              <w:rPr>
                <w:snapToGrid w:val="0"/>
                <w:color w:val="000000" w:themeColor="text1"/>
                <w:kern w:val="2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1275" w:type="dxa"/>
            <w:vAlign w:val="center"/>
          </w:tcPr>
          <w:p w14:paraId="11A1DA0B">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545" w:type="dxa"/>
            <w:vAlign w:val="center"/>
          </w:tcPr>
          <w:p w14:paraId="09368568">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650" w:type="dxa"/>
            <w:vAlign w:val="center"/>
          </w:tcPr>
          <w:p w14:paraId="0BA89D1C">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138</w:t>
            </w:r>
            <w:r>
              <w:rPr>
                <w:rFonts w:ascii="Times New Roman"/>
                <w:color w:val="000000" w:themeColor="text1"/>
                <w:szCs w:val="21"/>
                <w:highlight w:val="none"/>
                <w14:textFill>
                  <w14:solidFill>
                    <w14:schemeClr w14:val="tx1"/>
                  </w14:solidFill>
                </w14:textFill>
              </w:rPr>
              <w:t>t/a</w:t>
            </w:r>
          </w:p>
        </w:tc>
        <w:tc>
          <w:tcPr>
            <w:tcW w:w="1575" w:type="dxa"/>
            <w:vAlign w:val="center"/>
          </w:tcPr>
          <w:p w14:paraId="5E9FE2BC">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806" w:type="dxa"/>
            <w:vAlign w:val="center"/>
          </w:tcPr>
          <w:p w14:paraId="36CA1C8A">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138</w:t>
            </w:r>
            <w:r>
              <w:rPr>
                <w:rFonts w:ascii="Times New Roman"/>
                <w:color w:val="000000" w:themeColor="text1"/>
                <w:szCs w:val="21"/>
                <w:highlight w:val="none"/>
                <w14:textFill>
                  <w14:solidFill>
                    <w14:schemeClr w14:val="tx1"/>
                  </w14:solidFill>
                </w14:textFill>
              </w:rPr>
              <w:t>t/a</w:t>
            </w:r>
          </w:p>
        </w:tc>
        <w:tc>
          <w:tcPr>
            <w:tcW w:w="1361" w:type="dxa"/>
            <w:vAlign w:val="center"/>
          </w:tcPr>
          <w:p w14:paraId="02B5B699">
            <w:pPr>
              <w:jc w:val="center"/>
              <w:rPr>
                <w:snapToGrid w:val="0"/>
                <w:color w:val="000000" w:themeColor="text1"/>
                <w:kern w:val="2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r>
              <w:rPr>
                <w:rFonts w:hint="eastAsia" w:ascii="Times New Roman"/>
                <w:color w:val="000000" w:themeColor="text1"/>
                <w:szCs w:val="21"/>
                <w:highlight w:val="none"/>
                <w:lang w:val="en-US" w:eastAsia="zh-CN"/>
                <w14:textFill>
                  <w14:solidFill>
                    <w14:schemeClr w14:val="tx1"/>
                  </w14:solidFill>
                </w14:textFill>
              </w:rPr>
              <w:t>138</w:t>
            </w:r>
            <w:r>
              <w:rPr>
                <w:rFonts w:ascii="Times New Roman"/>
                <w:color w:val="000000" w:themeColor="text1"/>
                <w:szCs w:val="21"/>
                <w:highlight w:val="none"/>
                <w14:textFill>
                  <w14:solidFill>
                    <w14:schemeClr w14:val="tx1"/>
                  </w14:solidFill>
                </w14:textFill>
              </w:rPr>
              <w:t>t/a</w:t>
            </w:r>
          </w:p>
        </w:tc>
      </w:tr>
      <w:tr w14:paraId="40EA5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1" w:type="dxa"/>
            <w:vMerge w:val="continue"/>
            <w:vAlign w:val="center"/>
          </w:tcPr>
          <w:p w14:paraId="53C52A8D">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455" w:type="dxa"/>
            <w:vAlign w:val="center"/>
          </w:tcPr>
          <w:p w14:paraId="4DFE5590">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除尘灰</w:t>
            </w:r>
          </w:p>
        </w:tc>
        <w:tc>
          <w:tcPr>
            <w:tcW w:w="1680" w:type="dxa"/>
            <w:vAlign w:val="center"/>
          </w:tcPr>
          <w:p w14:paraId="31255632">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275" w:type="dxa"/>
            <w:vAlign w:val="center"/>
          </w:tcPr>
          <w:p w14:paraId="006890B0">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545" w:type="dxa"/>
            <w:vAlign w:val="center"/>
          </w:tcPr>
          <w:p w14:paraId="46835F38">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650" w:type="dxa"/>
            <w:vAlign w:val="center"/>
          </w:tcPr>
          <w:p w14:paraId="38E8B26D">
            <w:pPr>
              <w:pStyle w:val="49"/>
              <w:spacing w:beforeLines="0" w:afterLines="0" w:line="240" w:lineRule="auto"/>
              <w:rPr>
                <w:rFonts w:ascii="Times New Roman"/>
                <w:color w:val="000000" w:themeColor="text1"/>
                <w:highlight w:val="none"/>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14.855</w:t>
            </w:r>
            <w:r>
              <w:rPr>
                <w:rFonts w:ascii="Times New Roman"/>
                <w:color w:val="000000" w:themeColor="text1"/>
                <w:szCs w:val="21"/>
                <w:highlight w:val="none"/>
                <w14:textFill>
                  <w14:solidFill>
                    <w14:schemeClr w14:val="tx1"/>
                  </w14:solidFill>
                </w14:textFill>
              </w:rPr>
              <w:t>t/a</w:t>
            </w:r>
          </w:p>
        </w:tc>
        <w:tc>
          <w:tcPr>
            <w:tcW w:w="1575" w:type="dxa"/>
            <w:vAlign w:val="center"/>
          </w:tcPr>
          <w:p w14:paraId="5211C19C">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806" w:type="dxa"/>
            <w:vAlign w:val="center"/>
          </w:tcPr>
          <w:p w14:paraId="0E3D587D">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14.855</w:t>
            </w:r>
            <w:r>
              <w:rPr>
                <w:rFonts w:ascii="Times New Roman"/>
                <w:color w:val="000000" w:themeColor="text1"/>
                <w:szCs w:val="21"/>
                <w:highlight w:val="none"/>
                <w14:textFill>
                  <w14:solidFill>
                    <w14:schemeClr w14:val="tx1"/>
                  </w14:solidFill>
                </w14:textFill>
              </w:rPr>
              <w:t>t/a</w:t>
            </w:r>
          </w:p>
        </w:tc>
        <w:tc>
          <w:tcPr>
            <w:tcW w:w="1361" w:type="dxa"/>
            <w:vAlign w:val="center"/>
          </w:tcPr>
          <w:p w14:paraId="62786C94">
            <w:pPr>
              <w:jc w:val="center"/>
              <w:rPr>
                <w:snapToGrid w:val="0"/>
                <w:color w:val="000000" w:themeColor="text1"/>
                <w:kern w:val="2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r>
              <w:rPr>
                <w:rFonts w:hint="eastAsia" w:ascii="Times New Roman"/>
                <w:color w:val="000000" w:themeColor="text1"/>
                <w:szCs w:val="21"/>
                <w:highlight w:val="none"/>
                <w:lang w:val="en-US" w:eastAsia="zh-CN"/>
                <w14:textFill>
                  <w14:solidFill>
                    <w14:schemeClr w14:val="tx1"/>
                  </w14:solidFill>
                </w14:textFill>
              </w:rPr>
              <w:t>14.855</w:t>
            </w:r>
            <w:r>
              <w:rPr>
                <w:rFonts w:ascii="Times New Roman"/>
                <w:color w:val="000000" w:themeColor="text1"/>
                <w:szCs w:val="21"/>
                <w:highlight w:val="none"/>
                <w14:textFill>
                  <w14:solidFill>
                    <w14:schemeClr w14:val="tx1"/>
                  </w14:solidFill>
                </w14:textFill>
              </w:rPr>
              <w:t>t/a</w:t>
            </w:r>
          </w:p>
        </w:tc>
      </w:tr>
      <w:tr w14:paraId="2989B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41" w:type="dxa"/>
            <w:vMerge w:val="continue"/>
            <w:vAlign w:val="center"/>
          </w:tcPr>
          <w:p w14:paraId="79975BCB">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p>
        </w:tc>
        <w:tc>
          <w:tcPr>
            <w:tcW w:w="1455" w:type="dxa"/>
            <w:vAlign w:val="center"/>
          </w:tcPr>
          <w:p w14:paraId="3EA96572">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钢棒切割渣</w:t>
            </w:r>
          </w:p>
        </w:tc>
        <w:tc>
          <w:tcPr>
            <w:tcW w:w="1680" w:type="dxa"/>
            <w:vAlign w:val="center"/>
          </w:tcPr>
          <w:p w14:paraId="03A59312">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275" w:type="dxa"/>
            <w:vAlign w:val="center"/>
          </w:tcPr>
          <w:p w14:paraId="0207C60D">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545" w:type="dxa"/>
            <w:vAlign w:val="center"/>
          </w:tcPr>
          <w:p w14:paraId="7F459026">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650" w:type="dxa"/>
            <w:vAlign w:val="center"/>
          </w:tcPr>
          <w:p w14:paraId="2AB80130">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bCs/>
                <w:color w:val="000000" w:themeColor="text1"/>
                <w:spacing w:val="-4"/>
                <w:szCs w:val="21"/>
                <w:highlight w:val="none"/>
                <w14:textFill>
                  <w14:solidFill>
                    <w14:schemeClr w14:val="tx1"/>
                  </w14:solidFill>
                </w14:textFill>
              </w:rPr>
              <w:t>21.82t/a</w:t>
            </w:r>
          </w:p>
        </w:tc>
        <w:tc>
          <w:tcPr>
            <w:tcW w:w="1575" w:type="dxa"/>
            <w:vAlign w:val="center"/>
          </w:tcPr>
          <w:p w14:paraId="701250E5">
            <w:pPr>
              <w:jc w:val="center"/>
              <w:rPr>
                <w:snapToGrid w:val="0"/>
                <w:color w:val="000000" w:themeColor="text1"/>
                <w:kern w:val="21"/>
                <w:szCs w:val="21"/>
                <w:highlight w:val="none"/>
                <w14:textFill>
                  <w14:solidFill>
                    <w14:schemeClr w14:val="tx1"/>
                  </w14:solidFill>
                </w14:textFill>
              </w:rPr>
            </w:pPr>
            <w:r>
              <w:rPr>
                <w:rFonts w:hint="eastAsia"/>
                <w:snapToGrid w:val="0"/>
                <w:color w:val="000000" w:themeColor="text1"/>
                <w:kern w:val="21"/>
                <w:szCs w:val="21"/>
                <w:highlight w:val="none"/>
                <w14:textFill>
                  <w14:solidFill>
                    <w14:schemeClr w14:val="tx1"/>
                  </w14:solidFill>
                </w14:textFill>
              </w:rPr>
              <w:t>/</w:t>
            </w:r>
          </w:p>
        </w:tc>
        <w:tc>
          <w:tcPr>
            <w:tcW w:w="1806" w:type="dxa"/>
            <w:vAlign w:val="center"/>
          </w:tcPr>
          <w:p w14:paraId="09B665D1">
            <w:pPr>
              <w:pStyle w:val="49"/>
              <w:spacing w:beforeLines="0" w:afterLines="0" w:line="240" w:lineRule="auto"/>
              <w:rPr>
                <w:rFonts w:ascii="Times New Roman"/>
                <w:snapToGrid w:val="0"/>
                <w:color w:val="000000" w:themeColor="text1"/>
                <w:kern w:val="21"/>
                <w:szCs w:val="21"/>
                <w:highlight w:val="none"/>
                <w14:textFill>
                  <w14:solidFill>
                    <w14:schemeClr w14:val="tx1"/>
                  </w14:solidFill>
                </w14:textFill>
              </w:rPr>
            </w:pPr>
            <w:r>
              <w:rPr>
                <w:rFonts w:ascii="Times New Roman"/>
                <w:bCs/>
                <w:color w:val="000000" w:themeColor="text1"/>
                <w:spacing w:val="-4"/>
                <w:szCs w:val="21"/>
                <w:highlight w:val="none"/>
                <w14:textFill>
                  <w14:solidFill>
                    <w14:schemeClr w14:val="tx1"/>
                  </w14:solidFill>
                </w14:textFill>
              </w:rPr>
              <w:t>21.82t/a</w:t>
            </w:r>
          </w:p>
        </w:tc>
        <w:tc>
          <w:tcPr>
            <w:tcW w:w="1361" w:type="dxa"/>
            <w:vAlign w:val="center"/>
          </w:tcPr>
          <w:p w14:paraId="356CC9E2">
            <w:pPr>
              <w:jc w:val="center"/>
              <w:rPr>
                <w:snapToGrid w:val="0"/>
                <w:color w:val="000000" w:themeColor="text1"/>
                <w:kern w:val="21"/>
                <w:szCs w:val="21"/>
                <w:highlight w:val="none"/>
                <w14:textFill>
                  <w14:solidFill>
                    <w14:schemeClr w14:val="tx1"/>
                  </w14:solidFill>
                </w14:textFill>
              </w:rPr>
            </w:pPr>
            <w:r>
              <w:rPr>
                <w:rFonts w:hint="eastAsia"/>
                <w:bCs/>
                <w:color w:val="000000" w:themeColor="text1"/>
                <w:spacing w:val="-4"/>
                <w:szCs w:val="21"/>
                <w:highlight w:val="none"/>
                <w:lang w:val="en-US" w:eastAsia="zh-CN"/>
                <w14:textFill>
                  <w14:solidFill>
                    <w14:schemeClr w14:val="tx1"/>
                  </w14:solidFill>
                </w14:textFill>
              </w:rPr>
              <w:t>+</w:t>
            </w:r>
            <w:r>
              <w:rPr>
                <w:rFonts w:ascii="Times New Roman"/>
                <w:bCs/>
                <w:color w:val="000000" w:themeColor="text1"/>
                <w:spacing w:val="-4"/>
                <w:szCs w:val="21"/>
                <w:highlight w:val="none"/>
                <w14:textFill>
                  <w14:solidFill>
                    <w14:schemeClr w14:val="tx1"/>
                  </w14:solidFill>
                </w14:textFill>
              </w:rPr>
              <w:t>21.82t/a</w:t>
            </w:r>
          </w:p>
        </w:tc>
      </w:tr>
      <w:tr w14:paraId="564BBB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96" w:type="dxa"/>
            <w:gridSpan w:val="2"/>
            <w:vAlign w:val="center"/>
          </w:tcPr>
          <w:p w14:paraId="39C91349">
            <w:pPr>
              <w:pStyle w:val="49"/>
              <w:spacing w:beforeLines="0" w:afterLines="0" w:line="240" w:lineRule="auto"/>
              <w:rPr>
                <w:rFonts w:hint="default" w:ascii="Times New Roman" w:eastAsia="宋体"/>
                <w:color w:val="000000" w:themeColor="text1"/>
                <w:szCs w:val="21"/>
                <w:highlight w:val="none"/>
                <w:lang w:val="en-US" w:eastAsia="zh-CN"/>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生活垃圾</w:t>
            </w:r>
          </w:p>
        </w:tc>
        <w:tc>
          <w:tcPr>
            <w:tcW w:w="1680" w:type="dxa"/>
            <w:vAlign w:val="center"/>
          </w:tcPr>
          <w:p w14:paraId="7711F7AF">
            <w:pPr>
              <w:jc w:val="center"/>
              <w:rPr>
                <w:rFonts w:hint="eastAsia"/>
                <w:snapToGrid w:val="0"/>
                <w:color w:val="000000" w:themeColor="text1"/>
                <w:kern w:val="21"/>
                <w:szCs w:val="21"/>
                <w:highlight w:val="none"/>
                <w14:textFill>
                  <w14:solidFill>
                    <w14:schemeClr w14:val="tx1"/>
                  </w14:solidFill>
                </w14:textFill>
              </w:rPr>
            </w:pPr>
          </w:p>
        </w:tc>
        <w:tc>
          <w:tcPr>
            <w:tcW w:w="1275" w:type="dxa"/>
            <w:vAlign w:val="center"/>
          </w:tcPr>
          <w:p w14:paraId="7A3CC453">
            <w:pPr>
              <w:jc w:val="center"/>
              <w:rPr>
                <w:snapToGrid w:val="0"/>
                <w:color w:val="000000" w:themeColor="text1"/>
                <w:kern w:val="21"/>
                <w:szCs w:val="21"/>
                <w:highlight w:val="none"/>
                <w14:textFill>
                  <w14:solidFill>
                    <w14:schemeClr w14:val="tx1"/>
                  </w14:solidFill>
                </w14:textFill>
              </w:rPr>
            </w:pPr>
          </w:p>
        </w:tc>
        <w:tc>
          <w:tcPr>
            <w:tcW w:w="1545" w:type="dxa"/>
            <w:vAlign w:val="center"/>
          </w:tcPr>
          <w:p w14:paraId="59B4E902">
            <w:pPr>
              <w:jc w:val="center"/>
              <w:rPr>
                <w:snapToGrid w:val="0"/>
                <w:color w:val="000000" w:themeColor="text1"/>
                <w:kern w:val="21"/>
                <w:szCs w:val="21"/>
                <w:highlight w:val="none"/>
                <w14:textFill>
                  <w14:solidFill>
                    <w14:schemeClr w14:val="tx1"/>
                  </w14:solidFill>
                </w14:textFill>
              </w:rPr>
            </w:pPr>
          </w:p>
        </w:tc>
        <w:tc>
          <w:tcPr>
            <w:tcW w:w="1650" w:type="dxa"/>
            <w:vAlign w:val="center"/>
          </w:tcPr>
          <w:p w14:paraId="238CF0F6">
            <w:pPr>
              <w:pStyle w:val="49"/>
              <w:spacing w:beforeLines="0" w:afterLines="0" w:line="240" w:lineRule="auto"/>
              <w:rPr>
                <w:rFonts w:hint="default" w:ascii="Times New Roman" w:eastAsia="宋体"/>
                <w:bCs/>
                <w:color w:val="000000" w:themeColor="text1"/>
                <w:spacing w:val="-4"/>
                <w:szCs w:val="21"/>
                <w:highlight w:val="none"/>
                <w:lang w:val="en-US" w:eastAsia="zh-CN"/>
                <w14:textFill>
                  <w14:solidFill>
                    <w14:schemeClr w14:val="tx1"/>
                  </w14:solidFill>
                </w14:textFill>
              </w:rPr>
            </w:pPr>
            <w:r>
              <w:rPr>
                <w:rFonts w:hint="eastAsia" w:ascii="Times New Roman"/>
                <w:bCs/>
                <w:color w:val="000000" w:themeColor="text1"/>
                <w:spacing w:val="-4"/>
                <w:szCs w:val="21"/>
                <w:highlight w:val="none"/>
                <w:lang w:val="en-US" w:eastAsia="zh-CN"/>
                <w14:textFill>
                  <w14:solidFill>
                    <w14:schemeClr w14:val="tx1"/>
                  </w14:solidFill>
                </w14:textFill>
              </w:rPr>
              <w:t>1.5</w:t>
            </w:r>
          </w:p>
        </w:tc>
        <w:tc>
          <w:tcPr>
            <w:tcW w:w="1575" w:type="dxa"/>
            <w:vAlign w:val="center"/>
          </w:tcPr>
          <w:p w14:paraId="3E81FE97">
            <w:pPr>
              <w:jc w:val="center"/>
              <w:rPr>
                <w:snapToGrid w:val="0"/>
                <w:color w:val="000000" w:themeColor="text1"/>
                <w:kern w:val="21"/>
                <w:szCs w:val="21"/>
                <w:highlight w:val="none"/>
                <w14:textFill>
                  <w14:solidFill>
                    <w14:schemeClr w14:val="tx1"/>
                  </w14:solidFill>
                </w14:textFill>
              </w:rPr>
            </w:pPr>
          </w:p>
        </w:tc>
        <w:tc>
          <w:tcPr>
            <w:tcW w:w="1806" w:type="dxa"/>
            <w:vAlign w:val="center"/>
          </w:tcPr>
          <w:p w14:paraId="4916CAE9">
            <w:pPr>
              <w:pStyle w:val="49"/>
              <w:spacing w:beforeLines="0" w:afterLines="0" w:line="240" w:lineRule="auto"/>
              <w:rPr>
                <w:rFonts w:ascii="Times New Roman"/>
                <w:bCs/>
                <w:color w:val="000000" w:themeColor="text1"/>
                <w:spacing w:val="-4"/>
                <w:szCs w:val="21"/>
                <w:highlight w:val="none"/>
                <w14:textFill>
                  <w14:solidFill>
                    <w14:schemeClr w14:val="tx1"/>
                  </w14:solidFill>
                </w14:textFill>
              </w:rPr>
            </w:pPr>
            <w:r>
              <w:rPr>
                <w:rFonts w:ascii="Times New Roman"/>
                <w:bCs/>
                <w:color w:val="000000" w:themeColor="text1"/>
                <w:spacing w:val="-4"/>
                <w:szCs w:val="21"/>
                <w:highlight w:val="none"/>
                <w14:textFill>
                  <w14:solidFill>
                    <w14:schemeClr w14:val="tx1"/>
                  </w14:solidFill>
                </w14:textFill>
              </w:rPr>
              <w:t>1.5t/a</w:t>
            </w:r>
          </w:p>
        </w:tc>
        <w:tc>
          <w:tcPr>
            <w:tcW w:w="1361" w:type="dxa"/>
            <w:vAlign w:val="center"/>
          </w:tcPr>
          <w:p w14:paraId="613FF8CA">
            <w:pPr>
              <w:jc w:val="center"/>
              <w:rPr>
                <w:snapToGrid w:val="0"/>
                <w:color w:val="000000" w:themeColor="text1"/>
                <w:kern w:val="21"/>
                <w:szCs w:val="21"/>
                <w:highlight w:val="none"/>
                <w14:textFill>
                  <w14:solidFill>
                    <w14:schemeClr w14:val="tx1"/>
                  </w14:solidFill>
                </w14:textFill>
              </w:rPr>
            </w:pPr>
            <w:r>
              <w:rPr>
                <w:rFonts w:hint="eastAsia"/>
                <w:bCs/>
                <w:color w:val="000000" w:themeColor="text1"/>
                <w:spacing w:val="-4"/>
                <w:szCs w:val="21"/>
                <w:highlight w:val="none"/>
                <w:lang w:val="en-US" w:eastAsia="zh-CN"/>
                <w14:textFill>
                  <w14:solidFill>
                    <w14:schemeClr w14:val="tx1"/>
                  </w14:solidFill>
                </w14:textFill>
              </w:rPr>
              <w:t>+</w:t>
            </w:r>
            <w:r>
              <w:rPr>
                <w:rFonts w:ascii="Times New Roman"/>
                <w:bCs/>
                <w:color w:val="000000" w:themeColor="text1"/>
                <w:spacing w:val="-4"/>
                <w:szCs w:val="21"/>
                <w:highlight w:val="none"/>
                <w14:textFill>
                  <w14:solidFill>
                    <w14:schemeClr w14:val="tx1"/>
                  </w14:solidFill>
                </w14:textFill>
              </w:rPr>
              <w:t>1.5t/a</w:t>
            </w:r>
          </w:p>
        </w:tc>
      </w:tr>
    </w:tbl>
    <w:p w14:paraId="0D3AEE68">
      <w:pPr>
        <w:pStyle w:val="49"/>
        <w:spacing w:before="192" w:beforeLines="80" w:after="24"/>
        <w:jc w:val="left"/>
        <w:rPr>
          <w:rFonts w:hint="eastAsia" w:hAnsi="宋体"/>
          <w:snapToGrid w:val="0"/>
          <w:color w:val="000000" w:themeColor="text1"/>
          <w:spacing w:val="-6"/>
          <w:kern w:val="21"/>
          <w:szCs w:val="21"/>
          <w:highlight w:val="none"/>
          <w14:textFill>
            <w14:solidFill>
              <w14:schemeClr w14:val="tx1"/>
            </w14:solidFill>
          </w14:textFill>
        </w:rPr>
      </w:pPr>
      <w:r>
        <w:rPr>
          <w:rFonts w:hAnsi="宋体"/>
          <w:snapToGrid w:val="0"/>
          <w:color w:val="000000" w:themeColor="text1"/>
          <w:kern w:val="21"/>
          <w:szCs w:val="21"/>
          <w:highlight w:val="none"/>
          <w14:textFill>
            <w14:solidFill>
              <w14:schemeClr w14:val="tx1"/>
            </w14:solidFill>
          </w14:textFill>
        </w:rPr>
        <w:t>注：</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⑥</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①</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3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③</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4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④</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5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⑤</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7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⑦</w:t>
      </w:r>
      <w:r>
        <w:rPr>
          <w:rFonts w:hAnsi="宋体"/>
          <w:snapToGrid w:val="0"/>
          <w:color w:val="000000" w:themeColor="text1"/>
          <w:spacing w:val="-6"/>
          <w:kern w:val="21"/>
          <w:szCs w:val="21"/>
          <w:highlight w:val="none"/>
          <w14:textFill>
            <w14:solidFill>
              <w14:schemeClr w14:val="tx1"/>
            </w14:solidFill>
          </w14:textFill>
        </w:rPr>
        <w:fldChar w:fldCharType="end"/>
      </w:r>
      <w:r>
        <w:rPr>
          <w:rFonts w:hAnsi="宋体"/>
          <w:snapToGrid w:val="0"/>
          <w:color w:val="000000" w:themeColor="text1"/>
          <w:spacing w:val="-6"/>
          <w:kern w:val="21"/>
          <w:szCs w:val="21"/>
          <w:highlight w:val="none"/>
          <w14:textFill>
            <w14:solidFill>
              <w14:schemeClr w14:val="tx1"/>
            </w14:solidFill>
          </w14:textFill>
        </w:rPr>
        <w:t>=</w:t>
      </w:r>
      <w:r>
        <w:rPr>
          <w:rFonts w:hAnsi="宋体"/>
          <w:snapToGrid w:val="0"/>
          <w:color w:val="000000" w:themeColor="text1"/>
          <w:spacing w:val="-16"/>
          <w:kern w:val="21"/>
          <w:szCs w:val="21"/>
          <w:highlight w:val="none"/>
          <w14:textFill>
            <w14:solidFill>
              <w14:schemeClr w14:val="tx1"/>
            </w14:solidFill>
          </w14:textFill>
        </w:rPr>
        <w:fldChar w:fldCharType="begin"/>
      </w:r>
      <w:r>
        <w:rPr>
          <w:rFonts w:hAnsi="宋体"/>
          <w:snapToGrid w:val="0"/>
          <w:color w:val="000000" w:themeColor="text1"/>
          <w:spacing w:val="-16"/>
          <w:kern w:val="21"/>
          <w:szCs w:val="21"/>
          <w:highlight w:val="none"/>
          <w14:textFill>
            <w14:solidFill>
              <w14:schemeClr w14:val="tx1"/>
            </w14:solidFill>
          </w14:textFill>
        </w:rPr>
        <w:instrText xml:space="preserve"> = 6 \* GB3 \* MERGEFORMAT </w:instrText>
      </w:r>
      <w:r>
        <w:rPr>
          <w:rFonts w:hAnsi="宋体"/>
          <w:snapToGrid w:val="0"/>
          <w:color w:val="000000" w:themeColor="text1"/>
          <w:spacing w:val="-1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⑥</w:t>
      </w:r>
      <w:r>
        <w:rPr>
          <w:rFonts w:hAnsi="宋体"/>
          <w:snapToGrid w:val="0"/>
          <w:color w:val="000000" w:themeColor="text1"/>
          <w:spacing w:val="-16"/>
          <w:kern w:val="21"/>
          <w:szCs w:val="21"/>
          <w:highlight w:val="none"/>
          <w14:textFill>
            <w14:solidFill>
              <w14:schemeClr w14:val="tx1"/>
            </w14:solidFill>
          </w14:textFill>
        </w:rPr>
        <w:fldChar w:fldCharType="end"/>
      </w:r>
      <w:r>
        <w:rPr>
          <w:rFonts w:hAnsi="宋体"/>
          <w:snapToGrid w:val="0"/>
          <w:color w:val="000000" w:themeColor="text1"/>
          <w:spacing w:val="-16"/>
          <w:kern w:val="21"/>
          <w:szCs w:val="21"/>
          <w:highlight w:val="none"/>
          <w14:textFill>
            <w14:solidFill>
              <w14:schemeClr w14:val="tx1"/>
            </w14:solidFill>
          </w14:textFill>
        </w:rPr>
        <w:t>-</w:t>
      </w:r>
      <w:r>
        <w:rPr>
          <w:rFonts w:hAnsi="宋体"/>
          <w:snapToGrid w:val="0"/>
          <w:color w:val="000000" w:themeColor="text1"/>
          <w:spacing w:val="-6"/>
          <w:kern w:val="21"/>
          <w:szCs w:val="21"/>
          <w:highlight w:val="none"/>
          <w14:textFill>
            <w14:solidFill>
              <w14:schemeClr w14:val="tx1"/>
            </w14:solidFill>
          </w14:textFill>
        </w:rPr>
        <w:fldChar w:fldCharType="begin"/>
      </w:r>
      <w:r>
        <w:rPr>
          <w:rFonts w:hAnsi="宋体"/>
          <w:snapToGrid w:val="0"/>
          <w:color w:val="000000" w:themeColor="text1"/>
          <w:spacing w:val="-6"/>
          <w:kern w:val="21"/>
          <w:szCs w:val="21"/>
          <w:highlight w:val="none"/>
          <w14:textFill>
            <w14:solidFill>
              <w14:schemeClr w14:val="tx1"/>
            </w14:solidFill>
          </w14:textFill>
        </w:rPr>
        <w:instrText xml:space="preserve"> = 1 \* GB3 \* MERGEFORMAT </w:instrText>
      </w:r>
      <w:r>
        <w:rPr>
          <w:rFonts w:hAnsi="宋体"/>
          <w:snapToGrid w:val="0"/>
          <w:color w:val="000000" w:themeColor="text1"/>
          <w:spacing w:val="-6"/>
          <w:kern w:val="21"/>
          <w:szCs w:val="21"/>
          <w:highlight w:val="none"/>
          <w14:textFill>
            <w14:solidFill>
              <w14:schemeClr w14:val="tx1"/>
            </w14:solidFill>
          </w14:textFill>
        </w:rPr>
        <w:fldChar w:fldCharType="separate"/>
      </w:r>
      <w:r>
        <w:rPr>
          <w:rFonts w:hint="eastAsia" w:hAnsi="宋体"/>
          <w:color w:val="000000" w:themeColor="text1"/>
          <w:szCs w:val="21"/>
          <w:highlight w:val="none"/>
          <w14:textFill>
            <w14:solidFill>
              <w14:schemeClr w14:val="tx1"/>
            </w14:solidFill>
          </w14:textFill>
        </w:rPr>
        <w:t>①</w:t>
      </w:r>
      <w:r>
        <w:rPr>
          <w:rFonts w:hAnsi="宋体"/>
          <w:snapToGrid w:val="0"/>
          <w:color w:val="000000" w:themeColor="text1"/>
          <w:spacing w:val="-6"/>
          <w:kern w:val="21"/>
          <w:szCs w:val="21"/>
          <w:highlight w:val="none"/>
          <w14:textFill>
            <w14:solidFill>
              <w14:schemeClr w14:val="tx1"/>
            </w14:solidFill>
          </w14:textFill>
        </w:rPr>
        <w:fldChar w:fldCharType="end"/>
      </w:r>
    </w:p>
    <w:p w14:paraId="6C614B32">
      <w:pPr>
        <w:rPr>
          <w:color w:val="000000" w:themeColor="text1"/>
          <w:highlight w:val="none"/>
          <w14:textFill>
            <w14:solidFill>
              <w14:schemeClr w14:val="tx1"/>
            </w14:solidFill>
          </w14:textFill>
        </w:rPr>
        <w:sectPr>
          <w:footerReference r:id="rId6" w:type="default"/>
          <w:pgSz w:w="16838" w:h="11906" w:orient="landscape"/>
          <w:pgMar w:top="1701" w:right="1531" w:bottom="1701" w:left="1531" w:header="851" w:footer="851" w:gutter="0"/>
          <w:cols w:space="720" w:num="1"/>
          <w:docGrid w:linePitch="312" w:charSpace="0"/>
        </w:sectPr>
      </w:pPr>
    </w:p>
    <w:p w14:paraId="61D4347B">
      <w:pPr>
        <w:pStyle w:val="9"/>
        <w:rPr>
          <w:b/>
          <w:bCs/>
          <w:color w:val="000000" w:themeColor="text1"/>
          <w:sz w:val="28"/>
          <w:szCs w:val="28"/>
          <w:highlight w:val="none"/>
          <w14:textFill>
            <w14:solidFill>
              <w14:schemeClr w14:val="tx1"/>
            </w14:solidFill>
          </w14:textFill>
        </w:rPr>
      </w:pPr>
      <w:bookmarkStart w:id="7" w:name="_GoBack"/>
      <w:bookmarkEnd w:id="7"/>
      <w:r>
        <w:rPr>
          <w:rFonts w:hint="eastAsia"/>
          <w:b/>
          <w:bCs/>
          <w:color w:val="000000" w:themeColor="text1"/>
          <w:sz w:val="28"/>
          <w:szCs w:val="28"/>
          <w:highlight w:val="none"/>
          <w14:textFill>
            <w14:solidFill>
              <w14:schemeClr w14:val="tx1"/>
            </w14:solidFill>
          </w14:textFill>
        </w:rPr>
        <w:t>附图1</w:t>
      </w:r>
      <w:r>
        <w:rPr>
          <w:rFonts w:hint="eastAsia"/>
          <w:b/>
          <w:bCs/>
          <w:color w:val="000000" w:themeColor="text1"/>
          <w:sz w:val="28"/>
          <w:szCs w:val="28"/>
          <w:highlight w:val="none"/>
          <w:lang w:eastAsia="zh-CN"/>
          <w14:textFill>
            <w14:solidFill>
              <w14:schemeClr w14:val="tx1"/>
            </w14:solidFill>
          </w14:textFill>
        </w:rPr>
        <w:t>：</w:t>
      </w:r>
      <w:r>
        <w:rPr>
          <w:rFonts w:hint="eastAsia"/>
          <w:b/>
          <w:bCs/>
          <w:color w:val="000000" w:themeColor="text1"/>
          <w:sz w:val="28"/>
          <w:szCs w:val="28"/>
          <w:highlight w:val="none"/>
          <w14:textFill>
            <w14:solidFill>
              <w14:schemeClr w14:val="tx1"/>
            </w14:solidFill>
          </w14:textFill>
        </w:rPr>
        <w:t>项目地理</w:t>
      </w:r>
      <w:r>
        <w:rPr>
          <w:b/>
          <w:bCs/>
          <w:color w:val="000000" w:themeColor="text1"/>
          <w:sz w:val="28"/>
          <w:szCs w:val="28"/>
          <w:highlight w:val="none"/>
          <w14:textFill>
            <w14:solidFill>
              <w14:schemeClr w14:val="tx1"/>
            </w14:solidFill>
          </w14:textFill>
        </w:rPr>
        <w:t>位置图</w:t>
      </w:r>
    </w:p>
    <w:p w14:paraId="47329F49">
      <w:pPr>
        <w:pStyle w:val="9"/>
        <w:rPr>
          <w:b/>
          <w:bCs/>
          <w:color w:val="000000" w:themeColor="text1"/>
          <w:sz w:val="28"/>
          <w:szCs w:val="28"/>
          <w:highlight w:val="none"/>
          <w14:textFill>
            <w14:solidFill>
              <w14:schemeClr w14:val="tx1"/>
            </w14:solidFill>
          </w14:textFill>
        </w:rPr>
      </w:pPr>
      <w:r>
        <w:rPr>
          <w:highlight w:val="none"/>
        </w:rPr>
        <w:drawing>
          <wp:anchor distT="0" distB="0" distL="114300" distR="114300" simplePos="0" relativeHeight="251663360" behindDoc="1" locked="0" layoutInCell="1" allowOverlap="1">
            <wp:simplePos x="0" y="0"/>
            <wp:positionH relativeFrom="column">
              <wp:posOffset>0</wp:posOffset>
            </wp:positionH>
            <wp:positionV relativeFrom="paragraph">
              <wp:posOffset>635</wp:posOffset>
            </wp:positionV>
            <wp:extent cx="6741160" cy="5182870"/>
            <wp:effectExtent l="0" t="0" r="2540" b="0"/>
            <wp:wrapNone/>
            <wp:docPr id="14398463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46372" name="图片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741268" cy="5182976"/>
                    </a:xfrm>
                    <a:prstGeom prst="rect">
                      <a:avLst/>
                    </a:prstGeom>
                    <a:noFill/>
                    <a:ln>
                      <a:noFill/>
                    </a:ln>
                  </pic:spPr>
                </pic:pic>
              </a:graphicData>
            </a:graphic>
          </wp:anchor>
        </w:drawing>
      </w:r>
    </w:p>
    <w:p w14:paraId="2B2EFFF7">
      <w:pPr>
        <w:pStyle w:val="13"/>
        <w:numPr>
          <w:ilvl w:val="0"/>
          <w:numId w:val="0"/>
        </w:numPr>
        <w:rPr>
          <w:bCs/>
          <w:color w:val="000000" w:themeColor="text1"/>
          <w:szCs w:val="21"/>
          <w:highlight w:val="none"/>
          <w14:textFill>
            <w14:solidFill>
              <w14:schemeClr w14:val="tx1"/>
            </w14:solidFill>
          </w14:textFill>
        </w:rPr>
        <w:sectPr>
          <w:headerReference r:id="rId7" w:type="default"/>
          <w:footerReference r:id="rId8" w:type="default"/>
          <w:pgSz w:w="16838" w:h="11906" w:orient="landscape"/>
          <w:pgMar w:top="1531" w:right="1701" w:bottom="1531" w:left="1701" w:header="851" w:footer="851" w:gutter="0"/>
          <w:cols w:space="720" w:num="1"/>
          <w:docGrid w:linePitch="312" w:charSpace="0"/>
        </w:sectPr>
      </w:pPr>
      <w:r>
        <w:rPr>
          <w:highlight w:val="none"/>
        </w:rPr>
        <mc:AlternateContent>
          <mc:Choice Requires="wps">
            <w:drawing>
              <wp:anchor distT="0" distB="0" distL="114300" distR="114300" simplePos="0" relativeHeight="251662336" behindDoc="0" locked="0" layoutInCell="1" allowOverlap="1">
                <wp:simplePos x="0" y="0"/>
                <wp:positionH relativeFrom="column">
                  <wp:posOffset>3912870</wp:posOffset>
                </wp:positionH>
                <wp:positionV relativeFrom="paragraph">
                  <wp:posOffset>1905000</wp:posOffset>
                </wp:positionV>
                <wp:extent cx="1000125" cy="365125"/>
                <wp:effectExtent l="6350" t="6350" r="212725" b="1038225"/>
                <wp:wrapNone/>
                <wp:docPr id="5" name="矩形标注 5"/>
                <wp:cNvGraphicFramePr/>
                <a:graphic xmlns:a="http://schemas.openxmlformats.org/drawingml/2006/main">
                  <a:graphicData uri="http://schemas.microsoft.com/office/word/2010/wordprocessingShape">
                    <wps:wsp>
                      <wps:cNvSpPr/>
                      <wps:spPr>
                        <a:xfrm>
                          <a:off x="0" y="0"/>
                          <a:ext cx="1000125" cy="365125"/>
                        </a:xfrm>
                        <a:prstGeom prst="wedgeRectCallout">
                          <a:avLst>
                            <a:gd name="adj1" fmla="val 68857"/>
                            <a:gd name="adj2" fmla="val 332086"/>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0BE1556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8.1pt;margin-top:150pt;height:28.75pt;width:78.75pt;z-index:251662336;v-text-anchor:middle;mso-width-relative:page;mso-height-relative:page;" filled="f" stroked="t" coordsize="21600,21600" o:gfxdata="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27A1/2QAAAAsBAAAPAAAAAAAAAAEAIAAAACIAAABkcnMvZG93bnJldi54bWxQSwECFAAUAAAA&#10;CACHTuJAipjdWJgCAAAjBQAADgAAAAAAAAABACAAAAAoAQAAZHJzL2Uyb0RvYy54bWxQSwUGAAAA&#10;AAYABgBZAQAAMgYAAAAA&#10;" adj="25673,82531">
                <v:fill on="f" focussize="0,0"/>
                <v:stroke weight="1pt" color="#000000 [3213]" joinstyle="round"/>
                <v:imagedata o:title=""/>
                <o:lock v:ext="edit" aspectratio="f"/>
                <v:textbox>
                  <w:txbxContent>
                    <w:p w14:paraId="0BE1556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本项目位置</w:t>
                      </w:r>
                    </w:p>
                  </w:txbxContent>
                </v:textbox>
              </v:shape>
            </w:pict>
          </mc:Fallback>
        </mc:AlternateContent>
      </w:r>
    </w:p>
    <w:p w14:paraId="74950DCE">
      <w:pPr>
        <w:pStyle w:val="13"/>
        <w:numPr>
          <w:ilvl w:val="0"/>
          <w:numId w:val="0"/>
        </w:numP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附图2</w:t>
      </w:r>
      <w:r>
        <w:rPr>
          <w:rFonts w:hint="eastAsia" w:ascii="宋体" w:hAnsi="宋体"/>
          <w:b/>
          <w:bCs/>
          <w:color w:val="000000" w:themeColor="text1"/>
          <w:sz w:val="28"/>
          <w:szCs w:val="28"/>
          <w:highlight w:val="none"/>
          <w:lang w:eastAsia="zh-CN"/>
          <w14:textFill>
            <w14:solidFill>
              <w14:schemeClr w14:val="tx1"/>
            </w14:solidFill>
          </w14:textFill>
        </w:rPr>
        <w:t>：</w:t>
      </w:r>
      <w:r>
        <w:rPr>
          <w:rFonts w:hint="eastAsia" w:ascii="宋体" w:hAnsi="宋体"/>
          <w:b/>
          <w:bCs/>
          <w:color w:val="000000" w:themeColor="text1"/>
          <w:sz w:val="28"/>
          <w:szCs w:val="28"/>
          <w:highlight w:val="none"/>
          <w14:textFill>
            <w14:solidFill>
              <w14:schemeClr w14:val="tx1"/>
            </w14:solidFill>
          </w14:textFill>
        </w:rPr>
        <w:t>平面布置图</w:t>
      </w:r>
    </w:p>
    <w:p w14:paraId="153F993D">
      <w:pPr>
        <w:pStyle w:val="13"/>
        <w:numPr>
          <w:ilvl w:val="0"/>
          <w:numId w:val="0"/>
        </w:numPr>
        <w:rPr>
          <w:rFonts w:hint="eastAsia" w:ascii="宋体" w:hAnsi="宋体"/>
          <w:color w:val="000000" w:themeColor="text1"/>
          <w:sz w:val="24"/>
          <w:highlight w:val="none"/>
          <w14:textFill>
            <w14:solidFill>
              <w14:schemeClr w14:val="tx1"/>
            </w14:solidFill>
          </w14:textFill>
        </w:rPr>
      </w:pPr>
      <w:r>
        <w:rPr>
          <w:highlight w:val="none"/>
        </w:rPr>
        <w:drawing>
          <wp:inline distT="0" distB="0" distL="114300" distR="114300">
            <wp:extent cx="5600065" cy="5635625"/>
            <wp:effectExtent l="0" t="0" r="635" b="3175"/>
            <wp:docPr id="56" name="图片 36" descr="E:/戴/杭锦旗管桩/平面布置图.png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6" descr="E:/戴/杭锦旗管桩/平面布置图.png平面布置图"/>
                    <pic:cNvPicPr>
                      <a:picLocks noChangeAspect="1"/>
                    </pic:cNvPicPr>
                  </pic:nvPicPr>
                  <pic:blipFill>
                    <a:blip r:embed="rId25"/>
                    <a:srcRect l="5" r="5"/>
                    <a:stretch>
                      <a:fillRect/>
                    </a:stretch>
                  </pic:blipFill>
                  <pic:spPr>
                    <a:xfrm>
                      <a:off x="0" y="0"/>
                      <a:ext cx="5600065" cy="5635625"/>
                    </a:xfrm>
                    <a:prstGeom prst="rect">
                      <a:avLst/>
                    </a:prstGeom>
                    <a:noFill/>
                    <a:ln>
                      <a:noFill/>
                    </a:ln>
                  </pic:spPr>
                </pic:pic>
              </a:graphicData>
            </a:graphic>
          </wp:inline>
        </w:drawing>
      </w:r>
    </w:p>
    <w:p w14:paraId="41026568">
      <w:pPr>
        <w:pStyle w:val="13"/>
        <w:numPr>
          <w:ilvl w:val="0"/>
          <w:numId w:val="0"/>
        </w:numPr>
        <w:jc w:val="center"/>
        <w:rPr>
          <w:color w:val="000000" w:themeColor="text1"/>
          <w:szCs w:val="21"/>
          <w:highlight w:val="none"/>
          <w14:textFill>
            <w14:solidFill>
              <w14:schemeClr w14:val="tx1"/>
            </w14:solidFill>
          </w14:textFill>
        </w:rPr>
        <w:sectPr>
          <w:pgSz w:w="11906" w:h="16838"/>
          <w:pgMar w:top="1701" w:right="1531" w:bottom="1701" w:left="1531" w:header="851" w:footer="851" w:gutter="0"/>
          <w:cols w:space="720" w:num="1"/>
          <w:docGrid w:linePitch="312" w:charSpace="0"/>
        </w:sectPr>
      </w:pPr>
    </w:p>
    <w:p w14:paraId="7DE1CCD8">
      <w:pPr>
        <w:keepNext w:val="0"/>
        <w:keepLines w:val="0"/>
        <w:pageBreakBefore w:val="0"/>
        <w:widowControl w:val="0"/>
        <w:kinsoku/>
        <w:wordWrap/>
        <w:overflowPunct/>
        <w:topLinePunct w:val="0"/>
        <w:autoSpaceDE/>
        <w:autoSpaceDN/>
        <w:bidi w:val="0"/>
        <w:adjustRightInd w:val="0"/>
        <w:snapToGrid w:val="0"/>
        <w:textAlignment w:val="auto"/>
        <w:rPr>
          <w:rFonts w:hint="eastAsia"/>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附图3</w:t>
      </w:r>
      <w:r>
        <w:rPr>
          <w:rFonts w:hint="eastAsia"/>
          <w:b/>
          <w:bCs/>
          <w:color w:val="000000" w:themeColor="text1"/>
          <w:sz w:val="28"/>
          <w:szCs w:val="28"/>
          <w:highlight w:val="none"/>
          <w:lang w:eastAsia="zh-CN"/>
          <w14:textFill>
            <w14:solidFill>
              <w14:schemeClr w14:val="tx1"/>
            </w14:solidFill>
          </w14:textFill>
        </w:rPr>
        <w:t>：</w:t>
      </w:r>
      <w:r>
        <w:rPr>
          <w:rFonts w:hint="eastAsia"/>
          <w:b/>
          <w:bCs/>
          <w:color w:val="000000" w:themeColor="text1"/>
          <w:sz w:val="28"/>
          <w:szCs w:val="28"/>
          <w:highlight w:val="none"/>
          <w14:textFill>
            <w14:solidFill>
              <w14:schemeClr w14:val="tx1"/>
            </w14:solidFill>
          </w14:textFill>
        </w:rPr>
        <w:t>本项目与环境管控单元</w:t>
      </w:r>
      <w:r>
        <w:rPr>
          <w:rFonts w:hint="eastAsia"/>
          <w:b/>
          <w:bCs/>
          <w:color w:val="000000" w:themeColor="text1"/>
          <w:sz w:val="28"/>
          <w:szCs w:val="28"/>
          <w:highlight w:val="none"/>
          <w:lang w:eastAsia="zh-CN"/>
          <w14:textFill>
            <w14:solidFill>
              <w14:schemeClr w14:val="tx1"/>
            </w14:solidFill>
          </w14:textFill>
        </w:rPr>
        <w:t>的</w:t>
      </w:r>
      <w:r>
        <w:rPr>
          <w:rFonts w:hint="eastAsia"/>
          <w:b/>
          <w:bCs/>
          <w:color w:val="000000" w:themeColor="text1"/>
          <w:sz w:val="28"/>
          <w:szCs w:val="28"/>
          <w:highlight w:val="none"/>
          <w14:textFill>
            <w14:solidFill>
              <w14:schemeClr w14:val="tx1"/>
            </w14:solidFill>
          </w14:textFill>
        </w:rPr>
        <w:t>位置关系图</w:t>
      </w:r>
    </w:p>
    <w:p w14:paraId="02002BFF">
      <w:pPr>
        <w:pStyle w:val="18"/>
        <w:jc w:val="center"/>
        <w:rPr>
          <w:color w:val="000000" w:themeColor="text1"/>
          <w:szCs w:val="21"/>
          <w:highlight w:val="none"/>
          <w14:textFill>
            <w14:solidFill>
              <w14:schemeClr w14:val="tx1"/>
            </w14:solidFill>
          </w14:textFill>
        </w:rPr>
      </w:pPr>
      <w:r>
        <w:rPr>
          <w:rFonts w:hint="eastAsia" w:eastAsia="宋体"/>
          <w:color w:val="000000" w:themeColor="text1"/>
          <w:szCs w:val="21"/>
          <w:highlight w:val="none"/>
          <w:lang w:eastAsia="zh-CN"/>
          <w14:textFill>
            <w14:solidFill>
              <w14:schemeClr w14:val="tx1"/>
            </w14:solidFill>
          </w14:textFill>
        </w:rPr>
        <w:drawing>
          <wp:inline distT="0" distB="0" distL="114300" distR="114300">
            <wp:extent cx="6934200" cy="4981575"/>
            <wp:effectExtent l="0" t="0" r="0" b="9525"/>
            <wp:docPr id="1" name="图片 1" descr="管控单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管控单元图"/>
                    <pic:cNvPicPr>
                      <a:picLocks noChangeAspect="1"/>
                    </pic:cNvPicPr>
                  </pic:nvPicPr>
                  <pic:blipFill>
                    <a:blip r:embed="rId26"/>
                    <a:stretch>
                      <a:fillRect/>
                    </a:stretch>
                  </pic:blipFill>
                  <pic:spPr>
                    <a:xfrm>
                      <a:off x="0" y="0"/>
                      <a:ext cx="6934200" cy="4981575"/>
                    </a:xfrm>
                    <a:prstGeom prst="rect">
                      <a:avLst/>
                    </a:prstGeom>
                  </pic:spPr>
                </pic:pic>
              </a:graphicData>
            </a:graphic>
          </wp:inline>
        </w:drawing>
      </w:r>
    </w:p>
    <w:p w14:paraId="44542E9E">
      <w:pPr>
        <w:pStyle w:val="16"/>
        <w:rPr>
          <w:color w:val="000000" w:themeColor="text1"/>
          <w:szCs w:val="21"/>
          <w:highlight w:val="none"/>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p>
    <w:p w14:paraId="6435449C">
      <w:pPr>
        <w:rPr>
          <w:rFonts w:hint="default" w:eastAsia="宋体"/>
          <w:b/>
          <w:bCs/>
          <w:color w:val="000000" w:themeColor="text1"/>
          <w:sz w:val="28"/>
          <w:szCs w:val="28"/>
          <w:highlight w:val="none"/>
          <w:lang w:val="en-US" w:eastAsia="zh-CN"/>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附图</w:t>
      </w:r>
      <w:r>
        <w:rPr>
          <w:rFonts w:hint="eastAsia"/>
          <w:b/>
          <w:bCs/>
          <w:color w:val="000000" w:themeColor="text1"/>
          <w:sz w:val="28"/>
          <w:szCs w:val="28"/>
          <w:highlight w:val="none"/>
          <w:lang w:val="en-US" w:eastAsia="zh-CN"/>
          <w14:textFill>
            <w14:solidFill>
              <w14:schemeClr w14:val="tx1"/>
            </w14:solidFill>
          </w14:textFill>
        </w:rPr>
        <w:t>4</w:t>
      </w:r>
      <w:r>
        <w:rPr>
          <w:rFonts w:hint="eastAsia"/>
          <w:b/>
          <w:bCs/>
          <w:color w:val="000000" w:themeColor="text1"/>
          <w:sz w:val="28"/>
          <w:szCs w:val="28"/>
          <w:highlight w:val="none"/>
          <w:lang w:eastAsia="zh-CN"/>
          <w14:textFill>
            <w14:solidFill>
              <w14:schemeClr w14:val="tx1"/>
            </w14:solidFill>
          </w14:textFill>
        </w:rPr>
        <w:t>：</w:t>
      </w:r>
      <w:r>
        <w:rPr>
          <w:rFonts w:hint="eastAsia"/>
          <w:b/>
          <w:bCs/>
          <w:color w:val="000000" w:themeColor="text1"/>
          <w:sz w:val="28"/>
          <w:szCs w:val="28"/>
          <w:highlight w:val="none"/>
          <w:lang w:val="en-US" w:eastAsia="zh-CN"/>
          <w14:textFill>
            <w14:solidFill>
              <w14:schemeClr w14:val="tx1"/>
            </w14:solidFill>
          </w14:textFill>
        </w:rPr>
        <w:t>本项目位置图及园区产业功能布局图</w:t>
      </w:r>
    </w:p>
    <w:p w14:paraId="14B0F3E1">
      <w:pPr>
        <w:pStyle w:val="2"/>
        <w:rPr>
          <w:rFonts w:hint="eastAsia" w:eastAsia="宋体"/>
          <w:highlight w:val="none"/>
          <w:lang w:eastAsia="zh-CN"/>
        </w:rPr>
      </w:pPr>
      <w:r>
        <w:rPr>
          <w:rFonts w:hint="eastAsia" w:eastAsia="宋体"/>
          <w:highlight w:val="none"/>
          <w:lang w:eastAsia="zh-CN"/>
        </w:rPr>
        <w:drawing>
          <wp:inline distT="0" distB="0" distL="114300" distR="114300">
            <wp:extent cx="7557135" cy="5271135"/>
            <wp:effectExtent l="0" t="0" r="5715" b="5715"/>
            <wp:docPr id="13" name="图片 13" descr="E:/戴/杭锦旗管桩/国土规划.png国土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戴/杭锦旗管桩/国土规划.png国土规划"/>
                    <pic:cNvPicPr>
                      <a:picLocks noChangeAspect="1"/>
                    </pic:cNvPicPr>
                  </pic:nvPicPr>
                  <pic:blipFill>
                    <a:blip r:embed="rId27"/>
                    <a:srcRect t="626" b="626"/>
                    <a:stretch>
                      <a:fillRect/>
                    </a:stretch>
                  </pic:blipFill>
                  <pic:spPr>
                    <a:xfrm>
                      <a:off x="0" y="0"/>
                      <a:ext cx="7557135" cy="5271135"/>
                    </a:xfrm>
                    <a:prstGeom prst="rect">
                      <a:avLst/>
                    </a:prstGeom>
                  </pic:spPr>
                </pic:pic>
              </a:graphicData>
            </a:graphic>
          </wp:inline>
        </w:drawing>
      </w:r>
    </w:p>
    <w:sectPr>
      <w:footerReference r:id="rId9"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Cambria Math">
    <w:panose1 w:val="02040503050406030204"/>
    <w:charset w:val="00"/>
    <w:family w:val="auto"/>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6D698">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A5320">
    <w:pPr>
      <w:pStyle w:val="18"/>
      <w:framePr w:wrap="around" w:vAnchor="text" w:hAnchor="margin" w:xAlign="center" w:y="1"/>
      <w:rPr>
        <w:rStyle w:val="33"/>
      </w:rPr>
    </w:pPr>
    <w:r>
      <w:fldChar w:fldCharType="begin"/>
    </w:r>
    <w:r>
      <w:rPr>
        <w:rStyle w:val="33"/>
      </w:rPr>
      <w:instrText xml:space="preserve">PAGE  </w:instrText>
    </w:r>
    <w:r>
      <w:fldChar w:fldCharType="end"/>
    </w:r>
  </w:p>
  <w:p w14:paraId="1403BC82">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EEB54">
    <w:pPr>
      <w:pStyle w:val="18"/>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7C9138">
                          <w:pPr>
                            <w:pStyle w:val="18"/>
                          </w:pPr>
                          <w:r>
                            <w:t xml:space="preserve">第 </w:t>
                          </w:r>
                          <w:r>
                            <w:fldChar w:fldCharType="begin"/>
                          </w:r>
                          <w:r>
                            <w:instrText xml:space="preserve"> PAGE  \* MERGEFORMAT </w:instrText>
                          </w:r>
                          <w:r>
                            <w:fldChar w:fldCharType="separate"/>
                          </w:r>
                          <w:r>
                            <w:t>10</w:t>
                          </w:r>
                          <w:r>
                            <w:fldChar w:fldCharType="end"/>
                          </w:r>
                          <w:r>
                            <w:t xml:space="preserve"> 页</w:t>
                          </w:r>
                        </w:p>
                      </w:txbxContent>
                    </wps:txbx>
                    <wps:bodyPr wrap="none" lIns="0" tIns="0" rIns="0" bIns="0">
                      <a:spAutoFit/>
                    </wps:bodyPr>
                  </wps:wsp>
                </a:graphicData>
              </a:graphic>
            </wp:anchor>
          </w:drawing>
        </mc:Choice>
        <mc:Fallback>
          <w:pict>
            <v:shape id="文本框 205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OE/nR/FAQAAkgMAAA4AAAAAAAAAAQAgAAAAHgEAAGRycy9lMm9Eb2MueG1s&#10;UEsFBgAAAAAGAAYAWQEAAFUFAAAAAA==&#10;">
              <v:fill on="f" focussize="0,0"/>
              <v:stroke on="f"/>
              <v:imagedata o:title=""/>
              <o:lock v:ext="edit" aspectratio="f"/>
              <v:textbox inset="0mm,0mm,0mm,0mm" style="mso-fit-shape-to-text:t;">
                <w:txbxContent>
                  <w:p w14:paraId="457C9138">
                    <w:pPr>
                      <w:pStyle w:val="18"/>
                    </w:pPr>
                    <w:r>
                      <w:t xml:space="preserve">第 </w:t>
                    </w:r>
                    <w:r>
                      <w:fldChar w:fldCharType="begin"/>
                    </w:r>
                    <w:r>
                      <w:instrText xml:space="preserve"> PAGE  \* MERGEFORMAT </w:instrText>
                    </w:r>
                    <w:r>
                      <w:fldChar w:fldCharType="separate"/>
                    </w:r>
                    <w:r>
                      <w:t>10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83902">
    <w:pPr>
      <w:pStyle w:val="18"/>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3020D8">
                          <w:pPr>
                            <w:pStyle w:val="18"/>
                          </w:pPr>
                          <w:r>
                            <w:t xml:space="preserve">第 </w:t>
                          </w:r>
                          <w:r>
                            <w:fldChar w:fldCharType="begin"/>
                          </w:r>
                          <w:r>
                            <w:instrText xml:space="preserve"> PAGE  \* MERGEFORMAT </w:instrText>
                          </w:r>
                          <w:r>
                            <w:fldChar w:fldCharType="separate"/>
                          </w:r>
                          <w:r>
                            <w:t>54</w:t>
                          </w:r>
                          <w:r>
                            <w:fldChar w:fldCharType="end"/>
                          </w:r>
                          <w:r>
                            <w:t xml:space="preserve"> 页</w:t>
                          </w:r>
                        </w:p>
                      </w:txbxContent>
                    </wps:txbx>
                    <wps:bodyPr wrap="none" lIns="0" tIns="0" rIns="0" bIns="0">
                      <a:spAutoFit/>
                    </wps:bodyPr>
                  </wps:wsp>
                </a:graphicData>
              </a:graphic>
            </wp:anchor>
          </w:drawing>
        </mc:Choice>
        <mc:Fallback>
          <w:pict>
            <v:shape id="文本框 205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PpldlfFAQAAkgMAAA4AAAAAAAAAAQAgAAAAHgEAAGRycy9lMm9Eb2MueG1s&#10;UEsFBgAAAAAGAAYAWQEAAFUFAAAAAA==&#10;">
              <v:fill on="f" focussize="0,0"/>
              <v:stroke on="f"/>
              <v:imagedata o:title=""/>
              <o:lock v:ext="edit" aspectratio="f"/>
              <v:textbox inset="0mm,0mm,0mm,0mm" style="mso-fit-shape-to-text:t;">
                <w:txbxContent>
                  <w:p w14:paraId="503020D8">
                    <w:pPr>
                      <w:pStyle w:val="18"/>
                    </w:pPr>
                    <w:r>
                      <w:t xml:space="preserve">第 </w:t>
                    </w:r>
                    <w:r>
                      <w:fldChar w:fldCharType="begin"/>
                    </w:r>
                    <w:r>
                      <w:instrText xml:space="preserve"> PAGE  \* MERGEFORMAT </w:instrText>
                    </w:r>
                    <w:r>
                      <w:fldChar w:fldCharType="separate"/>
                    </w:r>
                    <w:r>
                      <w:t>54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C7D3C">
    <w:pPr>
      <w:pStyle w:val="18"/>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3B5B2">
                          <w:pPr>
                            <w:pStyle w:val="18"/>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11F3B5B2">
                    <w:pPr>
                      <w:pStyle w:val="18"/>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07356">
    <w:pPr>
      <w:pStyle w:val="18"/>
      <w:jc w:val="center"/>
    </w:pPr>
  </w:p>
  <w:p w14:paraId="18958941">
    <w:pPr>
      <w:pStyle w:val="1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43B7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0EC99"/>
    <w:multiLevelType w:val="multilevel"/>
    <w:tmpl w:val="8A30EC99"/>
    <w:lvl w:ilvl="0" w:tentative="0">
      <w:start w:val="1"/>
      <w:numFmt w:val="decimal"/>
      <w:suff w:val="space"/>
      <w:lvlText w:val="  %1"/>
      <w:lvlJc w:val="center"/>
      <w:pPr>
        <w:tabs>
          <w:tab w:val="left" w:pos="0"/>
        </w:tabs>
        <w:ind w:left="0" w:firstLine="0"/>
      </w:pPr>
      <w:rPr>
        <w:rFonts w:hint="default" w:ascii="Times New Roman" w:hAnsi="Times New Roman" w:eastAsia="宋体" w:cs="宋体"/>
        <w:b/>
        <w:bCs/>
        <w:sz w:val="32"/>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pStyle w:val="4"/>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suff w:val="nothing"/>
      <w:lvlText w:val="表%1.%2-%5  "/>
      <w:lvlJc w:val="left"/>
      <w:pPr>
        <w:tabs>
          <w:tab w:val="left" w:pos="5812"/>
        </w:tabs>
        <w:ind w:left="6820"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1">
    <w:nsid w:val="EFE1D8CC"/>
    <w:multiLevelType w:val="singleLevel"/>
    <w:tmpl w:val="EFE1D8CC"/>
    <w:lvl w:ilvl="0" w:tentative="0">
      <w:start w:val="1"/>
      <w:numFmt w:val="decimal"/>
      <w:suff w:val="nothing"/>
      <w:lvlText w:val="（%1）"/>
      <w:lvlJc w:val="left"/>
    </w:lvl>
  </w:abstractNum>
  <w:abstractNum w:abstractNumId="2">
    <w:nsid w:val="51A6582B"/>
    <w:multiLevelType w:val="singleLevel"/>
    <w:tmpl w:val="51A6582B"/>
    <w:lvl w:ilvl="0" w:tentative="0">
      <w:start w:val="5"/>
      <w:numFmt w:val="chineseCounting"/>
      <w:suff w:val="nothing"/>
      <w:lvlText w:val="%1、"/>
      <w:lvlJc w:val="left"/>
      <w:rPr>
        <w:rFonts w:hint="eastAsia" w:ascii="Times New Roman" w:hAnsi="Times New Roman" w:eastAsia="宋体" w:cs="Times New Roman"/>
        <w:b/>
        <w:bCs/>
        <w:sz w:val="28"/>
        <w:szCs w:val="28"/>
      </w:rPr>
    </w:lvl>
  </w:abstractNum>
  <w:abstractNum w:abstractNumId="3">
    <w:nsid w:val="57F1E1FD"/>
    <w:multiLevelType w:val="singleLevel"/>
    <w:tmpl w:val="57F1E1FD"/>
    <w:lvl w:ilvl="0" w:tentative="0">
      <w:start w:val="1"/>
      <w:numFmt w:val="bullet"/>
      <w:pStyle w:val="13"/>
      <w:lvlText w:val=""/>
      <w:lvlJc w:val="left"/>
      <w:pPr>
        <w:tabs>
          <w:tab w:val="left" w:pos="2040"/>
        </w:tabs>
        <w:ind w:left="570" w:hanging="360"/>
      </w:pPr>
      <w:rPr>
        <w:rFonts w:hint="default" w:ascii="Wingdings" w:hAnsi="Wingdings"/>
      </w:rPr>
    </w:lvl>
  </w:abstractNum>
  <w:abstractNum w:abstractNumId="4">
    <w:nsid w:val="6B86737E"/>
    <w:multiLevelType w:val="singleLevel"/>
    <w:tmpl w:val="6B86737E"/>
    <w:lvl w:ilvl="0" w:tentative="0">
      <w:start w:val="1"/>
      <w:numFmt w:val="decimal"/>
      <w:pStyle w:val="5"/>
      <w:lvlText w:val="%1."/>
      <w:lvlJc w:val="left"/>
      <w:pPr>
        <w:tabs>
          <w:tab w:val="left" w:pos="360"/>
        </w:tabs>
        <w:ind w:left="360" w:hanging="36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trackedChanges" w:enforcement="0"/>
  <w:defaultTabStop w:val="420"/>
  <w:displayHorizontalDrawingGridEvery w:val="1"/>
  <w:displayVerticalDrawingGridEvery w:val="1"/>
  <w:noPunctuationKerning w:val="1"/>
  <w:characterSpacingControl w:val="doNotCompress"/>
  <w:noLineBreaksAfter w:lang="zh-CN" w:val="([{·‘“〈《「『【〔〖（．［｛￡￥"/>
  <w:noLineBreaksBefore w:lang="zh-CN" w:val="!),.:;?]}¨·ˇˉ―‖’”…∶、。〃々〉》」』】〕〗！＂＇），．：；？］｀｜｝～￠"/>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A2ZjI5NzA3OWVjZmQyNjIxZWI0NDBhYjFmMDk0YTMifQ=="/>
    <w:docVar w:name="KSO_WPS_MARK_KEY" w:val="5f2a5d7f-4f3f-4aea-a78e-d3542e1bc583"/>
  </w:docVars>
  <w:rsids>
    <w:rsidRoot w:val="00A14947"/>
    <w:rsid w:val="00001CC2"/>
    <w:rsid w:val="0000252A"/>
    <w:rsid w:val="000060B3"/>
    <w:rsid w:val="0000765C"/>
    <w:rsid w:val="00024679"/>
    <w:rsid w:val="00024DF9"/>
    <w:rsid w:val="00035142"/>
    <w:rsid w:val="0004364B"/>
    <w:rsid w:val="0006034B"/>
    <w:rsid w:val="000612B5"/>
    <w:rsid w:val="00061B1F"/>
    <w:rsid w:val="00061B2D"/>
    <w:rsid w:val="000648D5"/>
    <w:rsid w:val="000733C4"/>
    <w:rsid w:val="00074783"/>
    <w:rsid w:val="0008070B"/>
    <w:rsid w:val="000810AC"/>
    <w:rsid w:val="00081A02"/>
    <w:rsid w:val="00082231"/>
    <w:rsid w:val="000846E0"/>
    <w:rsid w:val="00086647"/>
    <w:rsid w:val="00092D38"/>
    <w:rsid w:val="0009377B"/>
    <w:rsid w:val="000938EA"/>
    <w:rsid w:val="0009431D"/>
    <w:rsid w:val="00095F5B"/>
    <w:rsid w:val="000A20C9"/>
    <w:rsid w:val="000A36BB"/>
    <w:rsid w:val="000B058F"/>
    <w:rsid w:val="000B270F"/>
    <w:rsid w:val="000B4467"/>
    <w:rsid w:val="000B44D3"/>
    <w:rsid w:val="000B4DB9"/>
    <w:rsid w:val="000C09AC"/>
    <w:rsid w:val="000C767F"/>
    <w:rsid w:val="000D0877"/>
    <w:rsid w:val="000D3572"/>
    <w:rsid w:val="000D5A44"/>
    <w:rsid w:val="000E3ED2"/>
    <w:rsid w:val="000E62F0"/>
    <w:rsid w:val="000E74D0"/>
    <w:rsid w:val="000F0815"/>
    <w:rsid w:val="000F26FC"/>
    <w:rsid w:val="00131F42"/>
    <w:rsid w:val="00132878"/>
    <w:rsid w:val="001357F1"/>
    <w:rsid w:val="00140870"/>
    <w:rsid w:val="00140FA8"/>
    <w:rsid w:val="00142FEB"/>
    <w:rsid w:val="00143A2D"/>
    <w:rsid w:val="00145A41"/>
    <w:rsid w:val="00145C34"/>
    <w:rsid w:val="00151675"/>
    <w:rsid w:val="00151B93"/>
    <w:rsid w:val="00152DBC"/>
    <w:rsid w:val="00157435"/>
    <w:rsid w:val="00165D04"/>
    <w:rsid w:val="0017394C"/>
    <w:rsid w:val="0017504D"/>
    <w:rsid w:val="0017671A"/>
    <w:rsid w:val="00177422"/>
    <w:rsid w:val="001815C3"/>
    <w:rsid w:val="00184590"/>
    <w:rsid w:val="001870D1"/>
    <w:rsid w:val="0018781E"/>
    <w:rsid w:val="00192316"/>
    <w:rsid w:val="0019262D"/>
    <w:rsid w:val="001A08C1"/>
    <w:rsid w:val="001A1B35"/>
    <w:rsid w:val="001A48A2"/>
    <w:rsid w:val="001A6565"/>
    <w:rsid w:val="001A6F61"/>
    <w:rsid w:val="001A7B72"/>
    <w:rsid w:val="001B72B8"/>
    <w:rsid w:val="001C69B3"/>
    <w:rsid w:val="001D5595"/>
    <w:rsid w:val="001D5F80"/>
    <w:rsid w:val="001D7874"/>
    <w:rsid w:val="001D7F22"/>
    <w:rsid w:val="001F0F17"/>
    <w:rsid w:val="001F3347"/>
    <w:rsid w:val="001F61FB"/>
    <w:rsid w:val="001F69E4"/>
    <w:rsid w:val="001F6B7D"/>
    <w:rsid w:val="002102F4"/>
    <w:rsid w:val="00210F53"/>
    <w:rsid w:val="002125B4"/>
    <w:rsid w:val="002155B8"/>
    <w:rsid w:val="00220DFB"/>
    <w:rsid w:val="00224839"/>
    <w:rsid w:val="002249B2"/>
    <w:rsid w:val="00226574"/>
    <w:rsid w:val="002278EC"/>
    <w:rsid w:val="0023280E"/>
    <w:rsid w:val="00236937"/>
    <w:rsid w:val="002377D1"/>
    <w:rsid w:val="002506BC"/>
    <w:rsid w:val="00254345"/>
    <w:rsid w:val="0026317E"/>
    <w:rsid w:val="00264557"/>
    <w:rsid w:val="00271E24"/>
    <w:rsid w:val="002805AB"/>
    <w:rsid w:val="00283774"/>
    <w:rsid w:val="00284204"/>
    <w:rsid w:val="00291773"/>
    <w:rsid w:val="00293F20"/>
    <w:rsid w:val="002A168C"/>
    <w:rsid w:val="002A3DC7"/>
    <w:rsid w:val="002B49E2"/>
    <w:rsid w:val="002B7B00"/>
    <w:rsid w:val="002B7C44"/>
    <w:rsid w:val="002C2711"/>
    <w:rsid w:val="002C2B17"/>
    <w:rsid w:val="002C3126"/>
    <w:rsid w:val="002C7799"/>
    <w:rsid w:val="002D296E"/>
    <w:rsid w:val="002D3DD0"/>
    <w:rsid w:val="002D452B"/>
    <w:rsid w:val="002E1F3A"/>
    <w:rsid w:val="002E298A"/>
    <w:rsid w:val="002E45BF"/>
    <w:rsid w:val="002E54B9"/>
    <w:rsid w:val="002F0C43"/>
    <w:rsid w:val="00301978"/>
    <w:rsid w:val="0030332C"/>
    <w:rsid w:val="003051C2"/>
    <w:rsid w:val="00312296"/>
    <w:rsid w:val="00314F0E"/>
    <w:rsid w:val="00317848"/>
    <w:rsid w:val="00321D8E"/>
    <w:rsid w:val="00322939"/>
    <w:rsid w:val="00325928"/>
    <w:rsid w:val="003275B2"/>
    <w:rsid w:val="00332863"/>
    <w:rsid w:val="0033684D"/>
    <w:rsid w:val="00337B42"/>
    <w:rsid w:val="00341B42"/>
    <w:rsid w:val="0034348F"/>
    <w:rsid w:val="003463CD"/>
    <w:rsid w:val="00353103"/>
    <w:rsid w:val="00356653"/>
    <w:rsid w:val="0035743F"/>
    <w:rsid w:val="00357BE2"/>
    <w:rsid w:val="0036170C"/>
    <w:rsid w:val="00366E0F"/>
    <w:rsid w:val="00372C27"/>
    <w:rsid w:val="00381A72"/>
    <w:rsid w:val="00384676"/>
    <w:rsid w:val="00384A78"/>
    <w:rsid w:val="00390857"/>
    <w:rsid w:val="003A1B8C"/>
    <w:rsid w:val="003A4BF3"/>
    <w:rsid w:val="003B420D"/>
    <w:rsid w:val="003C013A"/>
    <w:rsid w:val="003C2B2B"/>
    <w:rsid w:val="003C6C16"/>
    <w:rsid w:val="003D380C"/>
    <w:rsid w:val="003D794D"/>
    <w:rsid w:val="003E0832"/>
    <w:rsid w:val="003E3058"/>
    <w:rsid w:val="003E76A9"/>
    <w:rsid w:val="003F0809"/>
    <w:rsid w:val="003F1F2C"/>
    <w:rsid w:val="003F6A8C"/>
    <w:rsid w:val="003F755C"/>
    <w:rsid w:val="00406F01"/>
    <w:rsid w:val="00416D50"/>
    <w:rsid w:val="00416FD5"/>
    <w:rsid w:val="00417772"/>
    <w:rsid w:val="00420B5C"/>
    <w:rsid w:val="00420E6A"/>
    <w:rsid w:val="004230F7"/>
    <w:rsid w:val="00425A9E"/>
    <w:rsid w:val="00426D6B"/>
    <w:rsid w:val="00431E6C"/>
    <w:rsid w:val="00433CE7"/>
    <w:rsid w:val="00437830"/>
    <w:rsid w:val="0044467F"/>
    <w:rsid w:val="004477C2"/>
    <w:rsid w:val="00452738"/>
    <w:rsid w:val="00456091"/>
    <w:rsid w:val="0045651F"/>
    <w:rsid w:val="00464C86"/>
    <w:rsid w:val="00465D38"/>
    <w:rsid w:val="00466321"/>
    <w:rsid w:val="004779E3"/>
    <w:rsid w:val="0048354D"/>
    <w:rsid w:val="00484B9B"/>
    <w:rsid w:val="004855F6"/>
    <w:rsid w:val="0048661E"/>
    <w:rsid w:val="00494670"/>
    <w:rsid w:val="004A3823"/>
    <w:rsid w:val="004A675D"/>
    <w:rsid w:val="004C5DCA"/>
    <w:rsid w:val="004E26B3"/>
    <w:rsid w:val="004E388D"/>
    <w:rsid w:val="004E6946"/>
    <w:rsid w:val="004F0A01"/>
    <w:rsid w:val="004F1AD8"/>
    <w:rsid w:val="004F35FF"/>
    <w:rsid w:val="00500D36"/>
    <w:rsid w:val="00500FBF"/>
    <w:rsid w:val="005039CB"/>
    <w:rsid w:val="0050558F"/>
    <w:rsid w:val="00506286"/>
    <w:rsid w:val="00510813"/>
    <w:rsid w:val="00511990"/>
    <w:rsid w:val="00511ABD"/>
    <w:rsid w:val="00511DE0"/>
    <w:rsid w:val="00514870"/>
    <w:rsid w:val="00514B9B"/>
    <w:rsid w:val="00517F02"/>
    <w:rsid w:val="00524303"/>
    <w:rsid w:val="00524F04"/>
    <w:rsid w:val="005258A2"/>
    <w:rsid w:val="005401AE"/>
    <w:rsid w:val="00542E07"/>
    <w:rsid w:val="00545424"/>
    <w:rsid w:val="00554A7B"/>
    <w:rsid w:val="0055572C"/>
    <w:rsid w:val="0056106A"/>
    <w:rsid w:val="005720AE"/>
    <w:rsid w:val="005816CB"/>
    <w:rsid w:val="00581890"/>
    <w:rsid w:val="0058399C"/>
    <w:rsid w:val="00594D77"/>
    <w:rsid w:val="005969E4"/>
    <w:rsid w:val="005A06B7"/>
    <w:rsid w:val="005A1759"/>
    <w:rsid w:val="005A68A7"/>
    <w:rsid w:val="005C173D"/>
    <w:rsid w:val="005D2E69"/>
    <w:rsid w:val="005D36AB"/>
    <w:rsid w:val="006156B4"/>
    <w:rsid w:val="00617CC3"/>
    <w:rsid w:val="00624A8F"/>
    <w:rsid w:val="006377A6"/>
    <w:rsid w:val="00637A3D"/>
    <w:rsid w:val="006411EF"/>
    <w:rsid w:val="00641829"/>
    <w:rsid w:val="0064437E"/>
    <w:rsid w:val="00654E6A"/>
    <w:rsid w:val="00655CED"/>
    <w:rsid w:val="006676D1"/>
    <w:rsid w:val="00670AEC"/>
    <w:rsid w:val="006748B8"/>
    <w:rsid w:val="006771E3"/>
    <w:rsid w:val="006775C3"/>
    <w:rsid w:val="006879DF"/>
    <w:rsid w:val="0069290A"/>
    <w:rsid w:val="00696D0A"/>
    <w:rsid w:val="0069775A"/>
    <w:rsid w:val="00697813"/>
    <w:rsid w:val="006A2530"/>
    <w:rsid w:val="006A3A1D"/>
    <w:rsid w:val="006A3EE8"/>
    <w:rsid w:val="006A696D"/>
    <w:rsid w:val="006A72BF"/>
    <w:rsid w:val="006B03F2"/>
    <w:rsid w:val="006B37DC"/>
    <w:rsid w:val="006B4F68"/>
    <w:rsid w:val="006C0592"/>
    <w:rsid w:val="006C272E"/>
    <w:rsid w:val="006C5479"/>
    <w:rsid w:val="006C5850"/>
    <w:rsid w:val="006D13B5"/>
    <w:rsid w:val="006D45C6"/>
    <w:rsid w:val="006E12FF"/>
    <w:rsid w:val="006E607E"/>
    <w:rsid w:val="006F78F9"/>
    <w:rsid w:val="00701097"/>
    <w:rsid w:val="00706C5D"/>
    <w:rsid w:val="00714364"/>
    <w:rsid w:val="00725399"/>
    <w:rsid w:val="00732922"/>
    <w:rsid w:val="007331B0"/>
    <w:rsid w:val="0073687D"/>
    <w:rsid w:val="0075162E"/>
    <w:rsid w:val="00754034"/>
    <w:rsid w:val="00756556"/>
    <w:rsid w:val="0075789D"/>
    <w:rsid w:val="007618C4"/>
    <w:rsid w:val="00767980"/>
    <w:rsid w:val="00770B19"/>
    <w:rsid w:val="0077463F"/>
    <w:rsid w:val="00775879"/>
    <w:rsid w:val="007836EA"/>
    <w:rsid w:val="00784CDA"/>
    <w:rsid w:val="007906C4"/>
    <w:rsid w:val="00793F44"/>
    <w:rsid w:val="007940EA"/>
    <w:rsid w:val="007967E8"/>
    <w:rsid w:val="007A2170"/>
    <w:rsid w:val="007A22BF"/>
    <w:rsid w:val="007A3323"/>
    <w:rsid w:val="007B5D06"/>
    <w:rsid w:val="007B72B8"/>
    <w:rsid w:val="007B7A58"/>
    <w:rsid w:val="007C21B5"/>
    <w:rsid w:val="007D4BFE"/>
    <w:rsid w:val="007E4BD2"/>
    <w:rsid w:val="00801393"/>
    <w:rsid w:val="00802F88"/>
    <w:rsid w:val="0081293E"/>
    <w:rsid w:val="00815465"/>
    <w:rsid w:val="00817E9A"/>
    <w:rsid w:val="008219B1"/>
    <w:rsid w:val="00825172"/>
    <w:rsid w:val="0083037F"/>
    <w:rsid w:val="008306BD"/>
    <w:rsid w:val="00831A80"/>
    <w:rsid w:val="00833743"/>
    <w:rsid w:val="008340A4"/>
    <w:rsid w:val="00844DD9"/>
    <w:rsid w:val="00847037"/>
    <w:rsid w:val="00847901"/>
    <w:rsid w:val="00854E8C"/>
    <w:rsid w:val="008571EC"/>
    <w:rsid w:val="0087135F"/>
    <w:rsid w:val="00872D94"/>
    <w:rsid w:val="00876B3F"/>
    <w:rsid w:val="00880364"/>
    <w:rsid w:val="00891592"/>
    <w:rsid w:val="00891E9E"/>
    <w:rsid w:val="00893560"/>
    <w:rsid w:val="00894442"/>
    <w:rsid w:val="008A2F68"/>
    <w:rsid w:val="008B4FA6"/>
    <w:rsid w:val="008B5282"/>
    <w:rsid w:val="008B7C17"/>
    <w:rsid w:val="008C2D01"/>
    <w:rsid w:val="008C40E6"/>
    <w:rsid w:val="008D0F7A"/>
    <w:rsid w:val="008D2266"/>
    <w:rsid w:val="008D68E4"/>
    <w:rsid w:val="008E0506"/>
    <w:rsid w:val="008E0CFF"/>
    <w:rsid w:val="008E4768"/>
    <w:rsid w:val="008E5D6B"/>
    <w:rsid w:val="008E76F0"/>
    <w:rsid w:val="008F15FE"/>
    <w:rsid w:val="008F2D29"/>
    <w:rsid w:val="008F5187"/>
    <w:rsid w:val="008F57EE"/>
    <w:rsid w:val="008F60D8"/>
    <w:rsid w:val="00902727"/>
    <w:rsid w:val="0090312B"/>
    <w:rsid w:val="00904990"/>
    <w:rsid w:val="00916F39"/>
    <w:rsid w:val="0091736D"/>
    <w:rsid w:val="0093037A"/>
    <w:rsid w:val="009406C8"/>
    <w:rsid w:val="0094154D"/>
    <w:rsid w:val="00945AEB"/>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6E67"/>
    <w:rsid w:val="009C7DD5"/>
    <w:rsid w:val="009E227D"/>
    <w:rsid w:val="009E2560"/>
    <w:rsid w:val="009E5019"/>
    <w:rsid w:val="009E7D24"/>
    <w:rsid w:val="00A04F1B"/>
    <w:rsid w:val="00A0501B"/>
    <w:rsid w:val="00A13D53"/>
    <w:rsid w:val="00A14947"/>
    <w:rsid w:val="00A16B7D"/>
    <w:rsid w:val="00A27596"/>
    <w:rsid w:val="00A30753"/>
    <w:rsid w:val="00A30875"/>
    <w:rsid w:val="00A32A83"/>
    <w:rsid w:val="00A368DB"/>
    <w:rsid w:val="00A423AA"/>
    <w:rsid w:val="00A53EC6"/>
    <w:rsid w:val="00A55C0F"/>
    <w:rsid w:val="00A6058F"/>
    <w:rsid w:val="00A70552"/>
    <w:rsid w:val="00A8713F"/>
    <w:rsid w:val="00A90BA1"/>
    <w:rsid w:val="00A97A9A"/>
    <w:rsid w:val="00AA0671"/>
    <w:rsid w:val="00AA2531"/>
    <w:rsid w:val="00AA4A81"/>
    <w:rsid w:val="00AB1E09"/>
    <w:rsid w:val="00AB5330"/>
    <w:rsid w:val="00AB7747"/>
    <w:rsid w:val="00AC14CE"/>
    <w:rsid w:val="00AC2A56"/>
    <w:rsid w:val="00AC4508"/>
    <w:rsid w:val="00AD055E"/>
    <w:rsid w:val="00AD47A7"/>
    <w:rsid w:val="00AE009C"/>
    <w:rsid w:val="00AF0CBF"/>
    <w:rsid w:val="00AF257F"/>
    <w:rsid w:val="00AF33CF"/>
    <w:rsid w:val="00AF4D50"/>
    <w:rsid w:val="00AF6179"/>
    <w:rsid w:val="00B03088"/>
    <w:rsid w:val="00B0627B"/>
    <w:rsid w:val="00B1295A"/>
    <w:rsid w:val="00B20A45"/>
    <w:rsid w:val="00B22C5C"/>
    <w:rsid w:val="00B24F30"/>
    <w:rsid w:val="00B31ABF"/>
    <w:rsid w:val="00B33BE3"/>
    <w:rsid w:val="00B407A1"/>
    <w:rsid w:val="00B52956"/>
    <w:rsid w:val="00B53B5D"/>
    <w:rsid w:val="00B55C02"/>
    <w:rsid w:val="00B6055E"/>
    <w:rsid w:val="00B6317D"/>
    <w:rsid w:val="00B656B4"/>
    <w:rsid w:val="00B7723F"/>
    <w:rsid w:val="00B80534"/>
    <w:rsid w:val="00B8433C"/>
    <w:rsid w:val="00B86036"/>
    <w:rsid w:val="00B87491"/>
    <w:rsid w:val="00B97CEB"/>
    <w:rsid w:val="00BA29E9"/>
    <w:rsid w:val="00BA5EDA"/>
    <w:rsid w:val="00BA6FD8"/>
    <w:rsid w:val="00BA7142"/>
    <w:rsid w:val="00BB1307"/>
    <w:rsid w:val="00BB237C"/>
    <w:rsid w:val="00BB41A3"/>
    <w:rsid w:val="00BB54AB"/>
    <w:rsid w:val="00BB5538"/>
    <w:rsid w:val="00BC32DC"/>
    <w:rsid w:val="00BC35B6"/>
    <w:rsid w:val="00BC5AC9"/>
    <w:rsid w:val="00BD1B51"/>
    <w:rsid w:val="00BD4596"/>
    <w:rsid w:val="00BE1405"/>
    <w:rsid w:val="00BE312D"/>
    <w:rsid w:val="00BF1C20"/>
    <w:rsid w:val="00C043B5"/>
    <w:rsid w:val="00C10578"/>
    <w:rsid w:val="00C135BC"/>
    <w:rsid w:val="00C15C95"/>
    <w:rsid w:val="00C163DA"/>
    <w:rsid w:val="00C255AF"/>
    <w:rsid w:val="00C2596A"/>
    <w:rsid w:val="00C26129"/>
    <w:rsid w:val="00C27537"/>
    <w:rsid w:val="00C328FE"/>
    <w:rsid w:val="00C33507"/>
    <w:rsid w:val="00C41AC0"/>
    <w:rsid w:val="00C4409D"/>
    <w:rsid w:val="00C44E72"/>
    <w:rsid w:val="00C45A06"/>
    <w:rsid w:val="00C46612"/>
    <w:rsid w:val="00C47E5B"/>
    <w:rsid w:val="00C61E4B"/>
    <w:rsid w:val="00C628C7"/>
    <w:rsid w:val="00C63398"/>
    <w:rsid w:val="00C64BFF"/>
    <w:rsid w:val="00C704E9"/>
    <w:rsid w:val="00C763C9"/>
    <w:rsid w:val="00C80057"/>
    <w:rsid w:val="00C82232"/>
    <w:rsid w:val="00C826EC"/>
    <w:rsid w:val="00C82913"/>
    <w:rsid w:val="00C972B1"/>
    <w:rsid w:val="00CA0373"/>
    <w:rsid w:val="00CA2CCE"/>
    <w:rsid w:val="00CA43FD"/>
    <w:rsid w:val="00CA4E3D"/>
    <w:rsid w:val="00CA7EF8"/>
    <w:rsid w:val="00CC00B8"/>
    <w:rsid w:val="00CC489B"/>
    <w:rsid w:val="00CD2BCD"/>
    <w:rsid w:val="00CD3A4C"/>
    <w:rsid w:val="00CD4887"/>
    <w:rsid w:val="00CD647A"/>
    <w:rsid w:val="00CE10E9"/>
    <w:rsid w:val="00CE2910"/>
    <w:rsid w:val="00CE5393"/>
    <w:rsid w:val="00CF36BE"/>
    <w:rsid w:val="00CF6000"/>
    <w:rsid w:val="00D003F3"/>
    <w:rsid w:val="00D02997"/>
    <w:rsid w:val="00D0364F"/>
    <w:rsid w:val="00D05983"/>
    <w:rsid w:val="00D06834"/>
    <w:rsid w:val="00D15463"/>
    <w:rsid w:val="00D308ED"/>
    <w:rsid w:val="00D3683C"/>
    <w:rsid w:val="00D36D86"/>
    <w:rsid w:val="00D428AA"/>
    <w:rsid w:val="00D50A34"/>
    <w:rsid w:val="00D53EFA"/>
    <w:rsid w:val="00D74FE5"/>
    <w:rsid w:val="00D823E5"/>
    <w:rsid w:val="00D91F92"/>
    <w:rsid w:val="00D94A7C"/>
    <w:rsid w:val="00D95896"/>
    <w:rsid w:val="00DA5E65"/>
    <w:rsid w:val="00DB1AA1"/>
    <w:rsid w:val="00DB2983"/>
    <w:rsid w:val="00DC0E3C"/>
    <w:rsid w:val="00DC1257"/>
    <w:rsid w:val="00DC3DC0"/>
    <w:rsid w:val="00DC4A3B"/>
    <w:rsid w:val="00DC5B2B"/>
    <w:rsid w:val="00DD318D"/>
    <w:rsid w:val="00DF2E12"/>
    <w:rsid w:val="00DF514A"/>
    <w:rsid w:val="00DF6690"/>
    <w:rsid w:val="00DF6804"/>
    <w:rsid w:val="00E0358D"/>
    <w:rsid w:val="00E04323"/>
    <w:rsid w:val="00E070A2"/>
    <w:rsid w:val="00E133DE"/>
    <w:rsid w:val="00E2656A"/>
    <w:rsid w:val="00E37CDD"/>
    <w:rsid w:val="00E412D0"/>
    <w:rsid w:val="00E412FE"/>
    <w:rsid w:val="00E45429"/>
    <w:rsid w:val="00E45E42"/>
    <w:rsid w:val="00E56322"/>
    <w:rsid w:val="00E60982"/>
    <w:rsid w:val="00E62C62"/>
    <w:rsid w:val="00E654C1"/>
    <w:rsid w:val="00E65D97"/>
    <w:rsid w:val="00E72A5A"/>
    <w:rsid w:val="00E73354"/>
    <w:rsid w:val="00E76655"/>
    <w:rsid w:val="00E90AFB"/>
    <w:rsid w:val="00E9242D"/>
    <w:rsid w:val="00E9555B"/>
    <w:rsid w:val="00EB339B"/>
    <w:rsid w:val="00EB4A5E"/>
    <w:rsid w:val="00EB5255"/>
    <w:rsid w:val="00EB5C47"/>
    <w:rsid w:val="00EB7CAA"/>
    <w:rsid w:val="00EC79C3"/>
    <w:rsid w:val="00ED0639"/>
    <w:rsid w:val="00ED6ACA"/>
    <w:rsid w:val="00EE013F"/>
    <w:rsid w:val="00EE1C3D"/>
    <w:rsid w:val="00EE3DB7"/>
    <w:rsid w:val="00EF4755"/>
    <w:rsid w:val="00EF596E"/>
    <w:rsid w:val="00EF62EE"/>
    <w:rsid w:val="00EF7135"/>
    <w:rsid w:val="00EF7E62"/>
    <w:rsid w:val="00F027DB"/>
    <w:rsid w:val="00F0280C"/>
    <w:rsid w:val="00F02B92"/>
    <w:rsid w:val="00F107F3"/>
    <w:rsid w:val="00F1291C"/>
    <w:rsid w:val="00F14A7A"/>
    <w:rsid w:val="00F22985"/>
    <w:rsid w:val="00F314AA"/>
    <w:rsid w:val="00F32F35"/>
    <w:rsid w:val="00F3383E"/>
    <w:rsid w:val="00F45E05"/>
    <w:rsid w:val="00F465A7"/>
    <w:rsid w:val="00F5007A"/>
    <w:rsid w:val="00F509D9"/>
    <w:rsid w:val="00F50B7C"/>
    <w:rsid w:val="00F550E6"/>
    <w:rsid w:val="00F741E1"/>
    <w:rsid w:val="00F74345"/>
    <w:rsid w:val="00F80A0A"/>
    <w:rsid w:val="00F82B19"/>
    <w:rsid w:val="00F9212D"/>
    <w:rsid w:val="00F92E0F"/>
    <w:rsid w:val="00F94439"/>
    <w:rsid w:val="00F965DA"/>
    <w:rsid w:val="00FA406A"/>
    <w:rsid w:val="00FB05A7"/>
    <w:rsid w:val="00FB4F97"/>
    <w:rsid w:val="00FB503A"/>
    <w:rsid w:val="00FB516C"/>
    <w:rsid w:val="00FC63B7"/>
    <w:rsid w:val="00FC64A8"/>
    <w:rsid w:val="00FD0236"/>
    <w:rsid w:val="00FD18F4"/>
    <w:rsid w:val="00FD54DB"/>
    <w:rsid w:val="00FD619F"/>
    <w:rsid w:val="00FE2E7B"/>
    <w:rsid w:val="00FF1D10"/>
    <w:rsid w:val="01290F7E"/>
    <w:rsid w:val="013721C6"/>
    <w:rsid w:val="01401F5A"/>
    <w:rsid w:val="0159411B"/>
    <w:rsid w:val="015D1E09"/>
    <w:rsid w:val="01B46088"/>
    <w:rsid w:val="02487AA1"/>
    <w:rsid w:val="024961D6"/>
    <w:rsid w:val="02697903"/>
    <w:rsid w:val="02A97FD3"/>
    <w:rsid w:val="02AA18D9"/>
    <w:rsid w:val="02AF1465"/>
    <w:rsid w:val="02DF43C0"/>
    <w:rsid w:val="02F96569"/>
    <w:rsid w:val="03083234"/>
    <w:rsid w:val="03351867"/>
    <w:rsid w:val="03406C65"/>
    <w:rsid w:val="034354E8"/>
    <w:rsid w:val="036F4D79"/>
    <w:rsid w:val="039217F3"/>
    <w:rsid w:val="03BE193D"/>
    <w:rsid w:val="03C53413"/>
    <w:rsid w:val="03EA7B21"/>
    <w:rsid w:val="043D6C25"/>
    <w:rsid w:val="04442B47"/>
    <w:rsid w:val="04644440"/>
    <w:rsid w:val="049D6BA8"/>
    <w:rsid w:val="04BD6A50"/>
    <w:rsid w:val="04DD2009"/>
    <w:rsid w:val="04ED16B4"/>
    <w:rsid w:val="05F83EAE"/>
    <w:rsid w:val="06093262"/>
    <w:rsid w:val="063E7D85"/>
    <w:rsid w:val="064F7E3A"/>
    <w:rsid w:val="06D7510F"/>
    <w:rsid w:val="06EE6808"/>
    <w:rsid w:val="070C63F7"/>
    <w:rsid w:val="07293586"/>
    <w:rsid w:val="07295285"/>
    <w:rsid w:val="072E6196"/>
    <w:rsid w:val="07636392"/>
    <w:rsid w:val="07770C56"/>
    <w:rsid w:val="07C65AC9"/>
    <w:rsid w:val="07C815D9"/>
    <w:rsid w:val="07F16C9F"/>
    <w:rsid w:val="083D6C8F"/>
    <w:rsid w:val="089B72F3"/>
    <w:rsid w:val="08B40FB3"/>
    <w:rsid w:val="092217DD"/>
    <w:rsid w:val="093A7294"/>
    <w:rsid w:val="09D5769B"/>
    <w:rsid w:val="0A263993"/>
    <w:rsid w:val="0A2C3A81"/>
    <w:rsid w:val="0A2D3AC2"/>
    <w:rsid w:val="0AA755DF"/>
    <w:rsid w:val="0AE40B42"/>
    <w:rsid w:val="0B0C10FF"/>
    <w:rsid w:val="0B120D44"/>
    <w:rsid w:val="0B233C98"/>
    <w:rsid w:val="0B3D28DE"/>
    <w:rsid w:val="0BD27BF6"/>
    <w:rsid w:val="0BDE4D19"/>
    <w:rsid w:val="0C1E0A6B"/>
    <w:rsid w:val="0C3B3C7D"/>
    <w:rsid w:val="0C535BA6"/>
    <w:rsid w:val="0C5F2805"/>
    <w:rsid w:val="0CAB2EAE"/>
    <w:rsid w:val="0CF5017A"/>
    <w:rsid w:val="0D621C7D"/>
    <w:rsid w:val="0DB30766"/>
    <w:rsid w:val="0E0E1DC7"/>
    <w:rsid w:val="0E6D0F0A"/>
    <w:rsid w:val="0E73034D"/>
    <w:rsid w:val="0E7C2CFE"/>
    <w:rsid w:val="0E7C47EE"/>
    <w:rsid w:val="0E8474DE"/>
    <w:rsid w:val="0EE21972"/>
    <w:rsid w:val="0F0D34DD"/>
    <w:rsid w:val="0F13775A"/>
    <w:rsid w:val="0F15106E"/>
    <w:rsid w:val="0F44133F"/>
    <w:rsid w:val="0F5A0F7A"/>
    <w:rsid w:val="0F5F45FE"/>
    <w:rsid w:val="0F9A112B"/>
    <w:rsid w:val="0FA83B07"/>
    <w:rsid w:val="0FC65D20"/>
    <w:rsid w:val="0FDB0682"/>
    <w:rsid w:val="0FE64614"/>
    <w:rsid w:val="0FF0438C"/>
    <w:rsid w:val="106D2F64"/>
    <w:rsid w:val="10927782"/>
    <w:rsid w:val="10B22749"/>
    <w:rsid w:val="10B63710"/>
    <w:rsid w:val="10B92903"/>
    <w:rsid w:val="10D44C6D"/>
    <w:rsid w:val="10F10820"/>
    <w:rsid w:val="110765F0"/>
    <w:rsid w:val="111C2F7A"/>
    <w:rsid w:val="11364558"/>
    <w:rsid w:val="114525FF"/>
    <w:rsid w:val="11665CA1"/>
    <w:rsid w:val="12207111"/>
    <w:rsid w:val="125704B0"/>
    <w:rsid w:val="12F37627"/>
    <w:rsid w:val="131A5D86"/>
    <w:rsid w:val="13806EFF"/>
    <w:rsid w:val="13951726"/>
    <w:rsid w:val="13B0290B"/>
    <w:rsid w:val="13B67DBD"/>
    <w:rsid w:val="13BF1404"/>
    <w:rsid w:val="13E432F3"/>
    <w:rsid w:val="140067BF"/>
    <w:rsid w:val="141708B5"/>
    <w:rsid w:val="14396509"/>
    <w:rsid w:val="14494932"/>
    <w:rsid w:val="14533100"/>
    <w:rsid w:val="14DD2C3C"/>
    <w:rsid w:val="156E60BC"/>
    <w:rsid w:val="157266EF"/>
    <w:rsid w:val="15EA50C6"/>
    <w:rsid w:val="16087E1D"/>
    <w:rsid w:val="16BB73C7"/>
    <w:rsid w:val="16DC36F2"/>
    <w:rsid w:val="17064237"/>
    <w:rsid w:val="172F4566"/>
    <w:rsid w:val="17701D14"/>
    <w:rsid w:val="17735226"/>
    <w:rsid w:val="17985906"/>
    <w:rsid w:val="17A72079"/>
    <w:rsid w:val="17C34802"/>
    <w:rsid w:val="17C44B2C"/>
    <w:rsid w:val="187118C1"/>
    <w:rsid w:val="189F624C"/>
    <w:rsid w:val="18A71260"/>
    <w:rsid w:val="18BB5D10"/>
    <w:rsid w:val="19781B17"/>
    <w:rsid w:val="19EC5173"/>
    <w:rsid w:val="1A1C66C0"/>
    <w:rsid w:val="1A42393B"/>
    <w:rsid w:val="1A7C3CC3"/>
    <w:rsid w:val="1AAD45DE"/>
    <w:rsid w:val="1B046F80"/>
    <w:rsid w:val="1B083246"/>
    <w:rsid w:val="1B236400"/>
    <w:rsid w:val="1B3267B5"/>
    <w:rsid w:val="1B40161D"/>
    <w:rsid w:val="1B441859"/>
    <w:rsid w:val="1B6606B1"/>
    <w:rsid w:val="1B6763A5"/>
    <w:rsid w:val="1BBB2D4A"/>
    <w:rsid w:val="1C5E7925"/>
    <w:rsid w:val="1CAF7C2C"/>
    <w:rsid w:val="1CFD070F"/>
    <w:rsid w:val="1D083221"/>
    <w:rsid w:val="1D1111F4"/>
    <w:rsid w:val="1D5F6196"/>
    <w:rsid w:val="1D6132A5"/>
    <w:rsid w:val="1D8E56D5"/>
    <w:rsid w:val="1DA41C5A"/>
    <w:rsid w:val="1DC16967"/>
    <w:rsid w:val="1DC36184"/>
    <w:rsid w:val="1DE936D8"/>
    <w:rsid w:val="1E5623C0"/>
    <w:rsid w:val="1E7A43DA"/>
    <w:rsid w:val="1EBB087C"/>
    <w:rsid w:val="1F13180F"/>
    <w:rsid w:val="1F3A49D6"/>
    <w:rsid w:val="1FA808F8"/>
    <w:rsid w:val="1FE7539E"/>
    <w:rsid w:val="2000583F"/>
    <w:rsid w:val="202B7FEF"/>
    <w:rsid w:val="20671BE0"/>
    <w:rsid w:val="20963CB8"/>
    <w:rsid w:val="20A81A1B"/>
    <w:rsid w:val="20B07FB6"/>
    <w:rsid w:val="20B646FB"/>
    <w:rsid w:val="213B74B1"/>
    <w:rsid w:val="215A2310"/>
    <w:rsid w:val="218B4544"/>
    <w:rsid w:val="219D125F"/>
    <w:rsid w:val="21DE318A"/>
    <w:rsid w:val="21EF5B80"/>
    <w:rsid w:val="22196184"/>
    <w:rsid w:val="22576990"/>
    <w:rsid w:val="22596B0F"/>
    <w:rsid w:val="22A75E85"/>
    <w:rsid w:val="22B3545D"/>
    <w:rsid w:val="22F47480"/>
    <w:rsid w:val="231A0405"/>
    <w:rsid w:val="234F13C8"/>
    <w:rsid w:val="23733FB9"/>
    <w:rsid w:val="23837349"/>
    <w:rsid w:val="23CE74D3"/>
    <w:rsid w:val="23D30A20"/>
    <w:rsid w:val="23DE1C48"/>
    <w:rsid w:val="240210CD"/>
    <w:rsid w:val="246E4E13"/>
    <w:rsid w:val="24777CFF"/>
    <w:rsid w:val="24925996"/>
    <w:rsid w:val="24BF09F7"/>
    <w:rsid w:val="252D53FE"/>
    <w:rsid w:val="25406175"/>
    <w:rsid w:val="259B2644"/>
    <w:rsid w:val="25EC2D81"/>
    <w:rsid w:val="26242350"/>
    <w:rsid w:val="265D3EC5"/>
    <w:rsid w:val="27146D11"/>
    <w:rsid w:val="277057A2"/>
    <w:rsid w:val="27D217F0"/>
    <w:rsid w:val="27E36863"/>
    <w:rsid w:val="2833604E"/>
    <w:rsid w:val="28E35FEF"/>
    <w:rsid w:val="290F6532"/>
    <w:rsid w:val="29206EB8"/>
    <w:rsid w:val="29430898"/>
    <w:rsid w:val="294575C5"/>
    <w:rsid w:val="29463D61"/>
    <w:rsid w:val="29595666"/>
    <w:rsid w:val="29874881"/>
    <w:rsid w:val="299751CB"/>
    <w:rsid w:val="29CD5D00"/>
    <w:rsid w:val="29D444FE"/>
    <w:rsid w:val="29E325E0"/>
    <w:rsid w:val="29F9269E"/>
    <w:rsid w:val="2A452503"/>
    <w:rsid w:val="2A6D2528"/>
    <w:rsid w:val="2AA630D9"/>
    <w:rsid w:val="2AAA5337"/>
    <w:rsid w:val="2AC606A8"/>
    <w:rsid w:val="2AE176FF"/>
    <w:rsid w:val="2AFB394C"/>
    <w:rsid w:val="2B430299"/>
    <w:rsid w:val="2BA936A8"/>
    <w:rsid w:val="2BAE4BB8"/>
    <w:rsid w:val="2C315A5A"/>
    <w:rsid w:val="2C4B1C25"/>
    <w:rsid w:val="2CA367BE"/>
    <w:rsid w:val="2CA664D6"/>
    <w:rsid w:val="2CF52ACF"/>
    <w:rsid w:val="2D1253F2"/>
    <w:rsid w:val="2D1B7AD5"/>
    <w:rsid w:val="2D4676B1"/>
    <w:rsid w:val="2D5F7847"/>
    <w:rsid w:val="2D815053"/>
    <w:rsid w:val="2D8C115D"/>
    <w:rsid w:val="2D9E56F5"/>
    <w:rsid w:val="2E667F96"/>
    <w:rsid w:val="2E8226AB"/>
    <w:rsid w:val="2F261EE0"/>
    <w:rsid w:val="2F5F5F90"/>
    <w:rsid w:val="2F9C5D54"/>
    <w:rsid w:val="2FB07922"/>
    <w:rsid w:val="2FBC2E27"/>
    <w:rsid w:val="2FD065E6"/>
    <w:rsid w:val="2FD96870"/>
    <w:rsid w:val="2FE97D32"/>
    <w:rsid w:val="2FEE198C"/>
    <w:rsid w:val="2FFB10E4"/>
    <w:rsid w:val="300E5FDF"/>
    <w:rsid w:val="30536D05"/>
    <w:rsid w:val="30580BC9"/>
    <w:rsid w:val="305B2525"/>
    <w:rsid w:val="311E2ED7"/>
    <w:rsid w:val="31442561"/>
    <w:rsid w:val="315619EE"/>
    <w:rsid w:val="315C449C"/>
    <w:rsid w:val="3168314E"/>
    <w:rsid w:val="31B82709"/>
    <w:rsid w:val="31D05482"/>
    <w:rsid w:val="31D105FB"/>
    <w:rsid w:val="32214A3C"/>
    <w:rsid w:val="32400B34"/>
    <w:rsid w:val="32407BE4"/>
    <w:rsid w:val="325A3C70"/>
    <w:rsid w:val="3264169D"/>
    <w:rsid w:val="329B2BE5"/>
    <w:rsid w:val="329E6876"/>
    <w:rsid w:val="32C11DDA"/>
    <w:rsid w:val="330F3F4C"/>
    <w:rsid w:val="33166909"/>
    <w:rsid w:val="33227530"/>
    <w:rsid w:val="333015F2"/>
    <w:rsid w:val="3335270B"/>
    <w:rsid w:val="334B6320"/>
    <w:rsid w:val="33D934D4"/>
    <w:rsid w:val="33ED302F"/>
    <w:rsid w:val="33FE2F6A"/>
    <w:rsid w:val="340E07E5"/>
    <w:rsid w:val="34235BF7"/>
    <w:rsid w:val="342C7EDC"/>
    <w:rsid w:val="345B1053"/>
    <w:rsid w:val="3468754E"/>
    <w:rsid w:val="34A55F9D"/>
    <w:rsid w:val="34BD0447"/>
    <w:rsid w:val="34C476FF"/>
    <w:rsid w:val="34E03A97"/>
    <w:rsid w:val="350D0FEC"/>
    <w:rsid w:val="351A3884"/>
    <w:rsid w:val="352275ED"/>
    <w:rsid w:val="35657E57"/>
    <w:rsid w:val="358C5FA8"/>
    <w:rsid w:val="35BF4E3C"/>
    <w:rsid w:val="35C15DF1"/>
    <w:rsid w:val="36074A7F"/>
    <w:rsid w:val="362F2333"/>
    <w:rsid w:val="36380B2B"/>
    <w:rsid w:val="36923549"/>
    <w:rsid w:val="36B75FBF"/>
    <w:rsid w:val="36BD0C45"/>
    <w:rsid w:val="36C01E3A"/>
    <w:rsid w:val="36C90BCC"/>
    <w:rsid w:val="372363F8"/>
    <w:rsid w:val="374E2B08"/>
    <w:rsid w:val="375A1651"/>
    <w:rsid w:val="377C319D"/>
    <w:rsid w:val="37E00298"/>
    <w:rsid w:val="3811168E"/>
    <w:rsid w:val="38154731"/>
    <w:rsid w:val="38B302F9"/>
    <w:rsid w:val="38D05B53"/>
    <w:rsid w:val="38E95002"/>
    <w:rsid w:val="38F12CD3"/>
    <w:rsid w:val="38F94775"/>
    <w:rsid w:val="392971ED"/>
    <w:rsid w:val="39325651"/>
    <w:rsid w:val="3A165896"/>
    <w:rsid w:val="3A7D7463"/>
    <w:rsid w:val="3A872856"/>
    <w:rsid w:val="3AE01DFE"/>
    <w:rsid w:val="3AEA0AF8"/>
    <w:rsid w:val="3AED1B29"/>
    <w:rsid w:val="3B0D66B5"/>
    <w:rsid w:val="3B1727D0"/>
    <w:rsid w:val="3B2F3D42"/>
    <w:rsid w:val="3B3763D1"/>
    <w:rsid w:val="3B397080"/>
    <w:rsid w:val="3B7E69A5"/>
    <w:rsid w:val="3BF1419A"/>
    <w:rsid w:val="3C0D0B7F"/>
    <w:rsid w:val="3C2F4ACD"/>
    <w:rsid w:val="3C2F6E1E"/>
    <w:rsid w:val="3C304DE5"/>
    <w:rsid w:val="3C4F64BA"/>
    <w:rsid w:val="3CC75731"/>
    <w:rsid w:val="3CCD39CD"/>
    <w:rsid w:val="3CDA245A"/>
    <w:rsid w:val="3D197528"/>
    <w:rsid w:val="3D1E06B7"/>
    <w:rsid w:val="3D9D1F07"/>
    <w:rsid w:val="3DB47301"/>
    <w:rsid w:val="3DBD7EB3"/>
    <w:rsid w:val="3DF33ADD"/>
    <w:rsid w:val="3E2C62E0"/>
    <w:rsid w:val="3E7C3967"/>
    <w:rsid w:val="3E8A0686"/>
    <w:rsid w:val="3EDA0523"/>
    <w:rsid w:val="3EE81F28"/>
    <w:rsid w:val="3F03223E"/>
    <w:rsid w:val="3F160B7C"/>
    <w:rsid w:val="3F7E6E44"/>
    <w:rsid w:val="3F9F1F66"/>
    <w:rsid w:val="3FDC7E26"/>
    <w:rsid w:val="406A504F"/>
    <w:rsid w:val="407A6407"/>
    <w:rsid w:val="40C136BD"/>
    <w:rsid w:val="40EF5266"/>
    <w:rsid w:val="4185755F"/>
    <w:rsid w:val="41CE08E1"/>
    <w:rsid w:val="4200449D"/>
    <w:rsid w:val="42005BB9"/>
    <w:rsid w:val="420B1F25"/>
    <w:rsid w:val="423A3BCC"/>
    <w:rsid w:val="42471220"/>
    <w:rsid w:val="424E57D2"/>
    <w:rsid w:val="4278084D"/>
    <w:rsid w:val="42B26C49"/>
    <w:rsid w:val="43006C20"/>
    <w:rsid w:val="433A6FE6"/>
    <w:rsid w:val="43480868"/>
    <w:rsid w:val="4350713C"/>
    <w:rsid w:val="436653E0"/>
    <w:rsid w:val="436D2333"/>
    <w:rsid w:val="43C4431A"/>
    <w:rsid w:val="43DC62DF"/>
    <w:rsid w:val="44410996"/>
    <w:rsid w:val="44B951CC"/>
    <w:rsid w:val="44CD14E0"/>
    <w:rsid w:val="44F20B0B"/>
    <w:rsid w:val="451F5543"/>
    <w:rsid w:val="452E5F4C"/>
    <w:rsid w:val="45612018"/>
    <w:rsid w:val="4564631F"/>
    <w:rsid w:val="45836BAC"/>
    <w:rsid w:val="458946E9"/>
    <w:rsid w:val="45A47C0E"/>
    <w:rsid w:val="46577FD6"/>
    <w:rsid w:val="46D955A7"/>
    <w:rsid w:val="46FE35D7"/>
    <w:rsid w:val="470628CB"/>
    <w:rsid w:val="47133957"/>
    <w:rsid w:val="471E1E95"/>
    <w:rsid w:val="472F77B7"/>
    <w:rsid w:val="47761DE7"/>
    <w:rsid w:val="47A07E0C"/>
    <w:rsid w:val="47AD2F34"/>
    <w:rsid w:val="47CE1578"/>
    <w:rsid w:val="483310F7"/>
    <w:rsid w:val="4870272E"/>
    <w:rsid w:val="48997B05"/>
    <w:rsid w:val="48D83DF3"/>
    <w:rsid w:val="48F13855"/>
    <w:rsid w:val="490B43FF"/>
    <w:rsid w:val="494B22C2"/>
    <w:rsid w:val="497020CE"/>
    <w:rsid w:val="49BA3495"/>
    <w:rsid w:val="49DB2792"/>
    <w:rsid w:val="49DC7715"/>
    <w:rsid w:val="49E06A06"/>
    <w:rsid w:val="49F74618"/>
    <w:rsid w:val="4A023139"/>
    <w:rsid w:val="4A0D2402"/>
    <w:rsid w:val="4A1962B3"/>
    <w:rsid w:val="4A36056A"/>
    <w:rsid w:val="4A7B576F"/>
    <w:rsid w:val="4A7C3B9B"/>
    <w:rsid w:val="4AF561A9"/>
    <w:rsid w:val="4B187071"/>
    <w:rsid w:val="4B1D534F"/>
    <w:rsid w:val="4B527DC0"/>
    <w:rsid w:val="4B7226B1"/>
    <w:rsid w:val="4B83273C"/>
    <w:rsid w:val="4BAC07EF"/>
    <w:rsid w:val="4BCE3403"/>
    <w:rsid w:val="4BEE35CE"/>
    <w:rsid w:val="4BFD69D1"/>
    <w:rsid w:val="4C4A0649"/>
    <w:rsid w:val="4C6A1041"/>
    <w:rsid w:val="4C7E5ECA"/>
    <w:rsid w:val="4C876AA5"/>
    <w:rsid w:val="4CD679EB"/>
    <w:rsid w:val="4CEE0089"/>
    <w:rsid w:val="4D0E00FB"/>
    <w:rsid w:val="4D176606"/>
    <w:rsid w:val="4D614C5A"/>
    <w:rsid w:val="4DB939B2"/>
    <w:rsid w:val="4DEC4FB0"/>
    <w:rsid w:val="4DF94F37"/>
    <w:rsid w:val="4E075D8A"/>
    <w:rsid w:val="4E9D1D67"/>
    <w:rsid w:val="4EC00FAD"/>
    <w:rsid w:val="4EF91F4F"/>
    <w:rsid w:val="4EFE032C"/>
    <w:rsid w:val="4F1051B3"/>
    <w:rsid w:val="4F386934"/>
    <w:rsid w:val="4F7929A2"/>
    <w:rsid w:val="4F9843DC"/>
    <w:rsid w:val="4FC62A8C"/>
    <w:rsid w:val="4FD55E23"/>
    <w:rsid w:val="4FE20F0D"/>
    <w:rsid w:val="4FE51552"/>
    <w:rsid w:val="50504C4B"/>
    <w:rsid w:val="508E3344"/>
    <w:rsid w:val="509C6E7C"/>
    <w:rsid w:val="5162104E"/>
    <w:rsid w:val="516B5540"/>
    <w:rsid w:val="518C5022"/>
    <w:rsid w:val="51C50152"/>
    <w:rsid w:val="51DD06CC"/>
    <w:rsid w:val="51E9095E"/>
    <w:rsid w:val="523D2057"/>
    <w:rsid w:val="527C7EE5"/>
    <w:rsid w:val="52B8538B"/>
    <w:rsid w:val="53087306"/>
    <w:rsid w:val="53377867"/>
    <w:rsid w:val="534050DC"/>
    <w:rsid w:val="534C43A6"/>
    <w:rsid w:val="53745413"/>
    <w:rsid w:val="53A039CC"/>
    <w:rsid w:val="53A1505A"/>
    <w:rsid w:val="53D26CEE"/>
    <w:rsid w:val="54063E08"/>
    <w:rsid w:val="54283640"/>
    <w:rsid w:val="543437E8"/>
    <w:rsid w:val="547277F2"/>
    <w:rsid w:val="54A6091E"/>
    <w:rsid w:val="54D206A1"/>
    <w:rsid w:val="54F73313"/>
    <w:rsid w:val="54F80955"/>
    <w:rsid w:val="55180399"/>
    <w:rsid w:val="555170A7"/>
    <w:rsid w:val="5587536D"/>
    <w:rsid w:val="559B174B"/>
    <w:rsid w:val="55B66DC1"/>
    <w:rsid w:val="55CE0CF4"/>
    <w:rsid w:val="568B52A6"/>
    <w:rsid w:val="56B22A9C"/>
    <w:rsid w:val="57177AFE"/>
    <w:rsid w:val="575E2F91"/>
    <w:rsid w:val="57AA3916"/>
    <w:rsid w:val="57B72A76"/>
    <w:rsid w:val="57C3426C"/>
    <w:rsid w:val="57CE1F93"/>
    <w:rsid w:val="58165ADD"/>
    <w:rsid w:val="581D4D8E"/>
    <w:rsid w:val="58315B41"/>
    <w:rsid w:val="585D5538"/>
    <w:rsid w:val="5866513C"/>
    <w:rsid w:val="588743D1"/>
    <w:rsid w:val="5887701A"/>
    <w:rsid w:val="58F235E0"/>
    <w:rsid w:val="594F5A5E"/>
    <w:rsid w:val="597E389A"/>
    <w:rsid w:val="598B593B"/>
    <w:rsid w:val="598B699D"/>
    <w:rsid w:val="59983826"/>
    <w:rsid w:val="59AC165F"/>
    <w:rsid w:val="59B32055"/>
    <w:rsid w:val="59C0439F"/>
    <w:rsid w:val="59EF7C0B"/>
    <w:rsid w:val="5A0B1CE2"/>
    <w:rsid w:val="5A0F600C"/>
    <w:rsid w:val="5AB04370"/>
    <w:rsid w:val="5ABE2233"/>
    <w:rsid w:val="5AC876C0"/>
    <w:rsid w:val="5ACD34C6"/>
    <w:rsid w:val="5BDF5D95"/>
    <w:rsid w:val="5BFE7528"/>
    <w:rsid w:val="5C454A72"/>
    <w:rsid w:val="5D8B5697"/>
    <w:rsid w:val="5D916F3A"/>
    <w:rsid w:val="5DB3770C"/>
    <w:rsid w:val="5DB74FE3"/>
    <w:rsid w:val="5DB76214"/>
    <w:rsid w:val="5DCF4FBE"/>
    <w:rsid w:val="5E021194"/>
    <w:rsid w:val="5E2467F1"/>
    <w:rsid w:val="5E7A6763"/>
    <w:rsid w:val="5E8C0937"/>
    <w:rsid w:val="5F1A2B43"/>
    <w:rsid w:val="5F3718F6"/>
    <w:rsid w:val="5F7D7637"/>
    <w:rsid w:val="5F81280E"/>
    <w:rsid w:val="5FB837BB"/>
    <w:rsid w:val="60752CAA"/>
    <w:rsid w:val="60B20A81"/>
    <w:rsid w:val="60CC405A"/>
    <w:rsid w:val="61982871"/>
    <w:rsid w:val="61BA6082"/>
    <w:rsid w:val="61C40F61"/>
    <w:rsid w:val="61E215D8"/>
    <w:rsid w:val="62080285"/>
    <w:rsid w:val="621959C6"/>
    <w:rsid w:val="621B3775"/>
    <w:rsid w:val="62364782"/>
    <w:rsid w:val="62445170"/>
    <w:rsid w:val="62B2525D"/>
    <w:rsid w:val="62CD073C"/>
    <w:rsid w:val="62E3740F"/>
    <w:rsid w:val="631C3D5F"/>
    <w:rsid w:val="63761272"/>
    <w:rsid w:val="6394356A"/>
    <w:rsid w:val="63C61B2C"/>
    <w:rsid w:val="63D40BE9"/>
    <w:rsid w:val="64102431"/>
    <w:rsid w:val="643D134D"/>
    <w:rsid w:val="64721DE6"/>
    <w:rsid w:val="6490340C"/>
    <w:rsid w:val="64A5243A"/>
    <w:rsid w:val="64F531DE"/>
    <w:rsid w:val="65064BCC"/>
    <w:rsid w:val="652808BB"/>
    <w:rsid w:val="65373578"/>
    <w:rsid w:val="656C007D"/>
    <w:rsid w:val="66AA754B"/>
    <w:rsid w:val="67042BD4"/>
    <w:rsid w:val="671F124A"/>
    <w:rsid w:val="674A5105"/>
    <w:rsid w:val="677A33C6"/>
    <w:rsid w:val="678C552E"/>
    <w:rsid w:val="67FB136A"/>
    <w:rsid w:val="67FF2A96"/>
    <w:rsid w:val="68054FCB"/>
    <w:rsid w:val="6805760C"/>
    <w:rsid w:val="681F6961"/>
    <w:rsid w:val="68297D70"/>
    <w:rsid w:val="68610A2F"/>
    <w:rsid w:val="68805514"/>
    <w:rsid w:val="68953657"/>
    <w:rsid w:val="69316E2F"/>
    <w:rsid w:val="693574E4"/>
    <w:rsid w:val="69440AF9"/>
    <w:rsid w:val="6949691B"/>
    <w:rsid w:val="694E2071"/>
    <w:rsid w:val="69766163"/>
    <w:rsid w:val="697A3B33"/>
    <w:rsid w:val="69CE5571"/>
    <w:rsid w:val="69D44760"/>
    <w:rsid w:val="69F56434"/>
    <w:rsid w:val="6A520EC7"/>
    <w:rsid w:val="6A696DEF"/>
    <w:rsid w:val="6AF87E20"/>
    <w:rsid w:val="6B322639"/>
    <w:rsid w:val="6B473D2D"/>
    <w:rsid w:val="6B6A74DC"/>
    <w:rsid w:val="6B905021"/>
    <w:rsid w:val="6BA15311"/>
    <w:rsid w:val="6BF42806"/>
    <w:rsid w:val="6BFA012A"/>
    <w:rsid w:val="6C294AD7"/>
    <w:rsid w:val="6C636C38"/>
    <w:rsid w:val="6C863F06"/>
    <w:rsid w:val="6CF32B92"/>
    <w:rsid w:val="6D1772E7"/>
    <w:rsid w:val="6D3E71CE"/>
    <w:rsid w:val="6D4318D3"/>
    <w:rsid w:val="6D8A12B0"/>
    <w:rsid w:val="6DB34098"/>
    <w:rsid w:val="6DB545B6"/>
    <w:rsid w:val="6DD46FEF"/>
    <w:rsid w:val="6DE02FB4"/>
    <w:rsid w:val="6DE1594C"/>
    <w:rsid w:val="6E03082B"/>
    <w:rsid w:val="6E2A65EF"/>
    <w:rsid w:val="6E514CED"/>
    <w:rsid w:val="6E5518BE"/>
    <w:rsid w:val="6E757D72"/>
    <w:rsid w:val="6E915BA1"/>
    <w:rsid w:val="6EAC34D0"/>
    <w:rsid w:val="6EB563D5"/>
    <w:rsid w:val="6ED92677"/>
    <w:rsid w:val="6F225983"/>
    <w:rsid w:val="6F6D0831"/>
    <w:rsid w:val="6F9147E9"/>
    <w:rsid w:val="6F94795E"/>
    <w:rsid w:val="6FFC5590"/>
    <w:rsid w:val="701F5F8D"/>
    <w:rsid w:val="704D1151"/>
    <w:rsid w:val="706D1DD0"/>
    <w:rsid w:val="7075449A"/>
    <w:rsid w:val="70856B87"/>
    <w:rsid w:val="70CE181E"/>
    <w:rsid w:val="70D527EE"/>
    <w:rsid w:val="713D192B"/>
    <w:rsid w:val="715B5300"/>
    <w:rsid w:val="717B4819"/>
    <w:rsid w:val="71D27F8A"/>
    <w:rsid w:val="7249644C"/>
    <w:rsid w:val="72553024"/>
    <w:rsid w:val="725E2D0C"/>
    <w:rsid w:val="727E26C2"/>
    <w:rsid w:val="72FDB6F0"/>
    <w:rsid w:val="73076D1D"/>
    <w:rsid w:val="73122968"/>
    <w:rsid w:val="731F5D5E"/>
    <w:rsid w:val="734A4459"/>
    <w:rsid w:val="73C51AD5"/>
    <w:rsid w:val="741E793C"/>
    <w:rsid w:val="745E3944"/>
    <w:rsid w:val="747524F2"/>
    <w:rsid w:val="74767172"/>
    <w:rsid w:val="747C10DE"/>
    <w:rsid w:val="74A30BC8"/>
    <w:rsid w:val="74A63AE7"/>
    <w:rsid w:val="74B953D5"/>
    <w:rsid w:val="74FF567F"/>
    <w:rsid w:val="7520754B"/>
    <w:rsid w:val="755A5C29"/>
    <w:rsid w:val="75C42F95"/>
    <w:rsid w:val="75D86622"/>
    <w:rsid w:val="75F60C8B"/>
    <w:rsid w:val="7635099D"/>
    <w:rsid w:val="7663421D"/>
    <w:rsid w:val="76797FEA"/>
    <w:rsid w:val="76857AC9"/>
    <w:rsid w:val="76C93707"/>
    <w:rsid w:val="76D57CBB"/>
    <w:rsid w:val="76DA5EF6"/>
    <w:rsid w:val="77453665"/>
    <w:rsid w:val="774A0BC9"/>
    <w:rsid w:val="77614A4C"/>
    <w:rsid w:val="77762421"/>
    <w:rsid w:val="777E6978"/>
    <w:rsid w:val="77B56B1F"/>
    <w:rsid w:val="77C46274"/>
    <w:rsid w:val="77C613D0"/>
    <w:rsid w:val="780F09F4"/>
    <w:rsid w:val="78A43B6E"/>
    <w:rsid w:val="78A90480"/>
    <w:rsid w:val="78C97976"/>
    <w:rsid w:val="78D50472"/>
    <w:rsid w:val="79027CD5"/>
    <w:rsid w:val="791C56D1"/>
    <w:rsid w:val="79365C8F"/>
    <w:rsid w:val="795B5424"/>
    <w:rsid w:val="79982CFD"/>
    <w:rsid w:val="79AE0096"/>
    <w:rsid w:val="79C20BB7"/>
    <w:rsid w:val="7A2C7387"/>
    <w:rsid w:val="7A364017"/>
    <w:rsid w:val="7A4D1DEC"/>
    <w:rsid w:val="7A8265E1"/>
    <w:rsid w:val="7AF12B40"/>
    <w:rsid w:val="7B686D42"/>
    <w:rsid w:val="7B841746"/>
    <w:rsid w:val="7BB63C36"/>
    <w:rsid w:val="7BF6426E"/>
    <w:rsid w:val="7C09013E"/>
    <w:rsid w:val="7C2A6C6A"/>
    <w:rsid w:val="7C68003A"/>
    <w:rsid w:val="7C6C5AC7"/>
    <w:rsid w:val="7CC6544B"/>
    <w:rsid w:val="7CCB5FF6"/>
    <w:rsid w:val="7CCC148B"/>
    <w:rsid w:val="7D0239FF"/>
    <w:rsid w:val="7D344D95"/>
    <w:rsid w:val="7D5E40CD"/>
    <w:rsid w:val="7DCA0958"/>
    <w:rsid w:val="7DCD56F2"/>
    <w:rsid w:val="7DD179D1"/>
    <w:rsid w:val="7DE409A3"/>
    <w:rsid w:val="7E435F80"/>
    <w:rsid w:val="7EAA1046"/>
    <w:rsid w:val="7EB959EF"/>
    <w:rsid w:val="7F001CE7"/>
    <w:rsid w:val="7F087CF7"/>
    <w:rsid w:val="7F2E324C"/>
    <w:rsid w:val="7F453376"/>
    <w:rsid w:val="7F9B13F6"/>
    <w:rsid w:val="7F9C72AC"/>
    <w:rsid w:val="7FC409CB"/>
    <w:rsid w:val="7FE47E50"/>
    <w:rsid w:val="7FEF55DE"/>
    <w:rsid w:val="AFFE71E2"/>
    <w:rsid w:val="BFBB4705"/>
    <w:rsid w:val="F477A294"/>
    <w:rsid w:val="FB9D3357"/>
    <w:rsid w:val="FEB19A53"/>
    <w:rsid w:val="FFD682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unhideWhenUsed="0" w:uiPriority="0" w:semiHidden="0" w:name="toc 3" w:locked="1"/>
    <w:lsdException w:qFormat="1" w:uiPriority="39"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qFormat="1"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iPriority="99"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3"/>
    <w:basedOn w:val="1"/>
    <w:next w:val="1"/>
    <w:qFormat/>
    <w:locked/>
    <w:uiPriority w:val="0"/>
    <w:pPr>
      <w:keepNext/>
      <w:keepLines/>
      <w:numPr>
        <w:ilvl w:val="2"/>
        <w:numId w:val="1"/>
      </w:numPr>
      <w:tabs>
        <w:tab w:val="left" w:pos="420"/>
        <w:tab w:val="clear" w:pos="0"/>
      </w:tabs>
      <w:spacing w:beforeLines="0" w:beforeAutospacing="0" w:afterLines="0" w:afterAutospacing="0" w:line="360" w:lineRule="auto"/>
      <w:ind w:left="720" w:hanging="720" w:firstLineChars="0"/>
      <w:outlineLvl w:val="2"/>
    </w:pPr>
    <w:rPr>
      <w:rFonts w:ascii="Times New Roman" w:hAnsi="Times New Roman" w:eastAsia="黑体"/>
      <w:b/>
      <w:bCs/>
      <w:sz w:val="28"/>
    </w:rPr>
  </w:style>
  <w:style w:type="paragraph" w:styleId="2">
    <w:name w:val="heading 4"/>
    <w:basedOn w:val="1"/>
    <w:next w:val="1"/>
    <w:unhideWhenUsed/>
    <w:qFormat/>
    <w:locked/>
    <w:uiPriority w:val="0"/>
    <w:pPr>
      <w:keepNext/>
      <w:keepLines/>
      <w:spacing w:beforeLines="0" w:beforeAutospacing="0" w:afterLines="0" w:afterAutospacing="0" w:line="360" w:lineRule="auto"/>
      <w:ind w:firstLine="0" w:firstLineChars="0"/>
      <w:outlineLvl w:val="3"/>
    </w:pPr>
    <w:rPr>
      <w:rFonts w:ascii="Times New Roman" w:hAnsi="Times New Roman" w:eastAsia="宋体"/>
      <w:b/>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5">
    <w:name w:val="List Number"/>
    <w:basedOn w:val="1"/>
    <w:qFormat/>
    <w:locked/>
    <w:uiPriority w:val="0"/>
    <w:pPr>
      <w:numPr>
        <w:ilvl w:val="0"/>
        <w:numId w:val="2"/>
      </w:numPr>
    </w:pPr>
  </w:style>
  <w:style w:type="paragraph" w:styleId="6">
    <w:name w:val="Normal Indent"/>
    <w:basedOn w:val="1"/>
    <w:qFormat/>
    <w:locked/>
    <w:uiPriority w:val="0"/>
    <w:pPr>
      <w:ind w:firstLine="420" w:firstLineChars="200"/>
    </w:pPr>
  </w:style>
  <w:style w:type="paragraph" w:styleId="7">
    <w:name w:val="caption"/>
    <w:basedOn w:val="1"/>
    <w:next w:val="1"/>
    <w:qFormat/>
    <w:locked/>
    <w:uiPriority w:val="0"/>
    <w:pPr>
      <w:adjustRightInd w:val="0"/>
      <w:snapToGrid w:val="0"/>
      <w:jc w:val="center"/>
    </w:pPr>
    <w:rPr>
      <w:rFonts w:ascii="Cambria" w:hAnsi="Cambria"/>
      <w:b/>
      <w:szCs w:val="20"/>
    </w:rPr>
  </w:style>
  <w:style w:type="paragraph" w:styleId="8">
    <w:name w:val="annotation text"/>
    <w:basedOn w:val="1"/>
    <w:link w:val="36"/>
    <w:semiHidden/>
    <w:qFormat/>
    <w:uiPriority w:val="0"/>
    <w:pPr>
      <w:jc w:val="left"/>
    </w:pPr>
    <w:rPr>
      <w:kern w:val="0"/>
      <w:sz w:val="24"/>
      <w:szCs w:val="20"/>
    </w:rPr>
  </w:style>
  <w:style w:type="paragraph" w:styleId="9">
    <w:name w:val="Body Text"/>
    <w:basedOn w:val="1"/>
    <w:link w:val="37"/>
    <w:qFormat/>
    <w:uiPriority w:val="0"/>
    <w:pPr>
      <w:widowControl/>
      <w:snapToGrid w:val="0"/>
      <w:spacing w:before="60" w:after="160" w:line="259" w:lineRule="auto"/>
      <w:ind w:right="113"/>
    </w:pPr>
    <w:rPr>
      <w:kern w:val="0"/>
      <w:sz w:val="18"/>
      <w:szCs w:val="20"/>
    </w:rPr>
  </w:style>
  <w:style w:type="paragraph" w:styleId="10">
    <w:name w:val="Body Text Indent"/>
    <w:basedOn w:val="1"/>
    <w:next w:val="1"/>
    <w:link w:val="38"/>
    <w:qFormat/>
    <w:uiPriority w:val="0"/>
    <w:pPr>
      <w:spacing w:after="120"/>
      <w:ind w:left="420" w:leftChars="200"/>
    </w:pPr>
    <w:rPr>
      <w:kern w:val="0"/>
      <w:sz w:val="24"/>
      <w:szCs w:val="20"/>
    </w:rPr>
  </w:style>
  <w:style w:type="paragraph" w:styleId="11">
    <w:name w:val="Block Text"/>
    <w:basedOn w:val="1"/>
    <w:qFormat/>
    <w:locked/>
    <w:uiPriority w:val="0"/>
    <w:pPr>
      <w:spacing w:after="120"/>
      <w:ind w:left="1440" w:leftChars="700" w:right="1440" w:rightChars="700"/>
    </w:pPr>
  </w:style>
  <w:style w:type="paragraph" w:styleId="12">
    <w:name w:val="Plain Text"/>
    <w:basedOn w:val="1"/>
    <w:qFormat/>
    <w:locked/>
    <w:uiPriority w:val="0"/>
    <w:rPr>
      <w:rFonts w:ascii="宋体" w:hAnsi="Courier New"/>
      <w:kern w:val="0"/>
    </w:rPr>
  </w:style>
  <w:style w:type="paragraph" w:styleId="13">
    <w:name w:val="List Bullet 5"/>
    <w:basedOn w:val="1"/>
    <w:qFormat/>
    <w:locked/>
    <w:uiPriority w:val="0"/>
    <w:pPr>
      <w:numPr>
        <w:ilvl w:val="0"/>
        <w:numId w:val="3"/>
      </w:numPr>
    </w:pPr>
  </w:style>
  <w:style w:type="paragraph" w:styleId="14">
    <w:name w:val="Date"/>
    <w:basedOn w:val="1"/>
    <w:next w:val="1"/>
    <w:link w:val="39"/>
    <w:qFormat/>
    <w:uiPriority w:val="0"/>
    <w:pPr>
      <w:ind w:left="100" w:leftChars="2500"/>
    </w:pPr>
    <w:rPr>
      <w:kern w:val="0"/>
      <w:sz w:val="24"/>
      <w:szCs w:val="20"/>
    </w:rPr>
  </w:style>
  <w:style w:type="paragraph" w:styleId="15">
    <w:name w:val="Body Text Indent 2"/>
    <w:basedOn w:val="1"/>
    <w:next w:val="1"/>
    <w:qFormat/>
    <w:locked/>
    <w:uiPriority w:val="0"/>
    <w:pPr>
      <w:ind w:left="-140" w:firstLine="560"/>
      <w:jc w:val="left"/>
      <w:outlineLvl w:val="0"/>
    </w:pPr>
    <w:rPr>
      <w:sz w:val="28"/>
      <w:szCs w:val="20"/>
    </w:rPr>
  </w:style>
  <w:style w:type="paragraph" w:styleId="16">
    <w:name w:val="endnote text"/>
    <w:basedOn w:val="1"/>
    <w:qFormat/>
    <w:locked/>
    <w:uiPriority w:val="0"/>
    <w:pPr>
      <w:snapToGrid w:val="0"/>
      <w:jc w:val="left"/>
    </w:pPr>
  </w:style>
  <w:style w:type="paragraph" w:styleId="17">
    <w:name w:val="Balloon Text"/>
    <w:basedOn w:val="1"/>
    <w:link w:val="40"/>
    <w:semiHidden/>
    <w:qFormat/>
    <w:uiPriority w:val="0"/>
    <w:rPr>
      <w:kern w:val="0"/>
      <w:sz w:val="18"/>
      <w:szCs w:val="20"/>
    </w:rPr>
  </w:style>
  <w:style w:type="paragraph" w:styleId="18">
    <w:name w:val="footer"/>
    <w:basedOn w:val="1"/>
    <w:link w:val="41"/>
    <w:qFormat/>
    <w:uiPriority w:val="99"/>
    <w:pPr>
      <w:tabs>
        <w:tab w:val="center" w:pos="4153"/>
        <w:tab w:val="right" w:pos="8306"/>
      </w:tabs>
      <w:snapToGrid w:val="0"/>
      <w:jc w:val="left"/>
    </w:pPr>
    <w:rPr>
      <w:kern w:val="0"/>
      <w:sz w:val="18"/>
      <w:szCs w:val="20"/>
    </w:rPr>
  </w:style>
  <w:style w:type="paragraph" w:styleId="19">
    <w:name w:val="header"/>
    <w:basedOn w:val="1"/>
    <w:link w:val="42"/>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toc 1"/>
    <w:basedOn w:val="1"/>
    <w:next w:val="1"/>
    <w:qFormat/>
    <w:locked/>
    <w:uiPriority w:val="39"/>
  </w:style>
  <w:style w:type="paragraph" w:styleId="21">
    <w:name w:val="toc 4"/>
    <w:basedOn w:val="1"/>
    <w:next w:val="1"/>
    <w:unhideWhenUsed/>
    <w:qFormat/>
    <w:locked/>
    <w:uiPriority w:val="39"/>
    <w:pPr>
      <w:ind w:left="720"/>
      <w:jc w:val="left"/>
    </w:pPr>
    <w:rPr>
      <w:rFonts w:ascii="Calibri" w:hAnsi="Calibri" w:cs="Calibri"/>
      <w:sz w:val="18"/>
      <w:szCs w:val="21"/>
    </w:rPr>
  </w:style>
  <w:style w:type="paragraph" w:styleId="22">
    <w:name w:val="Body Text Indent 3"/>
    <w:basedOn w:val="1"/>
    <w:qFormat/>
    <w:locked/>
    <w:uiPriority w:val="0"/>
    <w:pPr>
      <w:spacing w:line="360" w:lineRule="auto"/>
      <w:ind w:firstLine="567"/>
    </w:pPr>
    <w:rPr>
      <w:sz w:val="24"/>
      <w:szCs w:val="20"/>
    </w:rPr>
  </w:style>
  <w:style w:type="paragraph" w:styleId="23">
    <w:name w:val="toc 2"/>
    <w:basedOn w:val="1"/>
    <w:next w:val="1"/>
    <w:qFormat/>
    <w:locked/>
    <w:uiPriority w:val="39"/>
    <w:pPr>
      <w:autoSpaceDE w:val="0"/>
      <w:autoSpaceDN w:val="0"/>
      <w:ind w:left="420" w:leftChars="200"/>
      <w:jc w:val="left"/>
    </w:pPr>
    <w:rPr>
      <w:rFonts w:ascii="宋体" w:hAnsi="宋体" w:cs="宋体"/>
      <w:kern w:val="0"/>
      <w:sz w:val="22"/>
      <w:szCs w:val="22"/>
      <w:lang w:eastAsia="en-US"/>
    </w:rPr>
  </w:style>
  <w:style w:type="paragraph" w:styleId="24">
    <w:name w:val="Body Text 2"/>
    <w:basedOn w:val="1"/>
    <w:next w:val="1"/>
    <w:unhideWhenUsed/>
    <w:qFormat/>
    <w:locked/>
    <w:uiPriority w:val="99"/>
    <w:pPr>
      <w:spacing w:after="120" w:line="480" w:lineRule="auto"/>
    </w:pPr>
  </w:style>
  <w:style w:type="paragraph" w:styleId="25">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6">
    <w:name w:val="Normal (Web)"/>
    <w:basedOn w:val="1"/>
    <w:link w:val="43"/>
    <w:qFormat/>
    <w:uiPriority w:val="0"/>
    <w:pPr>
      <w:widowControl/>
      <w:spacing w:before="100" w:beforeAutospacing="1" w:after="100" w:afterAutospacing="1"/>
      <w:jc w:val="left"/>
    </w:pPr>
    <w:rPr>
      <w:rFonts w:ascii="宋体" w:hAnsi="宋体"/>
      <w:kern w:val="0"/>
      <w:sz w:val="24"/>
      <w:szCs w:val="20"/>
    </w:rPr>
  </w:style>
  <w:style w:type="paragraph" w:styleId="27">
    <w:name w:val="annotation subject"/>
    <w:basedOn w:val="8"/>
    <w:next w:val="8"/>
    <w:link w:val="44"/>
    <w:semiHidden/>
    <w:qFormat/>
    <w:uiPriority w:val="0"/>
    <w:rPr>
      <w:b/>
    </w:rPr>
  </w:style>
  <w:style w:type="paragraph" w:styleId="28">
    <w:name w:val="Body Text First Indent"/>
    <w:basedOn w:val="9"/>
    <w:next w:val="1"/>
    <w:qFormat/>
    <w:locked/>
    <w:uiPriority w:val="0"/>
    <w:pPr>
      <w:ind w:firstLine="420" w:firstLineChars="100"/>
    </w:pPr>
  </w:style>
  <w:style w:type="paragraph" w:styleId="29">
    <w:name w:val="Body Text First Indent 2"/>
    <w:basedOn w:val="10"/>
    <w:next w:val="1"/>
    <w:qFormat/>
    <w:locked/>
    <w:uiPriority w:val="0"/>
    <w:pPr>
      <w:ind w:firstLine="420" w:firstLineChars="200"/>
    </w:p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qFormat/>
    <w:locked/>
    <w:uiPriority w:val="0"/>
  </w:style>
  <w:style w:type="character" w:styleId="34">
    <w:name w:val="annotation reference"/>
    <w:semiHidden/>
    <w:qFormat/>
    <w:uiPriority w:val="0"/>
    <w:rPr>
      <w:sz w:val="21"/>
    </w:rPr>
  </w:style>
  <w:style w:type="paragraph" w:customStyle="1" w:styleId="35">
    <w:name w:val="[1]正文"/>
    <w:basedOn w:val="1"/>
    <w:qFormat/>
    <w:uiPriority w:val="0"/>
    <w:pPr>
      <w:autoSpaceDE w:val="0"/>
      <w:autoSpaceDN w:val="0"/>
    </w:pPr>
    <w:rPr>
      <w:color w:val="000000"/>
      <w:kern w:val="0"/>
      <w:lang w:val="zh-CN"/>
    </w:rPr>
  </w:style>
  <w:style w:type="character" w:customStyle="1" w:styleId="36">
    <w:name w:val="批注文字 字符"/>
    <w:link w:val="8"/>
    <w:qFormat/>
    <w:locked/>
    <w:uiPriority w:val="0"/>
    <w:rPr>
      <w:rFonts w:ascii="Times New Roman" w:hAnsi="Times New Roman" w:eastAsia="宋体"/>
      <w:sz w:val="24"/>
    </w:rPr>
  </w:style>
  <w:style w:type="character" w:customStyle="1" w:styleId="37">
    <w:name w:val="正文文本 字符"/>
    <w:link w:val="9"/>
    <w:qFormat/>
    <w:locked/>
    <w:uiPriority w:val="0"/>
    <w:rPr>
      <w:sz w:val="18"/>
    </w:rPr>
  </w:style>
  <w:style w:type="character" w:customStyle="1" w:styleId="38">
    <w:name w:val="正文文本缩进 字符"/>
    <w:link w:val="10"/>
    <w:semiHidden/>
    <w:qFormat/>
    <w:locked/>
    <w:uiPriority w:val="0"/>
    <w:rPr>
      <w:rFonts w:ascii="Times New Roman" w:hAnsi="Times New Roman" w:eastAsia="宋体"/>
      <w:sz w:val="24"/>
    </w:rPr>
  </w:style>
  <w:style w:type="character" w:customStyle="1" w:styleId="39">
    <w:name w:val="日期 字符1"/>
    <w:link w:val="14"/>
    <w:qFormat/>
    <w:locked/>
    <w:uiPriority w:val="0"/>
    <w:rPr>
      <w:rFonts w:ascii="Times New Roman" w:hAnsi="Times New Roman" w:eastAsia="宋体"/>
      <w:sz w:val="24"/>
    </w:rPr>
  </w:style>
  <w:style w:type="character" w:customStyle="1" w:styleId="40">
    <w:name w:val="批注框文本 字符"/>
    <w:link w:val="17"/>
    <w:semiHidden/>
    <w:qFormat/>
    <w:locked/>
    <w:uiPriority w:val="0"/>
    <w:rPr>
      <w:rFonts w:ascii="Times New Roman" w:hAnsi="Times New Roman" w:eastAsia="宋体"/>
      <w:sz w:val="18"/>
    </w:rPr>
  </w:style>
  <w:style w:type="character" w:customStyle="1" w:styleId="41">
    <w:name w:val="页脚 字符1"/>
    <w:link w:val="18"/>
    <w:qFormat/>
    <w:locked/>
    <w:uiPriority w:val="99"/>
    <w:rPr>
      <w:sz w:val="18"/>
    </w:rPr>
  </w:style>
  <w:style w:type="character" w:customStyle="1" w:styleId="42">
    <w:name w:val="页眉 字符"/>
    <w:link w:val="19"/>
    <w:qFormat/>
    <w:locked/>
    <w:uiPriority w:val="0"/>
    <w:rPr>
      <w:sz w:val="18"/>
    </w:rPr>
  </w:style>
  <w:style w:type="character" w:customStyle="1" w:styleId="43">
    <w:name w:val="普通(网站) 字符"/>
    <w:link w:val="26"/>
    <w:qFormat/>
    <w:locked/>
    <w:uiPriority w:val="0"/>
    <w:rPr>
      <w:rFonts w:ascii="宋体" w:hAnsi="宋体" w:eastAsia="宋体"/>
      <w:sz w:val="24"/>
    </w:rPr>
  </w:style>
  <w:style w:type="character" w:customStyle="1" w:styleId="44">
    <w:name w:val="批注主题 字符"/>
    <w:link w:val="27"/>
    <w:semiHidden/>
    <w:qFormat/>
    <w:locked/>
    <w:uiPriority w:val="0"/>
    <w:rPr>
      <w:rFonts w:ascii="Times New Roman" w:hAnsi="Times New Roman" w:eastAsia="宋体"/>
      <w:b/>
      <w:kern w:val="2"/>
      <w:sz w:val="24"/>
    </w:rPr>
  </w:style>
  <w:style w:type="paragraph" w:customStyle="1" w:styleId="45">
    <w:name w:val="表格文字"/>
    <w:basedOn w:val="9"/>
    <w:next w:val="1"/>
    <w:qFormat/>
    <w:uiPriority w:val="0"/>
    <w:pPr>
      <w:tabs>
        <w:tab w:val="left" w:pos="972"/>
      </w:tabs>
      <w:spacing w:after="0" w:line="360" w:lineRule="auto"/>
      <w:jc w:val="center"/>
    </w:pPr>
    <w:rPr>
      <w:b/>
      <w:color w:val="000000"/>
      <w:sz w:val="24"/>
      <w:szCs w:val="24"/>
    </w:rPr>
  </w:style>
  <w:style w:type="character" w:customStyle="1" w:styleId="46">
    <w:name w:val="文章正文 Char Char"/>
    <w:qFormat/>
    <w:uiPriority w:val="0"/>
    <w:rPr>
      <w:rFonts w:ascii="Times New Roman" w:hAnsi="Times New Roman" w:eastAsia="宋体"/>
      <w:sz w:val="24"/>
    </w:rPr>
  </w:style>
  <w:style w:type="character" w:customStyle="1" w:styleId="47">
    <w:name w:val="页脚 字符"/>
    <w:qFormat/>
    <w:uiPriority w:val="99"/>
  </w:style>
  <w:style w:type="character" w:customStyle="1" w:styleId="48">
    <w:name w:val="表格 Char"/>
    <w:link w:val="49"/>
    <w:qFormat/>
    <w:locked/>
    <w:uiPriority w:val="0"/>
    <w:rPr>
      <w:rFonts w:ascii="宋体"/>
      <w:sz w:val="21"/>
    </w:rPr>
  </w:style>
  <w:style w:type="paragraph" w:customStyle="1" w:styleId="49">
    <w:name w:val="表格"/>
    <w:basedOn w:val="1"/>
    <w:next w:val="1"/>
    <w:link w:val="48"/>
    <w:qFormat/>
    <w:uiPriority w:val="0"/>
    <w:pPr>
      <w:adjustRightInd w:val="0"/>
      <w:snapToGrid w:val="0"/>
      <w:spacing w:beforeLines="10" w:afterLines="10" w:line="259" w:lineRule="auto"/>
      <w:jc w:val="center"/>
    </w:pPr>
    <w:rPr>
      <w:rFonts w:ascii="宋体"/>
      <w:kern w:val="0"/>
      <w:szCs w:val="20"/>
    </w:rPr>
  </w:style>
  <w:style w:type="character" w:customStyle="1" w:styleId="50">
    <w:name w:val="日期 字符"/>
    <w:semiHidden/>
    <w:qFormat/>
    <w:uiPriority w:val="0"/>
    <w:rPr>
      <w:rFonts w:ascii="Times New Roman" w:hAnsi="Times New Roman" w:eastAsia="宋体"/>
      <w:sz w:val="24"/>
    </w:rPr>
  </w:style>
  <w:style w:type="character" w:customStyle="1" w:styleId="51">
    <w:name w:val="正文文本 字符1"/>
    <w:semiHidden/>
    <w:qFormat/>
    <w:uiPriority w:val="0"/>
    <w:rPr>
      <w:rFonts w:ascii="Times New Roman" w:hAnsi="Times New Roman" w:eastAsia="宋体"/>
      <w:sz w:val="24"/>
    </w:rPr>
  </w:style>
  <w:style w:type="character" w:customStyle="1" w:styleId="52">
    <w:name w:val="fontstyle01"/>
    <w:qFormat/>
    <w:uiPriority w:val="0"/>
    <w:rPr>
      <w:rFonts w:ascii="宋体" w:hAnsi="宋体" w:eastAsia="宋体"/>
      <w:color w:val="000000"/>
      <w:sz w:val="24"/>
    </w:rPr>
  </w:style>
  <w:style w:type="character" w:customStyle="1" w:styleId="53">
    <w:name w:val="样式1 Char"/>
    <w:link w:val="54"/>
    <w:qFormat/>
    <w:uiPriority w:val="0"/>
    <w:rPr>
      <w:sz w:val="24"/>
      <w:szCs w:val="24"/>
    </w:rPr>
  </w:style>
  <w:style w:type="paragraph" w:customStyle="1" w:styleId="54">
    <w:name w:val="样式1"/>
    <w:basedOn w:val="1"/>
    <w:next w:val="11"/>
    <w:link w:val="53"/>
    <w:qFormat/>
    <w:uiPriority w:val="0"/>
    <w:pPr>
      <w:kinsoku w:val="0"/>
      <w:overflowPunct w:val="0"/>
      <w:autoSpaceDE w:val="0"/>
      <w:autoSpaceDN w:val="0"/>
      <w:adjustRightInd w:val="0"/>
      <w:snapToGrid w:val="0"/>
      <w:spacing w:line="360" w:lineRule="auto"/>
      <w:ind w:firstLine="480" w:firstLineChars="200"/>
    </w:pPr>
    <w:rPr>
      <w:sz w:val="24"/>
    </w:rPr>
  </w:style>
  <w:style w:type="character" w:customStyle="1" w:styleId="55">
    <w:name w:val="批注文字 字符1"/>
    <w:semiHidden/>
    <w:qFormat/>
    <w:uiPriority w:val="0"/>
    <w:rPr>
      <w:rFonts w:ascii="Times New Roman" w:hAnsi="Times New Roman" w:eastAsia="宋体"/>
      <w:sz w:val="24"/>
    </w:rPr>
  </w:style>
  <w:style w:type="paragraph" w:customStyle="1" w:styleId="56">
    <w:name w:val="Default"/>
    <w:basedOn w:val="57"/>
    <w:next w:val="58"/>
    <w:qFormat/>
    <w:uiPriority w:val="0"/>
    <w:pPr>
      <w:autoSpaceDE w:val="0"/>
      <w:autoSpaceDN w:val="0"/>
    </w:pPr>
    <w:rPr>
      <w:rFonts w:ascii="仿宋_GB2312" w:hAnsi="Times New Roman" w:eastAsia="仿宋_GB2312" w:cs="仿宋_GB2312"/>
      <w:color w:val="000000"/>
      <w:sz w:val="24"/>
      <w:szCs w:val="24"/>
    </w:rPr>
  </w:style>
  <w:style w:type="paragraph" w:customStyle="1" w:styleId="57">
    <w:name w:val="纯文本1"/>
    <w:basedOn w:val="1"/>
    <w:qFormat/>
    <w:uiPriority w:val="0"/>
    <w:pPr>
      <w:adjustRightInd w:val="0"/>
    </w:pPr>
    <w:rPr>
      <w:rFonts w:ascii="宋体" w:hAnsi="Courier New"/>
      <w:szCs w:val="20"/>
    </w:rPr>
  </w:style>
  <w:style w:type="paragraph" w:customStyle="1" w:styleId="58">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59">
    <w:name w:val="SLL-正文"/>
    <w:basedOn w:val="1"/>
    <w:qFormat/>
    <w:uiPriority w:val="0"/>
  </w:style>
  <w:style w:type="paragraph" w:customStyle="1" w:styleId="60">
    <w:name w:val="ALT+C"/>
    <w:basedOn w:val="1"/>
    <w:qFormat/>
    <w:uiPriority w:val="0"/>
    <w:pPr>
      <w:keepNext/>
      <w:spacing w:line="360" w:lineRule="auto"/>
      <w:ind w:firstLine="480"/>
      <w:jc w:val="left"/>
    </w:pPr>
  </w:style>
  <w:style w:type="paragraph" w:customStyle="1" w:styleId="6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2">
    <w:name w:val="表文字xxxxxxxx"/>
    <w:basedOn w:val="1"/>
    <w:qFormat/>
    <w:uiPriority w:val="0"/>
    <w:pPr>
      <w:topLinePunct/>
      <w:adjustRightInd w:val="0"/>
      <w:spacing w:line="360" w:lineRule="exact"/>
      <w:jc w:val="center"/>
      <w:textAlignment w:val="baseline"/>
    </w:pPr>
    <w:rPr>
      <w:szCs w:val="21"/>
    </w:rPr>
  </w:style>
  <w:style w:type="paragraph" w:customStyle="1" w:styleId="63">
    <w:name w:val="xxxxx正文"/>
    <w:basedOn w:val="1"/>
    <w:qFormat/>
    <w:uiPriority w:val="0"/>
    <w:pPr>
      <w:topLinePunct/>
      <w:spacing w:line="360" w:lineRule="auto"/>
      <w:ind w:firstLine="200" w:firstLineChars="200"/>
    </w:pPr>
    <w:rPr>
      <w:rFonts w:ascii="宋体"/>
      <w:sz w:val="24"/>
      <w:lang w:val="zh-CN"/>
    </w:rPr>
  </w:style>
  <w:style w:type="paragraph" w:customStyle="1" w:styleId="64">
    <w:name w:val="SLL-表头"/>
    <w:basedOn w:val="1"/>
    <w:next w:val="1"/>
    <w:qFormat/>
    <w:uiPriority w:val="0"/>
    <w:pPr>
      <w:jc w:val="center"/>
    </w:pPr>
    <w:rPr>
      <w:b/>
      <w:kern w:val="0"/>
      <w:sz w:val="24"/>
      <w:szCs w:val="20"/>
    </w:rPr>
  </w:style>
  <w:style w:type="paragraph" w:customStyle="1" w:styleId="6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6">
    <w:name w:val="msolistparagraph"/>
    <w:basedOn w:val="1"/>
    <w:qFormat/>
    <w:uiPriority w:val="0"/>
    <w:pPr>
      <w:ind w:firstLine="420"/>
    </w:pPr>
    <w:rPr>
      <w:sz w:val="28"/>
    </w:rPr>
  </w:style>
  <w:style w:type="paragraph" w:customStyle="1" w:styleId="67">
    <w:name w:val="Table Paragraph"/>
    <w:basedOn w:val="1"/>
    <w:qFormat/>
    <w:uiPriority w:val="1"/>
    <w:pPr>
      <w:autoSpaceDE w:val="0"/>
      <w:autoSpaceDN w:val="0"/>
      <w:jc w:val="center"/>
    </w:pPr>
    <w:rPr>
      <w:rFonts w:ascii="宋体" w:hAnsi="宋体" w:cs="宋体"/>
      <w:kern w:val="0"/>
      <w:sz w:val="22"/>
      <w:lang w:val="zh-CN"/>
    </w:rPr>
  </w:style>
  <w:style w:type="paragraph" w:customStyle="1" w:styleId="68">
    <w:name w:val="SLL-表格"/>
    <w:basedOn w:val="59"/>
    <w:next w:val="59"/>
    <w:qFormat/>
    <w:uiPriority w:val="0"/>
    <w:pPr>
      <w:jc w:val="center"/>
    </w:pPr>
  </w:style>
  <w:style w:type="paragraph" w:customStyle="1" w:styleId="69">
    <w:name w:val="文章正文"/>
    <w:basedOn w:val="1"/>
    <w:qFormat/>
    <w:uiPriority w:val="0"/>
    <w:pPr>
      <w:spacing w:line="440" w:lineRule="exact"/>
      <w:ind w:firstLine="200" w:firstLineChars="200"/>
    </w:pPr>
    <w:rPr>
      <w:kern w:val="0"/>
      <w:sz w:val="24"/>
    </w:rPr>
  </w:style>
  <w:style w:type="paragraph" w:customStyle="1" w:styleId="70">
    <w:name w:val="2012.5.27"/>
    <w:basedOn w:val="12"/>
    <w:qFormat/>
    <w:uiPriority w:val="0"/>
    <w:pPr>
      <w:adjustRightInd w:val="0"/>
      <w:snapToGrid w:val="0"/>
      <w:spacing w:line="336" w:lineRule="auto"/>
      <w:ind w:firstLine="200" w:firstLineChars="200"/>
    </w:pPr>
    <w:rPr>
      <w:rFonts w:hAnsi="Times New Roman"/>
      <w:sz w:val="28"/>
      <w:szCs w:val="28"/>
    </w:rPr>
  </w:style>
  <w:style w:type="paragraph" w:customStyle="1" w:styleId="71">
    <w:name w:val="HP 表格内容"/>
    <w:qFormat/>
    <w:uiPriority w:val="0"/>
    <w:pPr>
      <w:framePr w:hSpace="180" w:wrap="around" w:vAnchor="text" w:hAnchor="text" w:xAlign="center" w:y="1"/>
      <w:spacing w:line="440" w:lineRule="exact"/>
      <w:jc w:val="center"/>
    </w:pPr>
    <w:rPr>
      <w:rFonts w:ascii="Times New Roman" w:hAnsi="Times New Roman" w:eastAsia="宋体" w:cs="Times New Roman"/>
      <w:sz w:val="21"/>
      <w:szCs w:val="21"/>
      <w:lang w:val="en-US" w:eastAsia="zh-CN" w:bidi="ar-SA"/>
    </w:rPr>
  </w:style>
  <w:style w:type="paragraph" w:customStyle="1" w:styleId="72">
    <w:name w:val="正文1"/>
    <w:basedOn w:val="1"/>
    <w:qFormat/>
    <w:uiPriority w:val="0"/>
    <w:pPr>
      <w:spacing w:line="360" w:lineRule="auto"/>
    </w:pPr>
    <w:rPr>
      <w:rFonts w:ascii="仿宋_GB2312" w:eastAsia="仿宋_GB2312"/>
      <w:sz w:val="24"/>
      <w:szCs w:val="20"/>
    </w:rPr>
  </w:style>
  <w:style w:type="paragraph" w:customStyle="1" w:styleId="73">
    <w:name w:val="111111正文"/>
    <w:basedOn w:val="1"/>
    <w:qFormat/>
    <w:uiPriority w:val="0"/>
    <w:pPr>
      <w:spacing w:line="360" w:lineRule="auto"/>
      <w:ind w:firstLine="200" w:firstLineChars="200"/>
    </w:pPr>
    <w:rPr>
      <w:sz w:val="24"/>
    </w:rPr>
  </w:style>
  <w:style w:type="paragraph" w:customStyle="1" w:styleId="74">
    <w:name w:val="sll-正文"/>
    <w:basedOn w:val="1"/>
    <w:qFormat/>
    <w:uiPriority w:val="0"/>
    <w:pPr>
      <w:autoSpaceDE w:val="0"/>
      <w:autoSpaceDN w:val="0"/>
      <w:adjustRightInd w:val="0"/>
      <w:snapToGrid w:val="0"/>
      <w:spacing w:line="360" w:lineRule="auto"/>
      <w:ind w:firstLine="720" w:firstLineChars="200"/>
      <w:jc w:val="left"/>
    </w:pPr>
    <w:rPr>
      <w:rFonts w:cs="宋体"/>
      <w:kern w:val="0"/>
      <w:sz w:val="24"/>
      <w:szCs w:val="21"/>
    </w:rPr>
  </w:style>
  <w:style w:type="paragraph" w:customStyle="1" w:styleId="75">
    <w:name w:val="益东正文1"/>
    <w:basedOn w:val="70"/>
    <w:semiHidden/>
    <w:qFormat/>
    <w:uiPriority w:val="0"/>
    <w:rPr>
      <w:rFonts w:hAnsi="宋体"/>
    </w:rPr>
  </w:style>
  <w:style w:type="paragraph" w:customStyle="1" w:styleId="76">
    <w:name w:val="HP 表格标题"/>
    <w:qFormat/>
    <w:uiPriority w:val="0"/>
    <w:pPr>
      <w:spacing w:line="440" w:lineRule="exact"/>
      <w:jc w:val="center"/>
    </w:pPr>
    <w:rPr>
      <w:rFonts w:ascii="Times New Roman" w:hAnsi="Times New Roman" w:eastAsia="宋体" w:cs="Times New Roman"/>
      <w:b/>
      <w:sz w:val="24"/>
      <w:szCs w:val="24"/>
      <w:lang w:val="en-US" w:eastAsia="zh-CN" w:bidi="ar-SA"/>
    </w:rPr>
  </w:style>
  <w:style w:type="character" w:customStyle="1" w:styleId="77">
    <w:name w:val="突出标注 Char"/>
    <w:link w:val="78"/>
    <w:qFormat/>
    <w:uiPriority w:val="0"/>
    <w:rPr>
      <w:color w:val="FF0000"/>
      <w:lang w:bidi="mn-Mong-CN"/>
    </w:rPr>
  </w:style>
  <w:style w:type="paragraph" w:customStyle="1" w:styleId="78">
    <w:name w:val="突出标注"/>
    <w:basedOn w:val="1"/>
    <w:link w:val="77"/>
    <w:qFormat/>
    <w:uiPriority w:val="0"/>
    <w:rPr>
      <w:color w:val="FF0000"/>
      <w:lang w:bidi="mn-Mong-CN"/>
    </w:rPr>
  </w:style>
  <w:style w:type="character" w:customStyle="1" w:styleId="79">
    <w:name w:val="待定格式 Char"/>
    <w:link w:val="80"/>
    <w:qFormat/>
    <w:uiPriority w:val="0"/>
    <w:rPr>
      <w:color w:val="FF0000"/>
    </w:rPr>
  </w:style>
  <w:style w:type="paragraph" w:customStyle="1" w:styleId="80">
    <w:name w:val="待定格式"/>
    <w:basedOn w:val="1"/>
    <w:link w:val="79"/>
    <w:qFormat/>
    <w:uiPriority w:val="0"/>
    <w:rPr>
      <w:color w:val="FF0000"/>
    </w:rPr>
  </w:style>
  <w:style w:type="paragraph" w:customStyle="1" w:styleId="81">
    <w:name w:val="正式表格"/>
    <w:basedOn w:val="82"/>
    <w:qFormat/>
    <w:uiPriority w:val="0"/>
  </w:style>
  <w:style w:type="paragraph" w:customStyle="1" w:styleId="82">
    <w:name w:val="正式表格文字-居中"/>
    <w:basedOn w:val="28"/>
    <w:qFormat/>
    <w:uiPriority w:val="0"/>
    <w:pPr>
      <w:adjustRightInd w:val="0"/>
      <w:spacing w:after="0"/>
      <w:ind w:firstLine="0" w:firstLineChars="0"/>
      <w:jc w:val="center"/>
    </w:pPr>
    <w:rPr>
      <w:szCs w:val="21"/>
    </w:rPr>
  </w:style>
  <w:style w:type="paragraph" w:customStyle="1" w:styleId="83">
    <w:name w:val="样式 正文缩进正文缩进2正文缩进 Char Char正文缩进 Char Char Char Char正文缩进 Char ..."/>
    <w:basedOn w:val="6"/>
    <w:qFormat/>
    <w:uiPriority w:val="0"/>
    <w:pPr>
      <w:widowControl/>
      <w:spacing w:line="360" w:lineRule="auto"/>
      <w:ind w:firstLine="200"/>
      <w:jc w:val="left"/>
    </w:pPr>
    <w:rPr>
      <w:rFonts w:cs="宋体"/>
      <w:szCs w:val="22"/>
    </w:rPr>
  </w:style>
  <w:style w:type="paragraph" w:customStyle="1" w:styleId="84">
    <w:name w:val="Other|1"/>
    <w:basedOn w:val="1"/>
    <w:qFormat/>
    <w:uiPriority w:val="0"/>
    <w:pPr>
      <w:jc w:val="center"/>
    </w:pPr>
    <w:rPr>
      <w:rFonts w:ascii="宋体" w:hAnsi="宋体" w:cs="宋体"/>
      <w:sz w:val="20"/>
      <w:szCs w:val="20"/>
      <w:lang w:val="zh-TW" w:eastAsia="zh-TW" w:bidi="zh-TW"/>
    </w:rPr>
  </w:style>
  <w:style w:type="paragraph" w:customStyle="1" w:styleId="85">
    <w:name w:val="yatong正文"/>
    <w:basedOn w:val="1"/>
    <w:qFormat/>
    <w:uiPriority w:val="0"/>
    <w:pPr>
      <w:spacing w:before="10" w:after="10" w:line="360" w:lineRule="auto"/>
      <w:ind w:left="50" w:leftChars="50" w:right="50" w:rightChars="50" w:firstLine="200" w:firstLineChars="200"/>
    </w:pPr>
    <w:rPr>
      <w:rFonts w:ascii="宋体" w:hAnsi="宋体" w:cs="宋体"/>
      <w:sz w:val="28"/>
    </w:rPr>
  </w:style>
  <w:style w:type="paragraph" w:customStyle="1" w:styleId="86">
    <w:name w:val="③级"/>
    <w:basedOn w:val="1"/>
    <w:qFormat/>
    <w:uiPriority w:val="0"/>
    <w:pPr>
      <w:spacing w:before="60" w:after="60" w:line="415" w:lineRule="auto"/>
      <w:jc w:val="left"/>
      <w:outlineLvl w:val="2"/>
    </w:pPr>
    <w:rPr>
      <w:b/>
      <w:bCs/>
      <w:sz w:val="30"/>
      <w:szCs w:val="32"/>
      <w:lang w:val="zh-CN"/>
    </w:rPr>
  </w:style>
  <w:style w:type="paragraph" w:customStyle="1" w:styleId="87">
    <w:name w:val="报告表样式"/>
    <w:basedOn w:val="1"/>
    <w:qFormat/>
    <w:uiPriority w:val="0"/>
    <w:pPr>
      <w:adjustRightInd w:val="0"/>
      <w:snapToGrid w:val="0"/>
      <w:spacing w:line="360" w:lineRule="auto"/>
      <w:ind w:firstLine="200" w:firstLineChars="200"/>
    </w:pPr>
    <w:rPr>
      <w:sz w:val="28"/>
      <w:szCs w:val="28"/>
    </w:rPr>
  </w:style>
  <w:style w:type="paragraph" w:customStyle="1" w:styleId="88">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89">
    <w:name w:val="【正文】"/>
    <w:basedOn w:val="1"/>
    <w:qFormat/>
    <w:uiPriority w:val="0"/>
    <w:pPr>
      <w:spacing w:line="480" w:lineRule="exact"/>
      <w:ind w:firstLine="200" w:firstLineChars="200"/>
    </w:pPr>
    <w:rPr>
      <w:sz w:val="24"/>
      <w:szCs w:val="20"/>
    </w:rPr>
  </w:style>
  <w:style w:type="character" w:customStyle="1" w:styleId="90">
    <w:name w:val="fontstyle11"/>
    <w:basedOn w:val="32"/>
    <w:qFormat/>
    <w:uiPriority w:val="0"/>
    <w:rPr>
      <w:rFonts w:hint="default" w:ascii="仿宋" w:hAnsi="仿宋"/>
      <w:color w:val="000000"/>
      <w:sz w:val="22"/>
      <w:szCs w:val="22"/>
    </w:rPr>
  </w:style>
  <w:style w:type="paragraph" w:styleId="91">
    <w:name w:val="List Paragraph"/>
    <w:basedOn w:val="1"/>
    <w:qFormat/>
    <w:uiPriority w:val="99"/>
    <w:pPr>
      <w:ind w:firstLine="420" w:firstLineChars="200"/>
    </w:pPr>
  </w:style>
  <w:style w:type="paragraph" w:customStyle="1" w:styleId="92">
    <w:name w:val="样式 正文wjh + 首行缩进:  0.99 厘米 段前: 18 磅"/>
    <w:basedOn w:val="1"/>
    <w:qFormat/>
    <w:uiPriority w:val="0"/>
    <w:pPr>
      <w:spacing w:line="360" w:lineRule="auto"/>
      <w:ind w:firstLine="561"/>
    </w:pPr>
    <w:rPr>
      <w:rFonts w:ascii="Calibri" w:hAnsi="Calibri"/>
    </w:rPr>
  </w:style>
  <w:style w:type="paragraph" w:customStyle="1" w:styleId="93">
    <w:name w:val="TX-表头"/>
    <w:link w:val="96"/>
    <w:qFormat/>
    <w:uiPriority w:val="0"/>
    <w:pPr>
      <w:jc w:val="center"/>
    </w:pPr>
    <w:rPr>
      <w:rFonts w:ascii="Times New Roman" w:hAnsi="Times New Roman" w:eastAsia="仿宋" w:cs="Times New Roman"/>
      <w:b/>
      <w:kern w:val="2"/>
      <w:sz w:val="24"/>
      <w:szCs w:val="22"/>
      <w:lang w:val="en-US" w:eastAsia="zh-CN" w:bidi="ar-SA"/>
    </w:rPr>
  </w:style>
  <w:style w:type="table" w:customStyle="1" w:styleId="94">
    <w:name w:val="Table Normal"/>
    <w:autoRedefine/>
    <w:semiHidden/>
    <w:unhideWhenUsed/>
    <w:qFormat/>
    <w:uiPriority w:val="0"/>
    <w:tblPr>
      <w:tblCellMar>
        <w:top w:w="0" w:type="dxa"/>
        <w:left w:w="0" w:type="dxa"/>
        <w:bottom w:w="0" w:type="dxa"/>
        <w:right w:w="0" w:type="dxa"/>
      </w:tblCellMar>
    </w:tblPr>
  </w:style>
  <w:style w:type="paragraph" w:customStyle="1" w:styleId="95">
    <w:name w:val="Table Text"/>
    <w:basedOn w:val="1"/>
    <w:autoRedefine/>
    <w:semiHidden/>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 w:val="20"/>
      <w:szCs w:val="20"/>
      <w:lang w:eastAsia="en-US"/>
    </w:rPr>
  </w:style>
  <w:style w:type="character" w:customStyle="1" w:styleId="96">
    <w:name w:val="TX-表头 字符"/>
    <w:basedOn w:val="32"/>
    <w:link w:val="93"/>
    <w:qFormat/>
    <w:uiPriority w:val="0"/>
    <w:rPr>
      <w:rFonts w:eastAsia="仿宋"/>
      <w:b/>
      <w:kern w:val="2"/>
      <w:sz w:val="24"/>
      <w:szCs w:val="22"/>
    </w:rPr>
  </w:style>
  <w:style w:type="paragraph" w:customStyle="1" w:styleId="97">
    <w:name w:val="样式 样式 样式 四号 左侧:  1.53 厘米 + 首行缩进:  2 字符 + 居中 左侧:  2 字符 首行缩进:  2..."/>
    <w:basedOn w:val="98"/>
    <w:autoRedefine/>
    <w:qFormat/>
    <w:uiPriority w:val="0"/>
    <w:pPr>
      <w:jc w:val="center"/>
    </w:pPr>
  </w:style>
  <w:style w:type="paragraph" w:customStyle="1" w:styleId="98">
    <w:name w:val="样式 样式 四号 左侧:  1.53 厘米 + 首行缩进:  2 字符"/>
    <w:basedOn w:val="99"/>
    <w:autoRedefine/>
    <w:qFormat/>
    <w:uiPriority w:val="0"/>
    <w:pPr>
      <w:ind w:left="200" w:leftChars="200"/>
    </w:pPr>
    <w:rPr>
      <w:szCs w:val="20"/>
    </w:rPr>
  </w:style>
  <w:style w:type="paragraph" w:customStyle="1" w:styleId="99">
    <w:name w:val="样式 四号 左侧:  1.53 厘米"/>
    <w:basedOn w:val="1"/>
    <w:autoRedefine/>
    <w:qFormat/>
    <w:uiPriority w:val="0"/>
    <w:pPr>
      <w:adjustRightInd w:val="0"/>
    </w:pPr>
    <w:rPr>
      <w:w w:val="9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wmf"/><Relationship Id="rId22" Type="http://schemas.openxmlformats.org/officeDocument/2006/relationships/image" Target="media/image9.wmf"/><Relationship Id="rId21" Type="http://schemas.openxmlformats.org/officeDocument/2006/relationships/image" Target="media/image8.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oleObject" Target="embeddings/oleObject2.bin"/><Relationship Id="rId16" Type="http://schemas.openxmlformats.org/officeDocument/2006/relationships/image" Target="media/image5.wmf"/><Relationship Id="rId15" Type="http://schemas.openxmlformats.org/officeDocument/2006/relationships/oleObject" Target="embeddings/oleObject1.bin"/><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49</Pages>
  <Words>117</Words>
  <Characters>143</Characters>
  <Lines>215</Lines>
  <Paragraphs>60</Paragraphs>
  <TotalTime>10</TotalTime>
  <ScaleCrop>false</ScaleCrop>
  <LinksUpToDate>false</LinksUpToDate>
  <CharactersWithSpaces>143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2020-12-24T09:29:00Z</dcterms:created>
  <dc:creator>lhj</dc:creator>
  <cp:lastModifiedBy>火龙果</cp:lastModifiedBy>
  <cp:lastPrinted>2022-09-26T11:08:00Z</cp:lastPrinted>
  <dcterms:modified xsi:type="dcterms:W3CDTF">2025-03-25T07:10:23Z</dcterms:modified>
  <dc:title>附件2</dc:title>
  <cp:revision>179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4D8352954AC54DDCAB81901226ABF962_13</vt:lpwstr>
  </property>
  <property fmtid="{D5CDD505-2E9C-101B-9397-08002B2CF9AE}" pid="4" name="KSOTemplateDocerSaveRecord">
    <vt:lpwstr>eyJoZGlkIjoiM2M1MzQ5YjJjYTY4ZmZjN2I1YmFhNzM4MjFjYTdlY2IiLCJ1c2VySWQiOiIzMjc5MTc5NjUifQ==</vt:lpwstr>
  </property>
</Properties>
</file>