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00" w:beforeAutospacing="1" w:after="100" w:afterAutospacing="1" w:line="580" w:lineRule="exact"/>
        <w:ind w:firstLine="600"/>
        <w:jc w:val="center"/>
      </w:pPr>
      <w:r>
        <w:rPr>
          <w:rFonts w:ascii="Times New Roman" w:hAnsi="Times New Roman" w:cs="Times New Roman"/>
          <w:b/>
          <w:bCs/>
          <w:sz w:val="36"/>
          <w:szCs w:val="36"/>
        </w:rPr>
        <w:t xml:space="preserve"> </w:t>
      </w:r>
    </w:p>
    <w:p>
      <w:pPr>
        <w:adjustRightInd w:val="0"/>
        <w:spacing w:before="100" w:beforeAutospacing="1" w:after="100" w:afterAutospacing="1" w:line="580" w:lineRule="exact"/>
        <w:ind w:firstLine="600"/>
        <w:jc w:val="center"/>
      </w:pPr>
      <w:r>
        <w:rPr>
          <w:rFonts w:ascii="Times New Roman" w:hAnsi="Times New Roman" w:cs="Times New Roman"/>
          <w:b/>
          <w:bCs/>
          <w:sz w:val="36"/>
          <w:szCs w:val="36"/>
        </w:rPr>
        <w:t xml:space="preserve"> </w:t>
      </w:r>
      <w:r>
        <w:rPr>
          <w:rFonts w:ascii="仿宋_GB2312" w:hAnsi="Times New Roman"/>
          <w:b/>
          <w:bCs/>
          <w:sz w:val="44"/>
          <w:szCs w:val="44"/>
        </w:rPr>
        <w:t xml:space="preserve"> </w:t>
      </w:r>
      <w:bookmarkStart w:id="0" w:name="_GoBack"/>
      <w:r>
        <w:rPr>
          <w:rFonts w:ascii="仿宋_GB2312" w:hAnsi="仿宋_GB2312"/>
          <w:b/>
          <w:bCs/>
          <w:sz w:val="44"/>
          <w:szCs w:val="44"/>
        </w:rPr>
        <w:t>内蒙古自治区鄂尔多斯市杭锦旗农牧业局</w:t>
      </w:r>
    </w:p>
    <w:p>
      <w:pPr>
        <w:adjustRightInd w:val="0"/>
        <w:spacing w:before="100" w:beforeAutospacing="1" w:after="100" w:afterAutospacing="1"/>
        <w:ind w:firstLine="601"/>
        <w:jc w:val="center"/>
      </w:pPr>
      <w:r>
        <w:rPr>
          <w:rFonts w:ascii="仿宋_GB2312" w:hAnsi="Times New Roman"/>
          <w:b/>
          <w:bCs/>
          <w:sz w:val="44"/>
          <w:szCs w:val="44"/>
        </w:rPr>
        <w:t>2018</w:t>
      </w:r>
      <w:r>
        <w:rPr>
          <w:rFonts w:ascii="仿宋_GB2312" w:hAnsi="仿宋_GB2312"/>
          <w:b/>
          <w:bCs/>
          <w:sz w:val="44"/>
          <w:szCs w:val="44"/>
        </w:rPr>
        <w:t>年度决算公开报告</w:t>
      </w:r>
    </w:p>
    <w:bookmarkEnd w:id="0"/>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xml:space="preserve"> </w:t>
      </w: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xml:space="preserve"> </w:t>
      </w: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xml:space="preserve"> </w:t>
      </w: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xml:space="preserve"> </w:t>
      </w: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xml:space="preserve"> </w:t>
      </w: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xml:space="preserve"> </w:t>
      </w: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xml:space="preserve"> </w:t>
      </w: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xml:space="preserve"> </w:t>
      </w:r>
    </w:p>
    <w:p>
      <w:pPr>
        <w:adjustRightInd w:val="0"/>
        <w:spacing w:before="100" w:beforeAutospacing="1" w:after="100" w:afterAutospacing="1"/>
        <w:ind w:firstLine="601"/>
        <w:jc w:val="center"/>
        <w:rPr>
          <w:rFonts w:ascii="仿宋_GB2312" w:hAnsi="Times New Roman"/>
          <w:b/>
          <w:bCs/>
          <w:sz w:val="44"/>
          <w:szCs w:val="44"/>
        </w:rPr>
      </w:pPr>
      <w:r>
        <w:rPr>
          <w:rFonts w:ascii="仿宋_GB2312" w:hAnsi="Times New Roman"/>
          <w:b/>
          <w:bCs/>
          <w:sz w:val="44"/>
          <w:szCs w:val="44"/>
        </w:rPr>
        <w:t xml:space="preserve"> </w:t>
      </w:r>
    </w:p>
    <w:p>
      <w:pPr>
        <w:adjustRightInd w:val="0"/>
        <w:spacing w:before="100" w:beforeAutospacing="1" w:after="100" w:afterAutospacing="1"/>
        <w:ind w:firstLine="601"/>
        <w:jc w:val="center"/>
        <w:rPr>
          <w:rFonts w:ascii="仿宋_GB2312" w:hAnsi="Times New Roman"/>
          <w:b/>
          <w:bCs/>
          <w:sz w:val="44"/>
          <w:szCs w:val="44"/>
        </w:rPr>
      </w:pPr>
      <w:r>
        <w:rPr>
          <w:rFonts w:ascii="仿宋_GB2312" w:hAnsi="Times New Roman"/>
          <w:b/>
          <w:bCs/>
          <w:sz w:val="44"/>
          <w:szCs w:val="44"/>
        </w:rPr>
        <w:t xml:space="preserve"> </w:t>
      </w:r>
    </w:p>
    <w:p>
      <w:pPr>
        <w:adjustRightInd w:val="0"/>
        <w:spacing w:before="100" w:beforeAutospacing="1" w:after="100" w:afterAutospacing="1"/>
        <w:ind w:firstLine="601"/>
        <w:jc w:val="center"/>
        <w:rPr>
          <w:rFonts w:ascii="仿宋_GB2312" w:hAnsi="Times New Roman"/>
          <w:b/>
          <w:bCs/>
          <w:sz w:val="44"/>
          <w:szCs w:val="44"/>
        </w:rPr>
      </w:pPr>
      <w:r>
        <w:rPr>
          <w:rFonts w:ascii="仿宋_GB2312" w:hAnsi="Times New Roman"/>
          <w:b/>
          <w:bCs/>
          <w:sz w:val="44"/>
          <w:szCs w:val="44"/>
        </w:rPr>
        <w:t xml:space="preserve"> </w:t>
      </w:r>
    </w:p>
    <w:p>
      <w:pPr>
        <w:adjustRightInd w:val="0"/>
        <w:spacing w:before="100" w:beforeAutospacing="1" w:after="100" w:afterAutospacing="1"/>
        <w:ind w:firstLine="601"/>
        <w:jc w:val="center"/>
        <w:rPr>
          <w:rFonts w:ascii="仿宋_GB2312" w:hAnsi="Times New Roman"/>
          <w:b/>
          <w:bCs/>
          <w:sz w:val="44"/>
          <w:szCs w:val="44"/>
        </w:rPr>
      </w:pPr>
      <w:r>
        <w:rPr>
          <w:rFonts w:ascii="仿宋_GB2312" w:hAnsi="Times New Roman"/>
          <w:b/>
          <w:bCs/>
          <w:sz w:val="44"/>
          <w:szCs w:val="44"/>
        </w:rPr>
        <w:t xml:space="preserve"> </w:t>
      </w:r>
    </w:p>
    <w:p>
      <w:pPr>
        <w:adjustRightInd w:val="0"/>
        <w:spacing w:before="100" w:beforeAutospacing="1" w:after="100" w:afterAutospacing="1"/>
        <w:ind w:firstLine="601"/>
        <w:jc w:val="center"/>
      </w:pPr>
      <w:r>
        <w:rPr>
          <w:rFonts w:ascii="仿宋_GB2312" w:hAnsi="仿宋_GB2312"/>
          <w:b/>
          <w:bCs/>
          <w:sz w:val="44"/>
          <w:szCs w:val="44"/>
        </w:rPr>
        <w:t>目录</w:t>
      </w:r>
    </w:p>
    <w:p>
      <w:pPr>
        <w:adjustRightInd w:val="0"/>
        <w:spacing w:before="100" w:beforeAutospacing="1" w:after="100" w:afterAutospacing="1"/>
        <w:ind w:firstLine="601"/>
      </w:pPr>
      <w:r>
        <w:rPr>
          <w:rFonts w:ascii="仿宋_GB2312" w:hAnsi="Times New Roman"/>
          <w:b/>
          <w:bCs/>
          <w:sz w:val="44"/>
          <w:szCs w:val="44"/>
        </w:rPr>
        <w:t xml:space="preserve"> </w:t>
      </w:r>
    </w:p>
    <w:p>
      <w:pPr>
        <w:adjustRightInd w:val="0"/>
        <w:spacing w:before="100" w:beforeAutospacing="1" w:after="100" w:afterAutospacing="1" w:line="580" w:lineRule="exact"/>
        <w:ind w:firstLine="601"/>
      </w:pPr>
      <w:r>
        <w:rPr>
          <w:rFonts w:hint="eastAsia" w:ascii="黑体" w:hAnsi="黑体" w:eastAsia="黑体"/>
          <w:b/>
          <w:bCs/>
          <w:sz w:val="32"/>
          <w:szCs w:val="32"/>
        </w:rPr>
        <w:t>第一部分</w:t>
      </w:r>
      <w:r>
        <w:rPr>
          <w:rFonts w:hint="eastAsia" w:ascii="黑体" w:hAnsi="Times New Roman" w:eastAsia="黑体"/>
          <w:b/>
          <w:bCs/>
          <w:sz w:val="32"/>
          <w:szCs w:val="32"/>
        </w:rPr>
        <w:t xml:space="preserve"> </w:t>
      </w:r>
      <w:r>
        <w:rPr>
          <w:rFonts w:hint="eastAsia" w:ascii="黑体" w:hAnsi="黑体" w:eastAsia="黑体"/>
          <w:b/>
          <w:bCs/>
          <w:sz w:val="32"/>
          <w:szCs w:val="32"/>
        </w:rPr>
        <w:t>部门基本情况</w:t>
      </w:r>
    </w:p>
    <w:p>
      <w:pPr>
        <w:adjustRightInd w:val="0"/>
        <w:spacing w:before="100" w:beforeAutospacing="1" w:after="100" w:afterAutospacing="1" w:line="580" w:lineRule="exact"/>
        <w:ind w:firstLine="601"/>
      </w:pPr>
      <w:r>
        <w:rPr>
          <w:rFonts w:ascii="仿宋_GB2312" w:hAnsi="仿宋_GB2312"/>
          <w:sz w:val="32"/>
          <w:szCs w:val="32"/>
        </w:rPr>
        <w:t>一、部门职能</w:t>
      </w:r>
    </w:p>
    <w:p>
      <w:pPr>
        <w:adjustRightInd w:val="0"/>
        <w:spacing w:before="100" w:beforeAutospacing="1" w:after="100" w:afterAutospacing="1" w:line="580" w:lineRule="exact"/>
        <w:ind w:firstLine="601"/>
      </w:pPr>
      <w:r>
        <w:rPr>
          <w:rFonts w:ascii="仿宋_GB2312" w:hAnsi="仿宋_GB2312"/>
          <w:sz w:val="32"/>
          <w:szCs w:val="32"/>
        </w:rPr>
        <w:t>二、机构设置及单位构成情况</w:t>
      </w:r>
    </w:p>
    <w:p>
      <w:pPr>
        <w:adjustRightInd w:val="0"/>
        <w:spacing w:before="100" w:beforeAutospacing="1" w:after="100" w:afterAutospacing="1" w:line="580" w:lineRule="exact"/>
        <w:ind w:firstLine="601"/>
      </w:pPr>
      <w:r>
        <w:rPr>
          <w:rFonts w:hint="eastAsia" w:ascii="黑体" w:hAnsi="黑体" w:eastAsia="黑体"/>
          <w:b/>
          <w:bCs/>
          <w:sz w:val="32"/>
          <w:szCs w:val="32"/>
        </w:rPr>
        <w:t>第二部分</w:t>
      </w:r>
      <w:r>
        <w:rPr>
          <w:rFonts w:hint="eastAsia" w:ascii="黑体" w:hAnsi="Times New Roman" w:eastAsia="黑体"/>
          <w:b/>
          <w:bCs/>
          <w:sz w:val="32"/>
          <w:szCs w:val="32"/>
        </w:rPr>
        <w:t xml:space="preserve"> 2018</w:t>
      </w:r>
      <w:r>
        <w:rPr>
          <w:rFonts w:hint="eastAsia" w:ascii="黑体" w:hAnsi="黑体" w:eastAsia="黑体"/>
          <w:b/>
          <w:bCs/>
          <w:sz w:val="32"/>
          <w:szCs w:val="32"/>
        </w:rPr>
        <w:t>年度部门决算情况说明</w:t>
      </w:r>
    </w:p>
    <w:p>
      <w:pPr>
        <w:adjustRightInd w:val="0"/>
        <w:spacing w:before="100" w:beforeAutospacing="1" w:after="100" w:afterAutospacing="1" w:line="580" w:lineRule="exact"/>
        <w:ind w:firstLine="601"/>
      </w:pPr>
      <w:r>
        <w:rPr>
          <w:rFonts w:ascii="仿宋_GB2312" w:hAnsi="仿宋_GB2312"/>
          <w:sz w:val="32"/>
          <w:szCs w:val="32"/>
        </w:rPr>
        <w:t>一、关于</w:t>
      </w:r>
      <w:r>
        <w:rPr>
          <w:rFonts w:ascii="仿宋_GB2312" w:hAnsi="Times New Roman"/>
          <w:sz w:val="32"/>
          <w:szCs w:val="32"/>
        </w:rPr>
        <w:t>2018</w:t>
      </w:r>
      <w:r>
        <w:rPr>
          <w:rFonts w:ascii="仿宋_GB2312" w:hAnsi="仿宋_GB2312"/>
          <w:sz w:val="32"/>
          <w:szCs w:val="32"/>
        </w:rPr>
        <w:t>年度预算执行情况分析</w:t>
      </w:r>
    </w:p>
    <w:p>
      <w:pPr>
        <w:adjustRightInd w:val="0"/>
        <w:spacing w:before="100" w:beforeAutospacing="1" w:after="100" w:afterAutospacing="1" w:line="580" w:lineRule="exact"/>
        <w:ind w:firstLine="601"/>
      </w:pPr>
      <w:r>
        <w:rPr>
          <w:rFonts w:ascii="仿宋_GB2312" w:hAnsi="仿宋_GB2312"/>
          <w:sz w:val="32"/>
          <w:szCs w:val="32"/>
        </w:rPr>
        <w:t>二、关于</w:t>
      </w:r>
      <w:r>
        <w:rPr>
          <w:rFonts w:ascii="仿宋_GB2312" w:hAnsi="Times New Roman"/>
          <w:sz w:val="32"/>
          <w:szCs w:val="32"/>
        </w:rPr>
        <w:t>2018</w:t>
      </w:r>
      <w:r>
        <w:rPr>
          <w:rFonts w:ascii="仿宋_GB2312" w:hAnsi="仿宋_GB2312"/>
          <w:sz w:val="32"/>
          <w:szCs w:val="32"/>
        </w:rPr>
        <w:t>年度决算情况说明</w:t>
      </w:r>
    </w:p>
    <w:p>
      <w:pPr>
        <w:adjustRightInd w:val="0"/>
        <w:spacing w:before="100" w:beforeAutospacing="1" w:after="100" w:afterAutospacing="1" w:line="580" w:lineRule="exact"/>
        <w:ind w:firstLine="601"/>
      </w:pPr>
      <w:r>
        <w:rPr>
          <w:rFonts w:ascii="仿宋_GB2312" w:hAnsi="仿宋_GB2312"/>
          <w:sz w:val="32"/>
          <w:szCs w:val="32"/>
        </w:rPr>
        <w:t>（一）关于收支情况总体说明</w:t>
      </w:r>
    </w:p>
    <w:p>
      <w:pPr>
        <w:adjustRightInd w:val="0"/>
        <w:spacing w:before="100" w:beforeAutospacing="1" w:after="100" w:afterAutospacing="1" w:line="580" w:lineRule="exact"/>
        <w:ind w:firstLine="601"/>
      </w:pPr>
      <w:r>
        <w:rPr>
          <w:rFonts w:ascii="仿宋_GB2312" w:hAnsi="仿宋_GB2312"/>
          <w:sz w:val="32"/>
          <w:szCs w:val="32"/>
        </w:rPr>
        <w:t>（二）关于</w:t>
      </w:r>
      <w:r>
        <w:rPr>
          <w:rFonts w:ascii="仿宋_GB2312" w:hAnsi="Times New Roman"/>
          <w:sz w:val="32"/>
          <w:szCs w:val="32"/>
        </w:rPr>
        <w:t>2018</w:t>
      </w:r>
      <w:r>
        <w:rPr>
          <w:rFonts w:ascii="仿宋_GB2312" w:hAnsi="仿宋_GB2312"/>
          <w:sz w:val="32"/>
          <w:szCs w:val="32"/>
        </w:rPr>
        <w:t>年度收入决算情况说明</w:t>
      </w:r>
    </w:p>
    <w:p>
      <w:pPr>
        <w:adjustRightInd w:val="0"/>
        <w:spacing w:before="100" w:beforeAutospacing="1" w:after="100" w:afterAutospacing="1" w:line="580" w:lineRule="exact"/>
        <w:ind w:firstLine="601"/>
      </w:pPr>
      <w:r>
        <w:rPr>
          <w:rFonts w:ascii="仿宋_GB2312" w:hAnsi="仿宋_GB2312"/>
          <w:sz w:val="32"/>
          <w:szCs w:val="32"/>
        </w:rPr>
        <w:t>（三）关于</w:t>
      </w:r>
      <w:r>
        <w:rPr>
          <w:rFonts w:ascii="仿宋_GB2312" w:hAnsi="Times New Roman"/>
          <w:sz w:val="32"/>
          <w:szCs w:val="32"/>
        </w:rPr>
        <w:t>2018</w:t>
      </w:r>
      <w:r>
        <w:rPr>
          <w:rFonts w:ascii="仿宋_GB2312" w:hAnsi="仿宋_GB2312"/>
          <w:sz w:val="32"/>
          <w:szCs w:val="32"/>
        </w:rPr>
        <w:t>年度支出决算情况说明</w:t>
      </w:r>
    </w:p>
    <w:p>
      <w:pPr>
        <w:adjustRightInd w:val="0"/>
        <w:spacing w:before="100" w:beforeAutospacing="1" w:after="100" w:afterAutospacing="1" w:line="580" w:lineRule="exact"/>
        <w:ind w:firstLine="601"/>
      </w:pPr>
      <w:r>
        <w:rPr>
          <w:rFonts w:ascii="仿宋_GB2312" w:hAnsi="仿宋_GB2312"/>
          <w:sz w:val="32"/>
          <w:szCs w:val="32"/>
        </w:rPr>
        <w:t>（四）关于</w:t>
      </w:r>
      <w:r>
        <w:rPr>
          <w:rFonts w:ascii="仿宋_GB2312" w:hAnsi="Times New Roman"/>
          <w:sz w:val="32"/>
          <w:szCs w:val="32"/>
        </w:rPr>
        <w:t>2018</w:t>
      </w:r>
      <w:r>
        <w:rPr>
          <w:rFonts w:ascii="仿宋_GB2312" w:hAnsi="仿宋_GB2312"/>
          <w:sz w:val="32"/>
          <w:szCs w:val="32"/>
        </w:rPr>
        <w:t>年度财政拨款收入支出决算总体情况说明</w:t>
      </w:r>
    </w:p>
    <w:p>
      <w:pPr>
        <w:adjustRightInd w:val="0"/>
        <w:spacing w:before="100" w:beforeAutospacing="1" w:after="100" w:afterAutospacing="1" w:line="580" w:lineRule="exact"/>
        <w:ind w:firstLine="601"/>
      </w:pPr>
      <w:r>
        <w:rPr>
          <w:rFonts w:ascii="仿宋_GB2312" w:hAnsi="仿宋_GB2312"/>
          <w:sz w:val="32"/>
          <w:szCs w:val="32"/>
        </w:rPr>
        <w:t>（五）关于</w:t>
      </w:r>
      <w:r>
        <w:rPr>
          <w:rFonts w:ascii="仿宋_GB2312" w:hAnsi="Times New Roman"/>
          <w:sz w:val="32"/>
          <w:szCs w:val="32"/>
        </w:rPr>
        <w:t>2018</w:t>
      </w:r>
      <w:r>
        <w:rPr>
          <w:rFonts w:ascii="仿宋_GB2312" w:hAnsi="仿宋_GB2312"/>
          <w:sz w:val="32"/>
          <w:szCs w:val="32"/>
        </w:rPr>
        <w:t>年度一般公共预算财政拨款支出决算情况说明</w:t>
      </w:r>
    </w:p>
    <w:p>
      <w:pPr>
        <w:adjustRightInd w:val="0"/>
        <w:spacing w:before="100" w:beforeAutospacing="1" w:after="100" w:afterAutospacing="1" w:line="580" w:lineRule="exact"/>
        <w:ind w:firstLine="601"/>
      </w:pPr>
      <w:r>
        <w:rPr>
          <w:rFonts w:ascii="仿宋_GB2312" w:hAnsi="仿宋_GB2312"/>
          <w:sz w:val="32"/>
          <w:szCs w:val="32"/>
        </w:rPr>
        <w:t>（六）关于</w:t>
      </w:r>
      <w:r>
        <w:rPr>
          <w:rFonts w:ascii="仿宋_GB2312" w:hAnsi="Times New Roman"/>
          <w:sz w:val="32"/>
          <w:szCs w:val="32"/>
        </w:rPr>
        <w:t>2018</w:t>
      </w:r>
      <w:r>
        <w:rPr>
          <w:rFonts w:ascii="仿宋_GB2312" w:hAnsi="仿宋_GB2312"/>
          <w:sz w:val="32"/>
          <w:szCs w:val="32"/>
        </w:rPr>
        <w:t>年度一般公共预算财政拨款基本支出决算情况说明</w:t>
      </w:r>
    </w:p>
    <w:p>
      <w:pPr>
        <w:adjustRightInd w:val="0"/>
        <w:spacing w:before="100" w:beforeAutospacing="1" w:after="100" w:afterAutospacing="1" w:line="580" w:lineRule="exact"/>
        <w:ind w:firstLine="601"/>
      </w:pPr>
      <w:r>
        <w:rPr>
          <w:rFonts w:ascii="仿宋_GB2312" w:hAnsi="仿宋_GB2312"/>
          <w:sz w:val="32"/>
          <w:szCs w:val="32"/>
        </w:rPr>
        <w:t>（七）关于</w:t>
      </w:r>
      <w:r>
        <w:rPr>
          <w:rFonts w:ascii="仿宋_GB2312" w:hAnsi="Times New Roman"/>
          <w:sz w:val="32"/>
          <w:szCs w:val="32"/>
        </w:rPr>
        <w:t>2018</w:t>
      </w:r>
      <w:r>
        <w:rPr>
          <w:rFonts w:ascii="仿宋_GB2312" w:hAnsi="仿宋_GB2312"/>
          <w:sz w:val="32"/>
          <w:szCs w:val="32"/>
        </w:rPr>
        <w:t>年度财政拨款</w:t>
      </w:r>
      <w:r>
        <w:rPr>
          <w:rFonts w:ascii="Times New Roman" w:hAnsi="Times New Roman" w:eastAsia="仿宋_GB2312" w:cs="Times New Roman"/>
          <w:sz w:val="32"/>
          <w:szCs w:val="32"/>
        </w:rPr>
        <w:t>“</w:t>
      </w:r>
      <w:r>
        <w:rPr>
          <w:rFonts w:ascii="仿宋_GB2312" w:hAnsi="仿宋_GB2312"/>
          <w:sz w:val="32"/>
          <w:szCs w:val="32"/>
        </w:rPr>
        <w:t>三公</w:t>
      </w:r>
      <w:r>
        <w:rPr>
          <w:rFonts w:ascii="Times New Roman" w:hAnsi="Times New Roman" w:eastAsia="仿宋_GB2312" w:cs="Times New Roman"/>
          <w:sz w:val="32"/>
          <w:szCs w:val="32"/>
        </w:rPr>
        <w:t>”</w:t>
      </w:r>
      <w:r>
        <w:rPr>
          <w:rFonts w:ascii="仿宋_GB2312" w:hAnsi="仿宋_GB2312"/>
          <w:sz w:val="32"/>
          <w:szCs w:val="32"/>
        </w:rPr>
        <w:t>经费支出决算情况说明</w:t>
      </w:r>
    </w:p>
    <w:p>
      <w:pPr>
        <w:adjustRightInd w:val="0"/>
        <w:spacing w:before="100" w:beforeAutospacing="1" w:after="100" w:afterAutospacing="1" w:line="580" w:lineRule="exact"/>
        <w:ind w:firstLine="601"/>
      </w:pPr>
      <w:r>
        <w:rPr>
          <w:rFonts w:ascii="Times New Roman" w:hAnsi="Times New Roman" w:eastAsia="仿宋_GB2312" w:cs="Times New Roman"/>
          <w:sz w:val="32"/>
          <w:szCs w:val="32"/>
        </w:rPr>
        <w:tab/>
      </w:r>
      <w:r>
        <w:rPr>
          <w:rFonts w:ascii="仿宋_GB2312" w:hAnsi="Times New Roman"/>
          <w:sz w:val="32"/>
          <w:szCs w:val="32"/>
        </w:rPr>
        <w:t>1</w:t>
      </w:r>
      <w:r>
        <w:rPr>
          <w:rFonts w:ascii="仿宋_GB2312" w:hAnsi="仿宋_GB2312"/>
          <w:sz w:val="32"/>
          <w:szCs w:val="32"/>
        </w:rPr>
        <w:t>、</w:t>
      </w:r>
      <w:r>
        <w:rPr>
          <w:rFonts w:ascii="Times New Roman" w:hAnsi="Times New Roman" w:eastAsia="仿宋_GB2312" w:cs="Times New Roman"/>
          <w:sz w:val="32"/>
          <w:szCs w:val="32"/>
        </w:rPr>
        <w:t>“</w:t>
      </w:r>
      <w:r>
        <w:rPr>
          <w:rFonts w:ascii="仿宋_GB2312" w:hAnsi="仿宋_GB2312"/>
          <w:sz w:val="32"/>
          <w:szCs w:val="32"/>
        </w:rPr>
        <w:t>三公</w:t>
      </w:r>
      <w:r>
        <w:rPr>
          <w:rFonts w:ascii="Times New Roman" w:hAnsi="Times New Roman" w:eastAsia="仿宋_GB2312" w:cs="Times New Roman"/>
          <w:sz w:val="32"/>
          <w:szCs w:val="32"/>
        </w:rPr>
        <w:t>”</w:t>
      </w:r>
      <w:r>
        <w:rPr>
          <w:rFonts w:ascii="仿宋_GB2312" w:hAnsi="仿宋_GB2312"/>
          <w:sz w:val="32"/>
          <w:szCs w:val="32"/>
        </w:rPr>
        <w:t>经费财政拨款支出决算总体情况说明</w:t>
      </w:r>
    </w:p>
    <w:p>
      <w:pPr>
        <w:adjustRightInd w:val="0"/>
        <w:spacing w:before="100" w:beforeAutospacing="1" w:after="100" w:afterAutospacing="1" w:line="580" w:lineRule="exact"/>
        <w:ind w:firstLine="601"/>
      </w:pPr>
      <w:r>
        <w:rPr>
          <w:rFonts w:ascii="Times New Roman" w:hAnsi="Times New Roman" w:eastAsia="仿宋_GB2312" w:cs="Times New Roman"/>
          <w:sz w:val="32"/>
          <w:szCs w:val="32"/>
        </w:rPr>
        <w:tab/>
      </w:r>
      <w:r>
        <w:rPr>
          <w:rFonts w:ascii="仿宋_GB2312" w:hAnsi="Times New Roman"/>
          <w:sz w:val="32"/>
          <w:szCs w:val="32"/>
        </w:rPr>
        <w:t>2</w:t>
      </w:r>
      <w:r>
        <w:rPr>
          <w:rFonts w:ascii="仿宋_GB2312" w:hAnsi="仿宋_GB2312"/>
          <w:sz w:val="32"/>
          <w:szCs w:val="32"/>
        </w:rPr>
        <w:t>、</w:t>
      </w:r>
      <w:r>
        <w:rPr>
          <w:rFonts w:ascii="Times New Roman" w:hAnsi="Times New Roman" w:eastAsia="仿宋_GB2312" w:cs="Times New Roman"/>
          <w:sz w:val="32"/>
          <w:szCs w:val="32"/>
        </w:rPr>
        <w:t>“</w:t>
      </w:r>
      <w:r>
        <w:rPr>
          <w:rFonts w:ascii="仿宋_GB2312" w:hAnsi="仿宋_GB2312"/>
          <w:sz w:val="32"/>
          <w:szCs w:val="32"/>
        </w:rPr>
        <w:t>三公</w:t>
      </w:r>
      <w:r>
        <w:rPr>
          <w:rFonts w:ascii="Times New Roman" w:hAnsi="Times New Roman" w:eastAsia="仿宋_GB2312" w:cs="Times New Roman"/>
          <w:sz w:val="32"/>
          <w:szCs w:val="32"/>
        </w:rPr>
        <w:t>”</w:t>
      </w:r>
      <w:r>
        <w:rPr>
          <w:rFonts w:ascii="仿宋_GB2312" w:hAnsi="仿宋_GB2312"/>
          <w:sz w:val="32"/>
          <w:szCs w:val="32"/>
        </w:rPr>
        <w:t>经费财政拨款支出决算具体情况说明</w:t>
      </w:r>
    </w:p>
    <w:p>
      <w:pPr>
        <w:adjustRightInd w:val="0"/>
        <w:spacing w:before="100" w:beforeAutospacing="1" w:after="100" w:afterAutospacing="1" w:line="580" w:lineRule="exact"/>
        <w:ind w:firstLine="601"/>
      </w:pPr>
      <w:r>
        <w:rPr>
          <w:rFonts w:ascii="仿宋_GB2312" w:hAnsi="仿宋_GB2312"/>
          <w:sz w:val="32"/>
          <w:szCs w:val="32"/>
        </w:rPr>
        <w:t>三、其他重要事项的情况说明</w:t>
      </w:r>
    </w:p>
    <w:p>
      <w:pPr>
        <w:adjustRightInd w:val="0"/>
        <w:spacing w:before="100" w:beforeAutospacing="1" w:after="100" w:afterAutospacing="1" w:line="580" w:lineRule="exact"/>
        <w:ind w:firstLine="601"/>
      </w:pPr>
      <w:r>
        <w:rPr>
          <w:rFonts w:ascii="仿宋_GB2312" w:hAnsi="仿宋_GB2312"/>
          <w:sz w:val="32"/>
          <w:szCs w:val="32"/>
        </w:rPr>
        <w:t>（一）机关运行经费支出情况</w:t>
      </w:r>
    </w:p>
    <w:p>
      <w:pPr>
        <w:adjustRightInd w:val="0"/>
        <w:spacing w:before="100" w:beforeAutospacing="1" w:after="100" w:afterAutospacing="1" w:line="580" w:lineRule="exact"/>
        <w:ind w:firstLine="601"/>
      </w:pPr>
      <w:r>
        <w:rPr>
          <w:rFonts w:ascii="仿宋_GB2312" w:hAnsi="仿宋_GB2312"/>
          <w:sz w:val="32"/>
          <w:szCs w:val="32"/>
        </w:rPr>
        <w:t>（二）政府采购支出情况</w:t>
      </w:r>
    </w:p>
    <w:p>
      <w:pPr>
        <w:adjustRightInd w:val="0"/>
        <w:spacing w:before="100" w:beforeAutospacing="1" w:after="100" w:afterAutospacing="1" w:line="580" w:lineRule="exact"/>
        <w:ind w:firstLine="601"/>
      </w:pPr>
      <w:r>
        <w:rPr>
          <w:rFonts w:ascii="仿宋_GB2312" w:hAnsi="仿宋_GB2312"/>
          <w:sz w:val="32"/>
          <w:szCs w:val="32"/>
        </w:rPr>
        <w:t>（三）国有资产占用情况</w:t>
      </w:r>
    </w:p>
    <w:p>
      <w:pPr>
        <w:adjustRightInd w:val="0"/>
        <w:spacing w:before="100" w:beforeAutospacing="1" w:after="100" w:afterAutospacing="1" w:line="580" w:lineRule="exact"/>
        <w:ind w:firstLine="601"/>
      </w:pPr>
      <w:r>
        <w:rPr>
          <w:rFonts w:ascii="仿宋_GB2312" w:hAnsi="仿宋_GB2312"/>
          <w:sz w:val="32"/>
          <w:szCs w:val="32"/>
        </w:rPr>
        <w:t>（四）预算绩效管理工作开展情况</w:t>
      </w:r>
    </w:p>
    <w:p>
      <w:pPr>
        <w:adjustRightInd w:val="0"/>
        <w:spacing w:before="100" w:beforeAutospacing="1" w:after="100" w:afterAutospacing="1" w:line="580" w:lineRule="exact"/>
        <w:ind w:firstLine="601"/>
      </w:pPr>
      <w:r>
        <w:rPr>
          <w:rFonts w:hint="eastAsia" w:ascii="黑体" w:hAnsi="黑体" w:eastAsia="黑体"/>
          <w:b/>
          <w:bCs/>
          <w:sz w:val="32"/>
          <w:szCs w:val="32"/>
        </w:rPr>
        <w:t>第三部分</w:t>
      </w:r>
      <w:r>
        <w:rPr>
          <w:rFonts w:hint="eastAsia" w:ascii="黑体" w:hAnsi="Times New Roman" w:eastAsia="黑体"/>
          <w:b/>
          <w:bCs/>
          <w:sz w:val="32"/>
          <w:szCs w:val="32"/>
        </w:rPr>
        <w:t xml:space="preserve"> </w:t>
      </w:r>
      <w:r>
        <w:rPr>
          <w:rFonts w:hint="eastAsia" w:ascii="黑体" w:hAnsi="黑体" w:eastAsia="黑体"/>
          <w:b/>
          <w:bCs/>
          <w:sz w:val="32"/>
          <w:szCs w:val="32"/>
        </w:rPr>
        <w:t>名词解释</w:t>
      </w:r>
    </w:p>
    <w:p>
      <w:pPr>
        <w:adjustRightInd w:val="0"/>
        <w:spacing w:before="100" w:beforeAutospacing="1" w:after="100" w:afterAutospacing="1" w:line="580" w:lineRule="exact"/>
        <w:ind w:firstLine="601"/>
      </w:pPr>
      <w:r>
        <w:rPr>
          <w:rFonts w:hint="eastAsia" w:ascii="黑体" w:hAnsi="黑体" w:eastAsia="黑体"/>
          <w:b/>
          <w:bCs/>
          <w:sz w:val="32"/>
          <w:szCs w:val="32"/>
        </w:rPr>
        <w:t>第四部分</w:t>
      </w:r>
      <w:r>
        <w:rPr>
          <w:rFonts w:hint="eastAsia" w:ascii="黑体" w:hAnsi="Times New Roman" w:eastAsia="黑体"/>
          <w:b/>
          <w:bCs/>
          <w:sz w:val="32"/>
          <w:szCs w:val="32"/>
        </w:rPr>
        <w:t xml:space="preserve"> </w:t>
      </w:r>
      <w:r>
        <w:rPr>
          <w:rFonts w:hint="eastAsia" w:ascii="黑体" w:hAnsi="黑体" w:eastAsia="黑体"/>
          <w:b/>
          <w:bCs/>
          <w:sz w:val="32"/>
          <w:szCs w:val="32"/>
        </w:rPr>
        <w:t>决算公开联系方式及信息反馈渠道</w:t>
      </w:r>
    </w:p>
    <w:p>
      <w:pPr>
        <w:adjustRightInd w:val="0"/>
        <w:spacing w:before="100" w:beforeAutospacing="1" w:after="100" w:afterAutospacing="1" w:line="580" w:lineRule="exact"/>
        <w:ind w:firstLine="601"/>
      </w:pPr>
      <w:r>
        <w:rPr>
          <w:rFonts w:hint="eastAsia" w:ascii="黑体" w:hAnsi="黑体" w:eastAsia="黑体"/>
          <w:b/>
          <w:bCs/>
          <w:sz w:val="32"/>
          <w:szCs w:val="32"/>
        </w:rPr>
        <w:t>第五部分</w:t>
      </w:r>
      <w:r>
        <w:rPr>
          <w:rFonts w:hint="eastAsia" w:ascii="黑体" w:hAnsi="Times New Roman" w:eastAsia="黑体"/>
          <w:b/>
          <w:bCs/>
          <w:sz w:val="32"/>
          <w:szCs w:val="32"/>
        </w:rPr>
        <w:t xml:space="preserve"> </w:t>
      </w:r>
      <w:r>
        <w:rPr>
          <w:rFonts w:hint="eastAsia" w:ascii="黑体" w:hAnsi="黑体" w:eastAsia="黑体"/>
          <w:b/>
          <w:bCs/>
          <w:sz w:val="32"/>
          <w:szCs w:val="32"/>
        </w:rPr>
        <w:t>部门决算公开表</w:t>
      </w:r>
    </w:p>
    <w:p>
      <w:pPr>
        <w:adjustRightInd w:val="0"/>
        <w:spacing w:before="100" w:beforeAutospacing="1" w:after="100" w:afterAutospacing="1"/>
        <w:ind w:firstLine="601"/>
      </w:pPr>
      <w:r>
        <w:rPr>
          <w:rFonts w:ascii="Times New Roman" w:hAnsi="Times New Roman" w:eastAsia="黑体" w:cs="Times New Roman"/>
          <w:b/>
          <w:bCs/>
          <w:sz w:val="44"/>
          <w:szCs w:val="44"/>
          <w:highlight w:val="white"/>
        </w:rPr>
        <w:t xml:space="preserve">   </w:t>
      </w:r>
      <w:r>
        <w:rPr>
          <w:rFonts w:ascii="仿宋_GB2312" w:hAnsi="仿宋_GB2312"/>
          <w:sz w:val="32"/>
          <w:szCs w:val="32"/>
          <w:highlight w:val="white"/>
        </w:rPr>
        <w:t>一、收入支出决算总表</w:t>
      </w:r>
    </w:p>
    <w:p>
      <w:pPr>
        <w:adjustRightInd w:val="0"/>
        <w:spacing w:before="100" w:beforeAutospacing="1" w:after="100" w:afterAutospacing="1"/>
        <w:ind w:firstLine="601"/>
      </w:pPr>
      <w:r>
        <w:rPr>
          <w:rFonts w:ascii="Times New Roman" w:hAnsi="Times New Roman" w:eastAsia="仿宋_GB2312" w:cs="Times New Roman"/>
          <w:sz w:val="32"/>
          <w:szCs w:val="32"/>
          <w:highlight w:val="white"/>
        </w:rPr>
        <w:t xml:space="preserve">    </w:t>
      </w:r>
      <w:r>
        <w:rPr>
          <w:rFonts w:ascii="仿宋_GB2312" w:hAnsi="仿宋_GB2312"/>
          <w:sz w:val="32"/>
          <w:szCs w:val="32"/>
          <w:highlight w:val="white"/>
        </w:rPr>
        <w:t>二、收入决算表</w:t>
      </w:r>
    </w:p>
    <w:p>
      <w:pPr>
        <w:adjustRightInd w:val="0"/>
        <w:spacing w:before="100" w:beforeAutospacing="1" w:after="100" w:afterAutospacing="1"/>
        <w:ind w:firstLine="601"/>
      </w:pPr>
      <w:r>
        <w:rPr>
          <w:rFonts w:ascii="Times New Roman" w:hAnsi="Times New Roman" w:eastAsia="仿宋_GB2312" w:cs="Times New Roman"/>
          <w:sz w:val="32"/>
          <w:szCs w:val="32"/>
          <w:highlight w:val="white"/>
        </w:rPr>
        <w:t xml:space="preserve">    </w:t>
      </w:r>
      <w:r>
        <w:rPr>
          <w:rFonts w:ascii="仿宋_GB2312" w:hAnsi="仿宋_GB2312"/>
          <w:sz w:val="32"/>
          <w:szCs w:val="32"/>
          <w:highlight w:val="white"/>
        </w:rPr>
        <w:t>三、支出决算表</w:t>
      </w:r>
    </w:p>
    <w:p>
      <w:pPr>
        <w:adjustRightInd w:val="0"/>
        <w:spacing w:before="100" w:beforeAutospacing="1" w:after="100" w:afterAutospacing="1"/>
        <w:ind w:firstLine="601"/>
      </w:pPr>
      <w:r>
        <w:rPr>
          <w:rFonts w:ascii="Times New Roman" w:hAnsi="Times New Roman" w:eastAsia="仿宋_GB2312" w:cs="Times New Roman"/>
          <w:sz w:val="32"/>
          <w:szCs w:val="32"/>
          <w:highlight w:val="white"/>
        </w:rPr>
        <w:t xml:space="preserve">    </w:t>
      </w:r>
      <w:r>
        <w:rPr>
          <w:rFonts w:ascii="仿宋_GB2312" w:hAnsi="仿宋_GB2312"/>
          <w:sz w:val="32"/>
          <w:szCs w:val="32"/>
          <w:highlight w:val="white"/>
        </w:rPr>
        <w:t>四、财政拨款收入支出决算总表</w:t>
      </w:r>
    </w:p>
    <w:p>
      <w:pPr>
        <w:adjustRightInd w:val="0"/>
        <w:spacing w:before="100" w:beforeAutospacing="1" w:after="100" w:afterAutospacing="1"/>
        <w:ind w:firstLine="601"/>
      </w:pPr>
      <w:r>
        <w:rPr>
          <w:rFonts w:ascii="Times New Roman" w:hAnsi="Times New Roman" w:eastAsia="仿宋_GB2312" w:cs="Times New Roman"/>
          <w:sz w:val="32"/>
          <w:szCs w:val="32"/>
          <w:highlight w:val="white"/>
        </w:rPr>
        <w:t xml:space="preserve">    </w:t>
      </w:r>
      <w:r>
        <w:rPr>
          <w:rFonts w:ascii="仿宋_GB2312" w:hAnsi="仿宋_GB2312"/>
          <w:sz w:val="32"/>
          <w:szCs w:val="32"/>
          <w:highlight w:val="white"/>
        </w:rPr>
        <w:t>五、一般公共预算财政拨款支出决算表</w:t>
      </w:r>
    </w:p>
    <w:p>
      <w:pPr>
        <w:adjustRightInd w:val="0"/>
        <w:spacing w:before="100" w:beforeAutospacing="1" w:after="100" w:afterAutospacing="1"/>
        <w:ind w:firstLine="601"/>
      </w:pPr>
      <w:r>
        <w:rPr>
          <w:rFonts w:ascii="Times New Roman" w:hAnsi="Times New Roman" w:eastAsia="仿宋_GB2312" w:cs="Times New Roman"/>
          <w:sz w:val="32"/>
          <w:szCs w:val="32"/>
          <w:highlight w:val="white"/>
        </w:rPr>
        <w:t xml:space="preserve">    </w:t>
      </w:r>
      <w:r>
        <w:rPr>
          <w:rFonts w:ascii="仿宋_GB2312" w:hAnsi="仿宋_GB2312"/>
          <w:sz w:val="32"/>
          <w:szCs w:val="32"/>
          <w:highlight w:val="white"/>
        </w:rPr>
        <w:t>六、一般公共预算财政拨款基本支出决算明细表</w:t>
      </w:r>
    </w:p>
    <w:p>
      <w:pPr>
        <w:adjustRightInd w:val="0"/>
        <w:spacing w:before="100" w:beforeAutospacing="1" w:after="100" w:afterAutospacing="1"/>
        <w:ind w:firstLine="601"/>
      </w:pPr>
      <w:r>
        <w:rPr>
          <w:rFonts w:ascii="Times New Roman" w:hAnsi="Times New Roman" w:eastAsia="仿宋_GB2312" w:cs="Times New Roman"/>
          <w:sz w:val="32"/>
          <w:szCs w:val="32"/>
          <w:highlight w:val="white"/>
        </w:rPr>
        <w:t xml:space="preserve">    </w:t>
      </w:r>
      <w:r>
        <w:rPr>
          <w:rFonts w:ascii="仿宋_GB2312" w:hAnsi="仿宋_GB2312"/>
          <w:sz w:val="32"/>
          <w:szCs w:val="32"/>
          <w:highlight w:val="white"/>
        </w:rPr>
        <w:t>七、政府性基金财政拨款支出决算表</w:t>
      </w:r>
    </w:p>
    <w:p>
      <w:pPr>
        <w:adjustRightInd w:val="0"/>
        <w:spacing w:before="100" w:beforeAutospacing="1" w:after="100" w:afterAutospacing="1"/>
        <w:ind w:firstLine="601"/>
      </w:pPr>
      <w:r>
        <w:rPr>
          <w:rFonts w:ascii="Times New Roman" w:hAnsi="Times New Roman" w:eastAsia="仿宋_GB2312" w:cs="Times New Roman"/>
          <w:sz w:val="32"/>
          <w:szCs w:val="32"/>
          <w:highlight w:val="white"/>
        </w:rPr>
        <w:t xml:space="preserve">    </w:t>
      </w:r>
      <w:r>
        <w:rPr>
          <w:rFonts w:ascii="仿宋_GB2312" w:hAnsi="仿宋_GB2312"/>
          <w:sz w:val="32"/>
          <w:szCs w:val="32"/>
          <w:highlight w:val="white"/>
        </w:rPr>
        <w:t>八、部门决算相关信息统计表</w:t>
      </w:r>
    </w:p>
    <w:p>
      <w:pPr>
        <w:adjustRightInd w:val="0"/>
        <w:spacing w:before="100" w:beforeAutospacing="1" w:after="100" w:afterAutospacing="1"/>
        <w:ind w:firstLine="601"/>
      </w:pPr>
      <w:r>
        <w:rPr>
          <w:rFonts w:ascii="Times New Roman" w:hAnsi="Times New Roman" w:eastAsia="仿宋_GB2312" w:cs="Times New Roman"/>
          <w:b/>
          <w:bCs/>
          <w:sz w:val="44"/>
          <w:szCs w:val="44"/>
        </w:rPr>
        <w:t xml:space="preserve"> </w:t>
      </w:r>
    </w:p>
    <w:p>
      <w:r>
        <w:rPr>
          <w:rFonts w:hint="eastAsia"/>
        </w:rPr>
        <w:t xml:space="preserve">  </w:t>
      </w:r>
    </w:p>
    <w:p>
      <w:pPr>
        <w:adjustRightInd w:val="0"/>
        <w:spacing w:before="100" w:beforeAutospacing="1" w:after="100" w:afterAutospacing="1" w:line="580" w:lineRule="exact"/>
        <w:ind w:firstLine="600"/>
      </w:pPr>
      <w:r>
        <w:rPr>
          <w:rFonts w:ascii="仿宋_GB2312" w:hAnsi="仿宋_GB2312"/>
          <w:b/>
          <w:bCs/>
          <w:sz w:val="32"/>
          <w:szCs w:val="32"/>
        </w:rPr>
        <w:t>第一部分</w:t>
      </w:r>
      <w:r>
        <w:rPr>
          <w:rFonts w:ascii="仿宋_GB2312" w:hAnsi="Times New Roman"/>
          <w:b/>
          <w:bCs/>
          <w:sz w:val="32"/>
          <w:szCs w:val="32"/>
        </w:rPr>
        <w:t xml:space="preserve"> </w:t>
      </w:r>
      <w:r>
        <w:rPr>
          <w:rFonts w:ascii="仿宋_GB2312" w:hAnsi="仿宋_GB2312"/>
          <w:b/>
          <w:bCs/>
          <w:sz w:val="32"/>
          <w:szCs w:val="32"/>
        </w:rPr>
        <w:t>部门基本情况</w:t>
      </w:r>
    </w:p>
    <w:p>
      <w:pPr>
        <w:adjustRightInd w:val="0"/>
        <w:spacing w:before="100" w:beforeAutospacing="1" w:after="100" w:afterAutospacing="1" w:line="580" w:lineRule="exact"/>
        <w:ind w:firstLine="600"/>
      </w:pPr>
      <w:r>
        <w:rPr>
          <w:rFonts w:ascii="仿宋_GB2312" w:hAnsi="仿宋_GB2312"/>
          <w:sz w:val="32"/>
          <w:szCs w:val="32"/>
        </w:rPr>
        <w:t>一、部门职能</w:t>
      </w:r>
    </w:p>
    <w:p>
      <w:pPr>
        <w:spacing w:line="560" w:lineRule="exact"/>
        <w:ind w:firstLine="640" w:firstLineChars="200"/>
        <w:rPr>
          <w:rFonts w:ascii="仿宋_GB2312"/>
          <w:sz w:val="32"/>
          <w:szCs w:val="32"/>
        </w:rPr>
      </w:pPr>
      <w:r>
        <w:rPr>
          <w:rFonts w:ascii="仿宋_GB2312" w:hAnsi="仿宋_GB2312"/>
          <w:sz w:val="32"/>
          <w:szCs w:val="32"/>
        </w:rPr>
        <w:t>主要职能：杭锦旗农牧业局是旗人民政府管理全旗农牧业生产的职能部门，其主要职能是指导、协调全旗农牧业经济工作及制定农牧业经济规划</w:t>
      </w:r>
      <w:r>
        <w:rPr>
          <w:rFonts w:hint="eastAsia" w:ascii="仿宋_GB2312" w:hAnsi="仿宋_GB2312"/>
          <w:sz w:val="32"/>
          <w:szCs w:val="32"/>
        </w:rPr>
        <w:t>;</w:t>
      </w:r>
      <w:r>
        <w:rPr>
          <w:rFonts w:hint="eastAsia" w:asciiTheme="minorEastAsia" w:hAnsiTheme="minorEastAsia" w:eastAsiaTheme="minorEastAsia"/>
          <w:color w:val="000000"/>
          <w:sz w:val="32"/>
          <w:szCs w:val="32"/>
        </w:rPr>
        <w:t>贯彻执行国家有关农牧业机械化、设施农业工程的方针、政策、法律、法规、规章及制度；负责全旗农牧业机械化、设施农业工程、农机化发展计划及中长期规划；引导农牧业机械产品结构调整、组织、引进、研制、示范、推广新型农牧业机械，提高农牧业机械化普及应用水平；指导农机社会化服务体系建设，负责制定农机服务规范和服务标准，并监督实施，指导农机协会、专业合作社、农业经营企业等宣传工作；负责农机信息、农机统计工作；组织实施农用拖拉机、联合收割机及国家规定应当登记的自走式农牧业机械实行登记管理，安全监理，农牧民机手培训；负责产品质量检验、</w:t>
      </w:r>
      <w:r>
        <w:rPr>
          <w:rFonts w:hint="eastAsia" w:asciiTheme="minorEastAsia" w:hAnsiTheme="minorEastAsia" w:eastAsiaTheme="minorEastAsia"/>
          <w:color w:val="000000"/>
          <w:sz w:val="32"/>
          <w:szCs w:val="32"/>
          <w:lang w:eastAsia="zh-CN"/>
        </w:rPr>
        <w:t>签订</w:t>
      </w:r>
      <w:r>
        <w:rPr>
          <w:rFonts w:hint="eastAsia" w:asciiTheme="minorEastAsia" w:hAnsiTheme="minorEastAsia" w:eastAsiaTheme="minorEastAsia"/>
          <w:color w:val="000000"/>
          <w:sz w:val="32"/>
          <w:szCs w:val="32"/>
        </w:rPr>
        <w:t>及认证管理等工作;</w:t>
      </w:r>
      <w:r>
        <w:rPr>
          <w:rFonts w:hint="eastAsia" w:ascii="仿宋_GB2312" w:eastAsia="仿宋_GB2312"/>
        </w:rPr>
        <w:t xml:space="preserve"> </w:t>
      </w:r>
      <w:r>
        <w:rPr>
          <w:rFonts w:hint="eastAsia"/>
          <w:sz w:val="32"/>
          <w:szCs w:val="32"/>
        </w:rPr>
        <w:t>制定年度计划，拟定年度重点项目建设及投资计划，并组织实施、负责研究农牧业产业化的发展动态，组织产业化信息收集、分析、发布以及数据统计。管理和指导农牧业产业化龙头企业，指导农牧业产业化产业协会和中介组织开展工作。协调相关部门抓好服务体系建设。负责组织农牧业产业化龙头企业开展招商引资工作。完成旗委、政府及上级部门交办的其他工作。</w:t>
      </w:r>
    </w:p>
    <w:p>
      <w:pPr>
        <w:adjustRightInd w:val="0"/>
        <w:spacing w:before="100" w:beforeAutospacing="1" w:after="100" w:afterAutospacing="1" w:line="580" w:lineRule="exact"/>
        <w:ind w:firstLine="600"/>
      </w:pPr>
      <w:r>
        <w:rPr>
          <w:rFonts w:ascii="仿宋_GB2312" w:hAnsi="仿宋_GB2312"/>
          <w:sz w:val="32"/>
          <w:szCs w:val="32"/>
        </w:rPr>
        <w:t>二、机构设置及单位构成情况</w:t>
      </w:r>
    </w:p>
    <w:p>
      <w:pPr>
        <w:snapToGrid w:val="0"/>
        <w:spacing w:line="520" w:lineRule="exact"/>
        <w:ind w:firstLine="640" w:firstLineChars="200"/>
        <w:rPr>
          <w:rFonts w:hint="eastAsia" w:asciiTheme="majorEastAsia" w:hAnsiTheme="majorEastAsia" w:eastAsiaTheme="majorEastAsia"/>
          <w:sz w:val="32"/>
          <w:szCs w:val="32"/>
        </w:rPr>
      </w:pPr>
      <w:r>
        <w:rPr>
          <w:rFonts w:asciiTheme="majorEastAsia" w:hAnsiTheme="majorEastAsia" w:eastAsiaTheme="majorEastAsia"/>
          <w:sz w:val="32"/>
          <w:szCs w:val="32"/>
        </w:rPr>
        <w:t>机构情况：农牧业局下设16个二级单位</w:t>
      </w:r>
      <w:r>
        <w:rPr>
          <w:rFonts w:hint="eastAsia" w:asciiTheme="majorEastAsia" w:hAnsiTheme="majorEastAsia" w:eastAsiaTheme="majorEastAsia"/>
          <w:sz w:val="32"/>
          <w:szCs w:val="32"/>
        </w:rPr>
        <w:t>,分别是</w:t>
      </w:r>
      <w:r>
        <w:rPr>
          <w:rFonts w:asciiTheme="majorEastAsia" w:hAnsiTheme="majorEastAsia" w:eastAsiaTheme="majorEastAsia"/>
          <w:sz w:val="32"/>
          <w:szCs w:val="32"/>
        </w:rPr>
        <w:t>杭锦旗兽医局</w:t>
      </w:r>
      <w:r>
        <w:rPr>
          <w:rFonts w:hint="eastAsia" w:asciiTheme="majorEastAsia" w:hAnsiTheme="majorEastAsia" w:eastAsiaTheme="majorEastAsia"/>
          <w:sz w:val="32"/>
          <w:szCs w:val="32"/>
        </w:rPr>
        <w:t>、</w:t>
      </w:r>
      <w:r>
        <w:rPr>
          <w:rFonts w:asciiTheme="majorEastAsia" w:hAnsiTheme="majorEastAsia" w:eastAsiaTheme="majorEastAsia"/>
          <w:sz w:val="32"/>
          <w:szCs w:val="32"/>
        </w:rPr>
        <w:t>杭锦旗农村牧区人口转移工作领导小组办公室</w:t>
      </w:r>
      <w:r>
        <w:rPr>
          <w:rFonts w:hint="eastAsia" w:asciiTheme="majorEastAsia" w:hAnsiTheme="majorEastAsia" w:eastAsiaTheme="majorEastAsia"/>
          <w:sz w:val="32"/>
          <w:szCs w:val="32"/>
        </w:rPr>
        <w:t>、</w:t>
      </w:r>
      <w:r>
        <w:rPr>
          <w:rFonts w:asciiTheme="majorEastAsia" w:hAnsiTheme="majorEastAsia" w:eastAsiaTheme="majorEastAsia"/>
          <w:sz w:val="32"/>
          <w:szCs w:val="32"/>
        </w:rPr>
        <w:t>杭锦旗摩林河种畜场</w:t>
      </w:r>
      <w:r>
        <w:rPr>
          <w:rFonts w:hint="eastAsia" w:asciiTheme="majorEastAsia" w:hAnsiTheme="majorEastAsia" w:eastAsiaTheme="majorEastAsia"/>
          <w:sz w:val="32"/>
          <w:szCs w:val="32"/>
        </w:rPr>
        <w:t>、杭锦旗农业技术推广中心、</w:t>
      </w:r>
      <w:r>
        <w:rPr>
          <w:rFonts w:asciiTheme="majorEastAsia" w:hAnsiTheme="majorEastAsia" w:eastAsiaTheme="majorEastAsia"/>
          <w:sz w:val="32"/>
          <w:szCs w:val="32"/>
        </w:rPr>
        <w:t>杭锦旗家畜改良工作站</w:t>
      </w:r>
      <w:r>
        <w:rPr>
          <w:rFonts w:hint="eastAsia" w:asciiTheme="majorEastAsia" w:hAnsiTheme="majorEastAsia" w:eastAsiaTheme="majorEastAsia"/>
          <w:sz w:val="32"/>
          <w:szCs w:val="32"/>
        </w:rPr>
        <w:t>、杭锦旗草原工作站、杭锦旗草原监理所、</w:t>
      </w:r>
      <w:r>
        <w:rPr>
          <w:rFonts w:asciiTheme="majorEastAsia" w:hAnsiTheme="majorEastAsia" w:eastAsiaTheme="majorEastAsia"/>
          <w:sz w:val="32"/>
          <w:szCs w:val="32"/>
        </w:rPr>
        <w:t>杭锦旗摩林河草籽繁殖场</w:t>
      </w:r>
      <w:r>
        <w:rPr>
          <w:rFonts w:hint="eastAsia" w:asciiTheme="majorEastAsia" w:hAnsiTheme="majorEastAsia" w:eastAsiaTheme="majorEastAsia"/>
          <w:sz w:val="32"/>
          <w:szCs w:val="32"/>
        </w:rPr>
        <w:t>、</w:t>
      </w:r>
      <w:r>
        <w:rPr>
          <w:rFonts w:asciiTheme="majorEastAsia" w:hAnsiTheme="majorEastAsia" w:eastAsiaTheme="majorEastAsia"/>
          <w:sz w:val="32"/>
          <w:szCs w:val="32"/>
        </w:rPr>
        <w:t>杭锦旗农牧业机械管理局</w:t>
      </w:r>
      <w:r>
        <w:rPr>
          <w:rFonts w:hint="eastAsia" w:asciiTheme="majorEastAsia" w:hAnsiTheme="majorEastAsia" w:eastAsiaTheme="majorEastAsia"/>
          <w:sz w:val="32"/>
          <w:szCs w:val="32"/>
        </w:rPr>
        <w:t>、杭锦旗农牧业产业服务中心、杭锦旗农牧与水务综合执法局、</w:t>
      </w:r>
      <w:r>
        <w:rPr>
          <w:rFonts w:asciiTheme="majorEastAsia" w:hAnsiTheme="majorEastAsia" w:eastAsiaTheme="majorEastAsia"/>
          <w:sz w:val="32"/>
          <w:szCs w:val="32"/>
        </w:rPr>
        <w:t>杭锦旗哈拉淖尔良种场</w:t>
      </w:r>
      <w:r>
        <w:rPr>
          <w:rFonts w:hint="eastAsia" w:asciiTheme="majorEastAsia" w:hAnsiTheme="majorEastAsia" w:eastAsiaTheme="majorEastAsia"/>
          <w:sz w:val="32"/>
          <w:szCs w:val="32"/>
        </w:rPr>
        <w:t>、杭锦旗农牧区经营管理站、</w:t>
      </w:r>
      <w:r>
        <w:rPr>
          <w:rFonts w:asciiTheme="majorEastAsia" w:hAnsiTheme="majorEastAsia" w:eastAsiaTheme="majorEastAsia"/>
          <w:sz w:val="32"/>
          <w:szCs w:val="32"/>
        </w:rPr>
        <w:t>杭锦旗农畜产品质量安全监督管理站</w:t>
      </w:r>
      <w:r>
        <w:rPr>
          <w:rFonts w:hint="eastAsia" w:asciiTheme="majorEastAsia" w:hAnsiTheme="majorEastAsia" w:eastAsiaTheme="majorEastAsia"/>
          <w:sz w:val="32"/>
          <w:szCs w:val="32"/>
        </w:rPr>
        <w:t>、</w:t>
      </w:r>
      <w:r>
        <w:rPr>
          <w:rFonts w:asciiTheme="majorEastAsia" w:hAnsiTheme="majorEastAsia" w:eastAsiaTheme="majorEastAsia"/>
          <w:sz w:val="32"/>
          <w:szCs w:val="32"/>
        </w:rPr>
        <w:t>杭锦旗水产管理站</w:t>
      </w:r>
      <w:r>
        <w:rPr>
          <w:rFonts w:hint="eastAsia" w:asciiTheme="majorEastAsia" w:hAnsiTheme="majorEastAsia" w:eastAsiaTheme="majorEastAsia"/>
          <w:sz w:val="32"/>
          <w:szCs w:val="32"/>
        </w:rPr>
        <w:t>、</w:t>
      </w:r>
      <w:r>
        <w:rPr>
          <w:rFonts w:asciiTheme="majorEastAsia" w:hAnsiTheme="majorEastAsia" w:eastAsiaTheme="majorEastAsia"/>
          <w:sz w:val="32"/>
          <w:szCs w:val="32"/>
        </w:rPr>
        <w:t>杭锦旗动物疫病预防控制中心</w:t>
      </w:r>
      <w:r>
        <w:rPr>
          <w:rFonts w:hint="eastAsia" w:asciiTheme="majorEastAsia" w:hAnsiTheme="majorEastAsia" w:eastAsiaTheme="majorEastAsia"/>
          <w:sz w:val="32"/>
          <w:szCs w:val="32"/>
        </w:rPr>
        <w:t>。</w:t>
      </w:r>
    </w:p>
    <w:p>
      <w:pPr>
        <w:snapToGrid w:val="0"/>
        <w:spacing w:line="520" w:lineRule="exact"/>
        <w:ind w:firstLine="640" w:firstLineChars="200"/>
        <w:rPr>
          <w:rFonts w:ascii="仿宋_GB2312" w:hAnsi="仿宋"/>
          <w:sz w:val="32"/>
          <w:szCs w:val="32"/>
        </w:rPr>
      </w:pPr>
      <w:r>
        <w:rPr>
          <w:rFonts w:ascii="仿宋_GB2312" w:hAnsi="仿宋"/>
          <w:sz w:val="32"/>
          <w:szCs w:val="32"/>
        </w:rPr>
        <w:t xml:space="preserve"> </w:t>
      </w:r>
    </w:p>
    <w:p>
      <w:pPr>
        <w:adjustRightInd w:val="0"/>
        <w:spacing w:before="100" w:beforeAutospacing="1" w:after="100" w:afterAutospacing="1" w:line="580" w:lineRule="exact"/>
        <w:ind w:firstLine="600"/>
      </w:pPr>
      <w:r>
        <w:rPr>
          <w:rFonts w:ascii="仿宋_GB2312" w:hAnsi="仿宋_GB2312"/>
          <w:b/>
          <w:bCs/>
          <w:sz w:val="32"/>
          <w:szCs w:val="32"/>
        </w:rPr>
        <w:t>第二部分</w:t>
      </w:r>
      <w:r>
        <w:rPr>
          <w:rFonts w:ascii="仿宋_GB2312" w:hAnsi="Times New Roman"/>
          <w:b/>
          <w:bCs/>
          <w:sz w:val="32"/>
          <w:szCs w:val="32"/>
        </w:rPr>
        <w:t xml:space="preserve"> 2018</w:t>
      </w:r>
      <w:r>
        <w:rPr>
          <w:rFonts w:ascii="仿宋_GB2312" w:hAnsi="仿宋_GB2312"/>
          <w:b/>
          <w:bCs/>
          <w:sz w:val="32"/>
          <w:szCs w:val="32"/>
        </w:rPr>
        <w:t>年度部门决算情况说明</w:t>
      </w:r>
    </w:p>
    <w:p>
      <w:pPr>
        <w:snapToGrid w:val="0"/>
        <w:spacing w:line="520" w:lineRule="exact"/>
        <w:ind w:firstLine="643" w:firstLineChars="200"/>
        <w:rPr>
          <w:rFonts w:ascii="楷体_GB2312" w:hAnsi="仿宋"/>
          <w:b/>
          <w:bCs/>
          <w:sz w:val="32"/>
          <w:szCs w:val="32"/>
        </w:rPr>
      </w:pPr>
      <w:r>
        <w:rPr>
          <w:rFonts w:ascii="楷体_GB2312" w:hAnsi="楷体_GB2312"/>
          <w:b/>
          <w:bCs/>
          <w:sz w:val="32"/>
          <w:szCs w:val="32"/>
        </w:rPr>
        <w:t>（一）收入支出预算执行情况</w:t>
      </w:r>
    </w:p>
    <w:p>
      <w:pPr>
        <w:snapToGrid w:val="0"/>
        <w:spacing w:line="520" w:lineRule="exact"/>
        <w:ind w:firstLine="640" w:firstLineChars="200"/>
        <w:rPr>
          <w:rFonts w:ascii="仿宋_GB2312" w:hAnsi="仿宋"/>
          <w:sz w:val="32"/>
          <w:szCs w:val="32"/>
        </w:rPr>
      </w:pPr>
      <w:r>
        <w:rPr>
          <w:rFonts w:ascii="仿宋_GB2312" w:hAnsi="仿宋"/>
          <w:sz w:val="32"/>
          <w:szCs w:val="32"/>
        </w:rPr>
        <w:t>2018</w:t>
      </w:r>
      <w:r>
        <w:rPr>
          <w:rFonts w:ascii="仿宋_GB2312" w:hAnsi="仿宋_GB2312"/>
          <w:sz w:val="32"/>
          <w:szCs w:val="32"/>
        </w:rPr>
        <w:t>年，单位本年收入</w:t>
      </w:r>
      <w:r>
        <w:rPr>
          <w:rFonts w:ascii="仿宋_GB2312" w:hAnsi="仿宋"/>
          <w:sz w:val="32"/>
          <w:szCs w:val="32"/>
        </w:rPr>
        <w:t>20675.22</w:t>
      </w:r>
      <w:r>
        <w:rPr>
          <w:rFonts w:ascii="仿宋_GB2312" w:hAnsi="仿宋_GB2312"/>
          <w:sz w:val="32"/>
          <w:szCs w:val="32"/>
        </w:rPr>
        <w:t>万元，基本收入</w:t>
      </w:r>
      <w:r>
        <w:rPr>
          <w:rFonts w:ascii="仿宋_GB2312" w:hAnsi="仿宋"/>
          <w:sz w:val="32"/>
          <w:szCs w:val="32"/>
        </w:rPr>
        <w:t>5365.56</w:t>
      </w:r>
      <w:r>
        <w:rPr>
          <w:rFonts w:ascii="仿宋_GB2312" w:hAnsi="仿宋_GB2312"/>
          <w:sz w:val="32"/>
          <w:szCs w:val="32"/>
        </w:rPr>
        <w:t>万元，项目收入</w:t>
      </w:r>
      <w:r>
        <w:rPr>
          <w:rFonts w:ascii="仿宋_GB2312" w:hAnsi="仿宋"/>
          <w:sz w:val="32"/>
          <w:szCs w:val="32"/>
        </w:rPr>
        <w:t>15309.66</w:t>
      </w:r>
      <w:r>
        <w:rPr>
          <w:rFonts w:ascii="仿宋_GB2312" w:hAnsi="仿宋_GB2312"/>
          <w:sz w:val="32"/>
          <w:szCs w:val="32"/>
        </w:rPr>
        <w:t>万元。</w:t>
      </w:r>
    </w:p>
    <w:p>
      <w:pPr>
        <w:snapToGrid w:val="0"/>
        <w:spacing w:line="520" w:lineRule="exact"/>
        <w:ind w:firstLine="640" w:firstLineChars="200"/>
        <w:rPr>
          <w:rFonts w:ascii="仿宋_GB2312" w:hAnsi="仿宋"/>
          <w:sz w:val="32"/>
          <w:szCs w:val="32"/>
        </w:rPr>
      </w:pPr>
      <w:r>
        <w:rPr>
          <w:rFonts w:ascii="仿宋_GB2312" w:hAnsi="仿宋"/>
          <w:sz w:val="32"/>
          <w:szCs w:val="32"/>
        </w:rPr>
        <w:t>2017</w:t>
      </w:r>
      <w:r>
        <w:rPr>
          <w:rFonts w:ascii="仿宋_GB2312" w:hAnsi="仿宋_GB2312"/>
          <w:sz w:val="32"/>
          <w:szCs w:val="32"/>
        </w:rPr>
        <w:t>年，单位本年收入</w:t>
      </w:r>
      <w:r>
        <w:rPr>
          <w:rFonts w:ascii="仿宋_GB2312" w:hAnsi="仿宋"/>
          <w:sz w:val="32"/>
          <w:szCs w:val="32"/>
        </w:rPr>
        <w:t>23789.44</w:t>
      </w:r>
      <w:r>
        <w:rPr>
          <w:rFonts w:ascii="仿宋_GB2312" w:hAnsi="仿宋_GB2312"/>
          <w:sz w:val="32"/>
          <w:szCs w:val="32"/>
        </w:rPr>
        <w:t>万元，其中基本收入</w:t>
      </w:r>
      <w:r>
        <w:rPr>
          <w:rFonts w:ascii="仿宋_GB2312" w:hAnsi="仿宋"/>
          <w:sz w:val="32"/>
          <w:szCs w:val="32"/>
        </w:rPr>
        <w:t>4629.1</w:t>
      </w:r>
      <w:r>
        <w:rPr>
          <w:rFonts w:ascii="仿宋_GB2312" w:hAnsi="仿宋_GB2312"/>
          <w:sz w:val="32"/>
          <w:szCs w:val="32"/>
        </w:rPr>
        <w:t>万元，项目收入</w:t>
      </w:r>
      <w:r>
        <w:rPr>
          <w:rFonts w:ascii="仿宋_GB2312" w:hAnsi="仿宋"/>
          <w:sz w:val="32"/>
          <w:szCs w:val="32"/>
        </w:rPr>
        <w:t>19160.34</w:t>
      </w:r>
      <w:r>
        <w:rPr>
          <w:rFonts w:ascii="仿宋_GB2312" w:hAnsi="仿宋_GB2312"/>
          <w:sz w:val="32"/>
          <w:szCs w:val="32"/>
        </w:rPr>
        <w:t>万元。</w:t>
      </w:r>
    </w:p>
    <w:p>
      <w:pPr>
        <w:snapToGrid w:val="0"/>
        <w:spacing w:line="520" w:lineRule="exact"/>
        <w:ind w:firstLine="643" w:firstLineChars="200"/>
        <w:rPr>
          <w:rFonts w:ascii="仿宋_GB2312" w:hAnsi="仿宋"/>
          <w:b/>
          <w:bCs/>
          <w:sz w:val="32"/>
          <w:szCs w:val="32"/>
        </w:rPr>
      </w:pPr>
      <w:r>
        <w:rPr>
          <w:rFonts w:ascii="仿宋_GB2312" w:hAnsi="仿宋"/>
          <w:b/>
          <w:bCs/>
          <w:sz w:val="32"/>
          <w:szCs w:val="32"/>
        </w:rPr>
        <w:t>2</w:t>
      </w:r>
      <w:r>
        <w:rPr>
          <w:rFonts w:ascii="仿宋_GB2312" w:hAnsi="仿宋_GB2312"/>
          <w:b/>
          <w:bCs/>
          <w:sz w:val="32"/>
          <w:szCs w:val="32"/>
        </w:rPr>
        <w:t>．收入支出结构分析。</w:t>
      </w:r>
    </w:p>
    <w:p>
      <w:pPr>
        <w:snapToGrid w:val="0"/>
        <w:spacing w:line="520" w:lineRule="exact"/>
        <w:ind w:firstLine="640" w:firstLineChars="200"/>
      </w:pPr>
      <w:r>
        <w:rPr>
          <w:rFonts w:ascii="仿宋_GB2312" w:hAnsi="仿宋"/>
          <w:sz w:val="32"/>
          <w:szCs w:val="32"/>
        </w:rPr>
        <w:t>2018</w:t>
      </w:r>
      <w:r>
        <w:rPr>
          <w:rFonts w:ascii="仿宋_GB2312" w:hAnsi="仿宋_GB2312"/>
          <w:sz w:val="32"/>
          <w:szCs w:val="32"/>
        </w:rPr>
        <w:t>年我单位总收入</w:t>
      </w:r>
      <w:r>
        <w:rPr>
          <w:rFonts w:ascii="仿宋_GB2312" w:hAnsi="仿宋"/>
          <w:sz w:val="32"/>
          <w:szCs w:val="32"/>
        </w:rPr>
        <w:t>20675.22</w:t>
      </w:r>
      <w:r>
        <w:rPr>
          <w:rFonts w:ascii="仿宋_GB2312" w:hAnsi="仿宋_GB2312"/>
          <w:sz w:val="32"/>
          <w:szCs w:val="32"/>
        </w:rPr>
        <w:t>万元，其中人员经费</w:t>
      </w:r>
      <w:r>
        <w:rPr>
          <w:rFonts w:ascii="仿宋_GB2312" w:hAnsi="仿宋"/>
          <w:sz w:val="32"/>
          <w:szCs w:val="32"/>
        </w:rPr>
        <w:t>5255.55</w:t>
      </w:r>
      <w:r>
        <w:rPr>
          <w:rFonts w:ascii="仿宋_GB2312" w:hAnsi="仿宋_GB2312"/>
          <w:sz w:val="32"/>
          <w:szCs w:val="32"/>
        </w:rPr>
        <w:t>万元，占总收入的</w:t>
      </w:r>
      <w:r>
        <w:rPr>
          <w:rFonts w:ascii="仿宋_GB2312" w:hAnsi="仿宋"/>
          <w:sz w:val="32"/>
          <w:szCs w:val="32"/>
        </w:rPr>
        <w:t>25.42%</w:t>
      </w:r>
      <w:r>
        <w:rPr>
          <w:rFonts w:ascii="仿宋_GB2312" w:hAnsi="仿宋_GB2312"/>
          <w:sz w:val="32"/>
          <w:szCs w:val="32"/>
        </w:rPr>
        <w:t>，日常公用经费</w:t>
      </w:r>
      <w:r>
        <w:rPr>
          <w:rFonts w:ascii="仿宋_GB2312" w:hAnsi="仿宋"/>
          <w:sz w:val="32"/>
          <w:szCs w:val="32"/>
        </w:rPr>
        <w:t>110.01</w:t>
      </w:r>
      <w:r>
        <w:rPr>
          <w:rFonts w:ascii="仿宋_GB2312" w:hAnsi="仿宋_GB2312"/>
          <w:sz w:val="32"/>
          <w:szCs w:val="32"/>
        </w:rPr>
        <w:t>万元，占总收入的</w:t>
      </w:r>
      <w:r>
        <w:rPr>
          <w:rFonts w:ascii="仿宋_GB2312" w:hAnsi="仿宋"/>
          <w:sz w:val="32"/>
          <w:szCs w:val="32"/>
        </w:rPr>
        <w:t>0.53%</w:t>
      </w:r>
      <w:r>
        <w:rPr>
          <w:rFonts w:ascii="仿宋_GB2312" w:hAnsi="仿宋_GB2312"/>
          <w:sz w:val="32"/>
          <w:szCs w:val="32"/>
        </w:rPr>
        <w:t>，，项目收入</w:t>
      </w:r>
      <w:r>
        <w:rPr>
          <w:rFonts w:ascii="仿宋_GB2312" w:hAnsi="仿宋"/>
          <w:sz w:val="32"/>
          <w:szCs w:val="32"/>
        </w:rPr>
        <w:t>15309.66</w:t>
      </w:r>
      <w:r>
        <w:rPr>
          <w:rFonts w:ascii="仿宋_GB2312" w:hAnsi="仿宋_GB2312"/>
          <w:sz w:val="32"/>
          <w:szCs w:val="32"/>
        </w:rPr>
        <w:t>万元，占总收入的</w:t>
      </w:r>
      <w:r>
        <w:rPr>
          <w:rFonts w:ascii="仿宋_GB2312" w:hAnsi="仿宋"/>
          <w:sz w:val="32"/>
          <w:szCs w:val="32"/>
        </w:rPr>
        <w:t>74.05%</w:t>
      </w:r>
      <w:r>
        <w:rPr>
          <w:rFonts w:ascii="仿宋_GB2312" w:hAnsi="仿宋_GB2312"/>
          <w:sz w:val="32"/>
          <w:szCs w:val="32"/>
        </w:rPr>
        <w:t>，</w:t>
      </w:r>
      <w:r>
        <w:rPr>
          <w:rFonts w:ascii="仿宋_GB2312" w:hAnsi="仿宋"/>
          <w:sz w:val="32"/>
          <w:szCs w:val="32"/>
        </w:rPr>
        <w:t xml:space="preserve"> 2018</w:t>
      </w:r>
      <w:r>
        <w:rPr>
          <w:rFonts w:ascii="仿宋_GB2312" w:hAnsi="仿宋_GB2312"/>
          <w:sz w:val="32"/>
          <w:szCs w:val="32"/>
        </w:rPr>
        <w:t>年我单位总支出</w:t>
      </w:r>
      <w:r>
        <w:rPr>
          <w:rFonts w:ascii="仿宋_GB2312" w:hAnsi="仿宋"/>
          <w:sz w:val="32"/>
          <w:szCs w:val="32"/>
        </w:rPr>
        <w:t>20639.7</w:t>
      </w:r>
      <w:r>
        <w:rPr>
          <w:rFonts w:ascii="仿宋_GB2312" w:hAnsi="仿宋_GB2312"/>
          <w:sz w:val="32"/>
          <w:szCs w:val="32"/>
        </w:rPr>
        <w:t>万元，其中工资福利支出</w:t>
      </w:r>
      <w:r>
        <w:rPr>
          <w:rFonts w:ascii="仿宋_GB2312" w:hAnsi="仿宋"/>
          <w:sz w:val="32"/>
          <w:szCs w:val="32"/>
        </w:rPr>
        <w:t>3492.34</w:t>
      </w:r>
      <w:r>
        <w:rPr>
          <w:rFonts w:ascii="仿宋_GB2312" w:hAnsi="仿宋_GB2312"/>
          <w:sz w:val="32"/>
          <w:szCs w:val="32"/>
        </w:rPr>
        <w:t>万元，占总支出的</w:t>
      </w:r>
      <w:r>
        <w:rPr>
          <w:rFonts w:ascii="仿宋_GB2312" w:hAnsi="仿宋"/>
          <w:sz w:val="32"/>
          <w:szCs w:val="32"/>
        </w:rPr>
        <w:t>16.92%</w:t>
      </w:r>
      <w:r>
        <w:rPr>
          <w:rFonts w:ascii="仿宋_GB2312" w:hAnsi="仿宋_GB2312"/>
          <w:sz w:val="32"/>
          <w:szCs w:val="32"/>
        </w:rPr>
        <w:t>，商品和服务支出</w:t>
      </w:r>
      <w:r>
        <w:rPr>
          <w:rFonts w:ascii="仿宋_GB2312" w:hAnsi="仿宋"/>
          <w:sz w:val="32"/>
          <w:szCs w:val="32"/>
        </w:rPr>
        <w:t>110.01</w:t>
      </w:r>
      <w:r>
        <w:rPr>
          <w:rFonts w:ascii="仿宋_GB2312" w:hAnsi="仿宋_GB2312"/>
          <w:sz w:val="32"/>
          <w:szCs w:val="32"/>
        </w:rPr>
        <w:t>万元，总支出的</w:t>
      </w:r>
      <w:r>
        <w:rPr>
          <w:rFonts w:ascii="仿宋_GB2312" w:hAnsi="仿宋"/>
          <w:sz w:val="32"/>
          <w:szCs w:val="32"/>
        </w:rPr>
        <w:t>0.53%</w:t>
      </w:r>
      <w:r>
        <w:rPr>
          <w:rFonts w:ascii="仿宋_GB2312" w:hAnsi="仿宋_GB2312"/>
          <w:sz w:val="32"/>
          <w:szCs w:val="32"/>
        </w:rPr>
        <w:t>，对个人和家庭的补助支出</w:t>
      </w:r>
      <w:r>
        <w:rPr>
          <w:rFonts w:ascii="仿宋_GB2312" w:hAnsi="仿宋"/>
          <w:sz w:val="32"/>
          <w:szCs w:val="32"/>
        </w:rPr>
        <w:t>1763.21</w:t>
      </w:r>
      <w:r>
        <w:rPr>
          <w:rFonts w:ascii="仿宋_GB2312" w:hAnsi="仿宋_GB2312"/>
          <w:sz w:val="32"/>
          <w:szCs w:val="32"/>
        </w:rPr>
        <w:t>万元，占总支出的</w:t>
      </w:r>
      <w:r>
        <w:rPr>
          <w:rFonts w:ascii="仿宋_GB2312" w:hAnsi="仿宋"/>
          <w:sz w:val="32"/>
          <w:szCs w:val="32"/>
        </w:rPr>
        <w:t>8.54%</w:t>
      </w:r>
      <w:r>
        <w:rPr>
          <w:rFonts w:ascii="仿宋_GB2312" w:hAnsi="仿宋_GB2312"/>
          <w:sz w:val="32"/>
          <w:szCs w:val="32"/>
        </w:rPr>
        <w:t>。</w:t>
      </w:r>
    </w:p>
    <w:p>
      <w:pPr>
        <w:adjustRightInd w:val="0"/>
        <w:spacing w:before="100" w:beforeAutospacing="1" w:after="100" w:afterAutospacing="1" w:line="580" w:lineRule="exact"/>
      </w:pPr>
      <w:r>
        <w:rPr>
          <w:rFonts w:ascii="仿宋_GB2312" w:hAnsi="仿宋_GB2312"/>
          <w:sz w:val="32"/>
          <w:szCs w:val="32"/>
        </w:rPr>
        <w:t>二、关于</w:t>
      </w:r>
      <w:r>
        <w:rPr>
          <w:rFonts w:ascii="仿宋_GB2312" w:hAnsi="Times New Roman"/>
          <w:sz w:val="32"/>
          <w:szCs w:val="32"/>
        </w:rPr>
        <w:t>2018</w:t>
      </w:r>
      <w:r>
        <w:rPr>
          <w:rFonts w:ascii="仿宋_GB2312" w:hAnsi="仿宋_GB2312"/>
          <w:sz w:val="32"/>
          <w:szCs w:val="32"/>
        </w:rPr>
        <w:t>年度决算情况说明</w:t>
      </w:r>
    </w:p>
    <w:p>
      <w:pPr>
        <w:adjustRightInd w:val="0"/>
        <w:spacing w:before="100" w:beforeAutospacing="1" w:after="100" w:afterAutospacing="1" w:line="580" w:lineRule="exact"/>
        <w:ind w:firstLine="600"/>
      </w:pPr>
      <w:r>
        <w:rPr>
          <w:rFonts w:hint="eastAsia" w:ascii="楷体" w:hAnsi="楷体" w:eastAsia="楷体"/>
          <w:sz w:val="32"/>
          <w:szCs w:val="32"/>
        </w:rPr>
        <w:t>（一）关于收支情况总体说明</w:t>
      </w:r>
    </w:p>
    <w:p>
      <w:pPr>
        <w:adjustRightInd w:val="0"/>
        <w:spacing w:before="100" w:beforeAutospacing="1" w:after="100" w:afterAutospacing="1" w:line="580" w:lineRule="exact"/>
        <w:ind w:firstLine="600"/>
        <w:rPr>
          <w:rFonts w:ascii="仿宋_GB2312" w:hAnsi="Times New Roman"/>
          <w:sz w:val="32"/>
          <w:szCs w:val="32"/>
        </w:rPr>
      </w:pPr>
      <w:r>
        <w:rPr>
          <w:rFonts w:ascii="仿宋_GB2312" w:hAnsi="仿宋_GB2312"/>
          <w:sz w:val="32"/>
          <w:szCs w:val="32"/>
        </w:rPr>
        <w:t>本部门</w:t>
      </w:r>
      <w:r>
        <w:rPr>
          <w:rFonts w:ascii="仿宋_GB2312" w:hAnsi="Times New Roman"/>
          <w:sz w:val="32"/>
          <w:szCs w:val="32"/>
        </w:rPr>
        <w:t>2018</w:t>
      </w:r>
      <w:r>
        <w:rPr>
          <w:rFonts w:ascii="仿宋_GB2312" w:hAnsi="仿宋_GB2312"/>
          <w:sz w:val="32"/>
          <w:szCs w:val="32"/>
        </w:rPr>
        <w:t>年度收入总计</w:t>
      </w:r>
      <w:r>
        <w:rPr>
          <w:rFonts w:ascii="仿宋_GB2312" w:hAnsi="Times New Roman"/>
          <w:sz w:val="32"/>
          <w:szCs w:val="32"/>
        </w:rPr>
        <w:t>20,731.19</w:t>
      </w:r>
      <w:r>
        <w:rPr>
          <w:rFonts w:ascii="仿宋_GB2312" w:hAnsi="仿宋_GB2312"/>
          <w:sz w:val="32"/>
          <w:szCs w:val="32"/>
        </w:rPr>
        <w:t>万元，其中：本年收入合计</w:t>
      </w:r>
      <w:r>
        <w:rPr>
          <w:rFonts w:ascii="仿宋_GB2312" w:hAnsi="Times New Roman"/>
          <w:sz w:val="32"/>
          <w:szCs w:val="32"/>
        </w:rPr>
        <w:t>20,675.22</w:t>
      </w:r>
      <w:r>
        <w:rPr>
          <w:rFonts w:ascii="仿宋_GB2312" w:hAnsi="仿宋_GB2312"/>
          <w:sz w:val="32"/>
          <w:szCs w:val="32"/>
        </w:rPr>
        <w:t>万元，用事业基金弥补收支差额</w:t>
      </w:r>
      <w:r>
        <w:rPr>
          <w:rFonts w:ascii="仿宋_GB2312" w:hAnsi="Times New Roman"/>
          <w:sz w:val="32"/>
          <w:szCs w:val="32"/>
        </w:rPr>
        <w:t>0.00</w:t>
      </w:r>
      <w:r>
        <w:rPr>
          <w:rFonts w:ascii="仿宋_GB2312" w:hAnsi="仿宋_GB2312"/>
          <w:sz w:val="32"/>
          <w:szCs w:val="32"/>
        </w:rPr>
        <w:t>万元，年初结转和结余</w:t>
      </w:r>
      <w:r>
        <w:rPr>
          <w:rFonts w:ascii="仿宋_GB2312" w:hAnsi="Times New Roman"/>
          <w:sz w:val="32"/>
          <w:szCs w:val="32"/>
        </w:rPr>
        <w:t>55.97</w:t>
      </w:r>
      <w:r>
        <w:rPr>
          <w:rFonts w:ascii="仿宋_GB2312" w:hAnsi="仿宋_GB2312"/>
          <w:sz w:val="32"/>
          <w:szCs w:val="32"/>
        </w:rPr>
        <w:t>万元；支出总计</w:t>
      </w:r>
      <w:r>
        <w:rPr>
          <w:rFonts w:ascii="仿宋_GB2312" w:hAnsi="Times New Roman"/>
          <w:sz w:val="32"/>
          <w:szCs w:val="32"/>
        </w:rPr>
        <w:t>20,731.19</w:t>
      </w:r>
      <w:r>
        <w:rPr>
          <w:rFonts w:ascii="仿宋_GB2312" w:hAnsi="仿宋_GB2312"/>
          <w:sz w:val="32"/>
          <w:szCs w:val="32"/>
        </w:rPr>
        <w:t>万元，其中：结余分配</w:t>
      </w:r>
      <w:r>
        <w:rPr>
          <w:rFonts w:ascii="仿宋_GB2312" w:hAnsi="Times New Roman"/>
          <w:sz w:val="32"/>
          <w:szCs w:val="32"/>
        </w:rPr>
        <w:t>0.00</w:t>
      </w:r>
      <w:r>
        <w:rPr>
          <w:rFonts w:ascii="仿宋_GB2312" w:hAnsi="仿宋_GB2312"/>
          <w:sz w:val="32"/>
          <w:szCs w:val="32"/>
        </w:rPr>
        <w:t>万元，年末结转和结余</w:t>
      </w:r>
      <w:r>
        <w:rPr>
          <w:rFonts w:ascii="仿宋_GB2312" w:hAnsi="Times New Roman"/>
          <w:sz w:val="32"/>
          <w:szCs w:val="32"/>
        </w:rPr>
        <w:t>37.49</w:t>
      </w:r>
      <w:r>
        <w:rPr>
          <w:rFonts w:ascii="仿宋_GB2312" w:hAnsi="仿宋_GB2312"/>
          <w:sz w:val="32"/>
          <w:szCs w:val="32"/>
        </w:rPr>
        <w:t>万元。与</w:t>
      </w:r>
      <w:r>
        <w:rPr>
          <w:rFonts w:ascii="仿宋_GB2312" w:hAnsi="Times New Roman"/>
          <w:sz w:val="32"/>
          <w:szCs w:val="32"/>
        </w:rPr>
        <w:t>2017</w:t>
      </w:r>
      <w:r>
        <w:rPr>
          <w:rFonts w:ascii="仿宋_GB2312" w:hAnsi="仿宋_GB2312"/>
          <w:sz w:val="32"/>
          <w:szCs w:val="32"/>
        </w:rPr>
        <w:t>年度相比，收入总计减少</w:t>
      </w:r>
      <w:r>
        <w:rPr>
          <w:rFonts w:ascii="仿宋_GB2312" w:hAnsi="Times New Roman"/>
          <w:sz w:val="32"/>
          <w:szCs w:val="32"/>
        </w:rPr>
        <w:t>3,091.61</w:t>
      </w:r>
      <w:r>
        <w:rPr>
          <w:rFonts w:ascii="仿宋_GB2312" w:hAnsi="仿宋_GB2312"/>
          <w:sz w:val="32"/>
          <w:szCs w:val="32"/>
        </w:rPr>
        <w:t>万元，下降</w:t>
      </w:r>
      <w:r>
        <w:rPr>
          <w:rFonts w:ascii="仿宋_GB2312" w:hAnsi="Times New Roman"/>
          <w:sz w:val="32"/>
          <w:szCs w:val="32"/>
        </w:rPr>
        <w:t>13.00%</w:t>
      </w:r>
      <w:r>
        <w:rPr>
          <w:rFonts w:ascii="仿宋_GB2312" w:hAnsi="仿宋_GB2312"/>
          <w:sz w:val="32"/>
          <w:szCs w:val="32"/>
        </w:rPr>
        <w:t>；支出总计减少</w:t>
      </w:r>
      <w:r>
        <w:rPr>
          <w:rFonts w:ascii="仿宋_GB2312" w:hAnsi="Times New Roman"/>
          <w:sz w:val="32"/>
          <w:szCs w:val="32"/>
        </w:rPr>
        <w:t>3,091.61</w:t>
      </w:r>
      <w:r>
        <w:rPr>
          <w:rFonts w:ascii="仿宋_GB2312" w:hAnsi="仿宋_GB2312"/>
          <w:sz w:val="32"/>
          <w:szCs w:val="32"/>
        </w:rPr>
        <w:t>万元，下降</w:t>
      </w:r>
      <w:r>
        <w:rPr>
          <w:rFonts w:ascii="仿宋_GB2312" w:hAnsi="Times New Roman"/>
          <w:sz w:val="32"/>
          <w:szCs w:val="32"/>
        </w:rPr>
        <w:t>13.00%</w:t>
      </w:r>
      <w:r>
        <w:rPr>
          <w:rFonts w:ascii="仿宋_GB2312" w:hAnsi="仿宋_GB2312"/>
          <w:sz w:val="32"/>
          <w:szCs w:val="32"/>
        </w:rPr>
        <w:t>。主要原因：专项资金的减少。</w:t>
      </w:r>
    </w:p>
    <w:p>
      <w:pPr>
        <w:adjustRightInd w:val="0"/>
        <w:spacing w:before="100" w:beforeAutospacing="1" w:after="100" w:afterAutospacing="1" w:line="580" w:lineRule="exact"/>
        <w:ind w:firstLine="600"/>
      </w:pPr>
      <w:r>
        <w:rPr>
          <w:rFonts w:hint="eastAsia" w:ascii="楷体" w:hAnsi="楷体" w:eastAsia="楷体"/>
          <w:sz w:val="32"/>
          <w:szCs w:val="32"/>
        </w:rPr>
        <w:t>（二）关于</w:t>
      </w:r>
      <w:r>
        <w:rPr>
          <w:rFonts w:hint="eastAsia" w:ascii="楷体" w:hAnsi="Times New Roman" w:eastAsia="楷体"/>
          <w:sz w:val="32"/>
          <w:szCs w:val="32"/>
        </w:rPr>
        <w:t>2018</w:t>
      </w:r>
      <w:r>
        <w:rPr>
          <w:rFonts w:hint="eastAsia" w:ascii="楷体" w:hAnsi="楷体" w:eastAsia="楷体"/>
          <w:sz w:val="32"/>
          <w:szCs w:val="32"/>
        </w:rPr>
        <w:t>年度收入决算情况说明</w:t>
      </w:r>
    </w:p>
    <w:p>
      <w:pPr>
        <w:adjustRightInd w:val="0"/>
        <w:spacing w:before="100" w:beforeAutospacing="1" w:after="100" w:afterAutospacing="1" w:line="580" w:lineRule="exact"/>
        <w:ind w:firstLine="600"/>
        <w:rPr>
          <w:rFonts w:ascii="仿宋_GB2312" w:hAnsi="Times New Roman"/>
          <w:color w:val="FF0000"/>
          <w:sz w:val="32"/>
          <w:szCs w:val="32"/>
        </w:rPr>
      </w:pPr>
      <w:r>
        <w:rPr>
          <w:rFonts w:ascii="仿宋_GB2312" w:hAnsi="仿宋_GB2312"/>
          <w:sz w:val="32"/>
          <w:szCs w:val="32"/>
        </w:rPr>
        <w:t>本部门</w:t>
      </w:r>
      <w:r>
        <w:rPr>
          <w:rFonts w:ascii="仿宋_GB2312" w:hAnsi="Times New Roman"/>
          <w:sz w:val="32"/>
          <w:szCs w:val="32"/>
        </w:rPr>
        <w:t>2018</w:t>
      </w:r>
      <w:r>
        <w:rPr>
          <w:rFonts w:ascii="仿宋_GB2312" w:hAnsi="仿宋_GB2312"/>
          <w:sz w:val="32"/>
          <w:szCs w:val="32"/>
        </w:rPr>
        <w:t>年度收入合计</w:t>
      </w:r>
      <w:r>
        <w:rPr>
          <w:rFonts w:ascii="仿宋_GB2312" w:hAnsi="Times New Roman"/>
          <w:sz w:val="32"/>
          <w:szCs w:val="32"/>
        </w:rPr>
        <w:t>20,675.22</w:t>
      </w:r>
      <w:r>
        <w:rPr>
          <w:rFonts w:ascii="仿宋_GB2312" w:hAnsi="仿宋_GB2312"/>
          <w:sz w:val="32"/>
          <w:szCs w:val="32"/>
        </w:rPr>
        <w:t>万元，其中：财政拨款收入</w:t>
      </w:r>
      <w:r>
        <w:rPr>
          <w:rFonts w:ascii="仿宋_GB2312" w:hAnsi="Times New Roman"/>
          <w:sz w:val="32"/>
          <w:szCs w:val="32"/>
        </w:rPr>
        <w:t>20,675.22</w:t>
      </w:r>
      <w:r>
        <w:rPr>
          <w:rFonts w:ascii="仿宋_GB2312" w:hAnsi="仿宋_GB2312"/>
          <w:sz w:val="32"/>
          <w:szCs w:val="32"/>
        </w:rPr>
        <w:t>万元，占</w:t>
      </w:r>
      <w:r>
        <w:rPr>
          <w:rFonts w:ascii="仿宋_GB2312" w:hAnsi="Times New Roman"/>
          <w:sz w:val="32"/>
          <w:szCs w:val="32"/>
        </w:rPr>
        <w:t>100.00%</w:t>
      </w:r>
      <w:r>
        <w:rPr>
          <w:rFonts w:ascii="仿宋_GB2312" w:hAnsi="仿宋_GB2312"/>
          <w:sz w:val="32"/>
          <w:szCs w:val="32"/>
        </w:rPr>
        <w:t>；事业收入</w:t>
      </w:r>
      <w:r>
        <w:rPr>
          <w:rFonts w:ascii="仿宋_GB2312" w:hAnsi="Times New Roman"/>
          <w:sz w:val="32"/>
          <w:szCs w:val="32"/>
        </w:rPr>
        <w:t>0.00</w:t>
      </w:r>
      <w:r>
        <w:rPr>
          <w:rFonts w:ascii="仿宋_GB2312" w:hAnsi="仿宋_GB2312"/>
          <w:sz w:val="32"/>
          <w:szCs w:val="32"/>
        </w:rPr>
        <w:t>万元，占</w:t>
      </w:r>
      <w:r>
        <w:rPr>
          <w:rFonts w:ascii="仿宋_GB2312" w:hAnsi="Times New Roman"/>
          <w:sz w:val="32"/>
          <w:szCs w:val="32"/>
        </w:rPr>
        <w:t>0.00%</w:t>
      </w:r>
      <w:r>
        <w:rPr>
          <w:rFonts w:ascii="仿宋_GB2312" w:hAnsi="仿宋_GB2312"/>
          <w:sz w:val="32"/>
          <w:szCs w:val="32"/>
        </w:rPr>
        <w:t>；经营收入</w:t>
      </w:r>
      <w:r>
        <w:rPr>
          <w:rFonts w:ascii="仿宋_GB2312" w:hAnsi="Times New Roman"/>
          <w:sz w:val="32"/>
          <w:szCs w:val="32"/>
        </w:rPr>
        <w:t>0.00</w:t>
      </w:r>
      <w:r>
        <w:rPr>
          <w:rFonts w:ascii="仿宋_GB2312" w:hAnsi="仿宋_GB2312"/>
          <w:sz w:val="32"/>
          <w:szCs w:val="32"/>
        </w:rPr>
        <w:t>万元，占</w:t>
      </w:r>
      <w:r>
        <w:rPr>
          <w:rFonts w:ascii="仿宋_GB2312" w:hAnsi="Times New Roman"/>
          <w:sz w:val="32"/>
          <w:szCs w:val="32"/>
        </w:rPr>
        <w:t>0.00%</w:t>
      </w:r>
      <w:r>
        <w:rPr>
          <w:rFonts w:ascii="仿宋_GB2312" w:hAnsi="仿宋_GB2312"/>
          <w:sz w:val="32"/>
          <w:szCs w:val="32"/>
        </w:rPr>
        <w:t>；其他收入</w:t>
      </w:r>
      <w:r>
        <w:rPr>
          <w:rFonts w:ascii="仿宋_GB2312" w:hAnsi="Times New Roman"/>
          <w:sz w:val="32"/>
          <w:szCs w:val="32"/>
        </w:rPr>
        <w:t>0.00</w:t>
      </w:r>
      <w:r>
        <w:rPr>
          <w:rFonts w:ascii="仿宋_GB2312" w:hAnsi="仿宋_GB2312"/>
          <w:sz w:val="32"/>
          <w:szCs w:val="32"/>
        </w:rPr>
        <w:t>万元，占</w:t>
      </w:r>
      <w:r>
        <w:rPr>
          <w:rFonts w:ascii="仿宋_GB2312" w:hAnsi="Times New Roman"/>
          <w:sz w:val="32"/>
          <w:szCs w:val="32"/>
        </w:rPr>
        <w:t>0.00%</w:t>
      </w:r>
      <w:r>
        <w:rPr>
          <w:rFonts w:ascii="仿宋_GB2312" w:hAnsi="仿宋_GB2312"/>
          <w:sz w:val="32"/>
          <w:szCs w:val="32"/>
        </w:rPr>
        <w:t>。</w:t>
      </w:r>
    </w:p>
    <w:p>
      <w:pPr>
        <w:adjustRightInd w:val="0"/>
        <w:spacing w:before="100" w:beforeAutospacing="1" w:after="100" w:afterAutospacing="1" w:line="580" w:lineRule="exact"/>
        <w:ind w:firstLine="600"/>
      </w:pPr>
      <w:r>
        <w:rPr>
          <w:rFonts w:hint="eastAsia" w:ascii="楷体" w:hAnsi="楷体" w:eastAsia="楷体"/>
          <w:sz w:val="32"/>
          <w:szCs w:val="32"/>
        </w:rPr>
        <w:t>（三）关于</w:t>
      </w:r>
      <w:r>
        <w:rPr>
          <w:rFonts w:hint="eastAsia" w:ascii="楷体" w:hAnsi="Times New Roman" w:eastAsia="楷体"/>
          <w:sz w:val="32"/>
          <w:szCs w:val="32"/>
        </w:rPr>
        <w:t>2018</w:t>
      </w:r>
      <w:r>
        <w:rPr>
          <w:rFonts w:hint="eastAsia" w:ascii="楷体" w:hAnsi="楷体" w:eastAsia="楷体"/>
          <w:sz w:val="32"/>
          <w:szCs w:val="32"/>
        </w:rPr>
        <w:t>年度支出决算情况说明</w:t>
      </w:r>
    </w:p>
    <w:p>
      <w:pPr>
        <w:adjustRightInd w:val="0"/>
        <w:spacing w:before="100" w:beforeAutospacing="1" w:after="100" w:afterAutospacing="1" w:line="580" w:lineRule="exact"/>
        <w:ind w:firstLine="600"/>
        <w:rPr>
          <w:rFonts w:ascii="仿宋_GB2312" w:hAnsi="Times New Roman"/>
          <w:color w:val="FF0000"/>
          <w:sz w:val="32"/>
          <w:szCs w:val="32"/>
        </w:rPr>
      </w:pPr>
      <w:r>
        <w:rPr>
          <w:rFonts w:ascii="仿宋_GB2312" w:hAnsi="仿宋_GB2312"/>
          <w:sz w:val="32"/>
          <w:szCs w:val="32"/>
        </w:rPr>
        <w:t>本部门</w:t>
      </w:r>
      <w:r>
        <w:rPr>
          <w:rFonts w:ascii="仿宋_GB2312" w:hAnsi="Times New Roman"/>
          <w:sz w:val="32"/>
          <w:szCs w:val="32"/>
        </w:rPr>
        <w:t>2018</w:t>
      </w:r>
      <w:r>
        <w:rPr>
          <w:rFonts w:ascii="仿宋_GB2312" w:hAnsi="仿宋_GB2312"/>
          <w:sz w:val="32"/>
          <w:szCs w:val="32"/>
        </w:rPr>
        <w:t>年度支出合计</w:t>
      </w:r>
      <w:r>
        <w:rPr>
          <w:rFonts w:ascii="仿宋_GB2312" w:hAnsi="Times New Roman"/>
          <w:sz w:val="32"/>
          <w:szCs w:val="32"/>
        </w:rPr>
        <w:t>20,693.70</w:t>
      </w:r>
      <w:r>
        <w:rPr>
          <w:rFonts w:ascii="仿宋_GB2312" w:hAnsi="仿宋_GB2312"/>
          <w:sz w:val="32"/>
          <w:szCs w:val="32"/>
        </w:rPr>
        <w:t>万元，其中：基本支出</w:t>
      </w:r>
      <w:r>
        <w:rPr>
          <w:rFonts w:ascii="仿宋_GB2312" w:hAnsi="Times New Roman"/>
          <w:sz w:val="32"/>
          <w:szCs w:val="32"/>
        </w:rPr>
        <w:t>5,365.56</w:t>
      </w:r>
      <w:r>
        <w:rPr>
          <w:rFonts w:ascii="仿宋_GB2312" w:hAnsi="仿宋_GB2312"/>
          <w:sz w:val="32"/>
          <w:szCs w:val="32"/>
        </w:rPr>
        <w:t>万元，占</w:t>
      </w:r>
      <w:r>
        <w:rPr>
          <w:rFonts w:ascii="仿宋_GB2312" w:hAnsi="Times New Roman"/>
          <w:sz w:val="32"/>
          <w:szCs w:val="32"/>
        </w:rPr>
        <w:t>25.90%</w:t>
      </w:r>
      <w:r>
        <w:rPr>
          <w:rFonts w:ascii="仿宋_GB2312" w:hAnsi="仿宋_GB2312"/>
          <w:sz w:val="32"/>
          <w:szCs w:val="32"/>
        </w:rPr>
        <w:t>；项目支出</w:t>
      </w:r>
      <w:r>
        <w:rPr>
          <w:rFonts w:ascii="仿宋_GB2312" w:hAnsi="Times New Roman"/>
          <w:sz w:val="32"/>
          <w:szCs w:val="32"/>
        </w:rPr>
        <w:t>15,328.14</w:t>
      </w:r>
      <w:r>
        <w:rPr>
          <w:rFonts w:ascii="仿宋_GB2312" w:hAnsi="仿宋_GB2312"/>
          <w:sz w:val="32"/>
          <w:szCs w:val="32"/>
        </w:rPr>
        <w:t>万元，占</w:t>
      </w:r>
      <w:r>
        <w:rPr>
          <w:rFonts w:ascii="仿宋_GB2312" w:hAnsi="Times New Roman"/>
          <w:sz w:val="32"/>
          <w:szCs w:val="32"/>
        </w:rPr>
        <w:t>74.10%</w:t>
      </w:r>
      <w:r>
        <w:rPr>
          <w:rFonts w:ascii="仿宋_GB2312" w:hAnsi="仿宋_GB2312"/>
          <w:sz w:val="32"/>
          <w:szCs w:val="32"/>
        </w:rPr>
        <w:t>；经营支出</w:t>
      </w:r>
      <w:r>
        <w:rPr>
          <w:rFonts w:ascii="仿宋_GB2312" w:hAnsi="Times New Roman"/>
          <w:sz w:val="32"/>
          <w:szCs w:val="32"/>
        </w:rPr>
        <w:t>0.00</w:t>
      </w:r>
      <w:r>
        <w:rPr>
          <w:rFonts w:ascii="仿宋_GB2312" w:hAnsi="仿宋_GB2312"/>
          <w:sz w:val="32"/>
          <w:szCs w:val="32"/>
        </w:rPr>
        <w:t>万元，占</w:t>
      </w:r>
      <w:r>
        <w:rPr>
          <w:rFonts w:ascii="仿宋_GB2312" w:hAnsi="Times New Roman"/>
          <w:sz w:val="32"/>
          <w:szCs w:val="32"/>
        </w:rPr>
        <w:t>0.00%</w:t>
      </w:r>
      <w:r>
        <w:rPr>
          <w:rFonts w:ascii="仿宋_GB2312" w:hAnsi="仿宋_GB2312"/>
          <w:sz w:val="32"/>
          <w:szCs w:val="32"/>
        </w:rPr>
        <w:t>。</w:t>
      </w:r>
    </w:p>
    <w:p>
      <w:pPr>
        <w:adjustRightInd w:val="0"/>
        <w:spacing w:before="100" w:beforeAutospacing="1" w:after="100" w:afterAutospacing="1" w:line="580" w:lineRule="exact"/>
        <w:ind w:firstLine="600"/>
      </w:pPr>
      <w:r>
        <w:rPr>
          <w:rFonts w:hint="eastAsia" w:ascii="楷体" w:hAnsi="楷体" w:eastAsia="楷体"/>
          <w:sz w:val="32"/>
          <w:szCs w:val="32"/>
        </w:rPr>
        <w:t>（四）关于</w:t>
      </w:r>
      <w:r>
        <w:rPr>
          <w:rFonts w:hint="eastAsia" w:ascii="楷体" w:hAnsi="Times New Roman" w:eastAsia="楷体"/>
          <w:sz w:val="32"/>
          <w:szCs w:val="32"/>
        </w:rPr>
        <w:t>2018</w:t>
      </w:r>
      <w:r>
        <w:rPr>
          <w:rFonts w:hint="eastAsia" w:ascii="楷体" w:hAnsi="楷体" w:eastAsia="楷体"/>
          <w:sz w:val="32"/>
          <w:szCs w:val="32"/>
        </w:rPr>
        <w:t>年度财政拨款收入支出决算总体情况说明</w:t>
      </w:r>
    </w:p>
    <w:p>
      <w:pPr>
        <w:adjustRightInd w:val="0"/>
        <w:spacing w:before="100" w:beforeAutospacing="1" w:after="100" w:afterAutospacing="1" w:line="580" w:lineRule="exact"/>
        <w:ind w:firstLine="600"/>
      </w:pPr>
      <w:r>
        <w:rPr>
          <w:rFonts w:ascii="仿宋_GB2312" w:hAnsi="仿宋_GB2312"/>
          <w:sz w:val="32"/>
          <w:szCs w:val="32"/>
        </w:rPr>
        <w:t>本部门</w:t>
      </w:r>
      <w:r>
        <w:rPr>
          <w:rFonts w:ascii="仿宋_GB2312" w:hAnsi="Times New Roman"/>
          <w:sz w:val="32"/>
          <w:szCs w:val="32"/>
        </w:rPr>
        <w:t>2018</w:t>
      </w:r>
      <w:r>
        <w:rPr>
          <w:rFonts w:ascii="仿宋_GB2312" w:hAnsi="仿宋_GB2312"/>
          <w:sz w:val="32"/>
          <w:szCs w:val="32"/>
        </w:rPr>
        <w:t>年度财政拨款收入总计</w:t>
      </w:r>
      <w:r>
        <w:rPr>
          <w:rFonts w:ascii="仿宋_GB2312" w:hAnsi="Times New Roman"/>
          <w:sz w:val="32"/>
          <w:szCs w:val="32"/>
        </w:rPr>
        <w:t>20,731.19</w:t>
      </w:r>
      <w:r>
        <w:rPr>
          <w:rFonts w:ascii="仿宋_GB2312" w:hAnsi="仿宋_GB2312"/>
          <w:sz w:val="32"/>
          <w:szCs w:val="32"/>
        </w:rPr>
        <w:t>万元，其中：年初结转和结余</w:t>
      </w:r>
      <w:r>
        <w:rPr>
          <w:rFonts w:ascii="仿宋_GB2312" w:hAnsi="Times New Roman"/>
          <w:sz w:val="32"/>
          <w:szCs w:val="32"/>
        </w:rPr>
        <w:t>55.97</w:t>
      </w:r>
      <w:r>
        <w:rPr>
          <w:rFonts w:ascii="仿宋_GB2312" w:hAnsi="仿宋_GB2312"/>
          <w:sz w:val="32"/>
          <w:szCs w:val="32"/>
        </w:rPr>
        <w:t>万元；支出总计</w:t>
      </w:r>
      <w:r>
        <w:rPr>
          <w:rFonts w:ascii="仿宋_GB2312" w:hAnsi="Times New Roman"/>
          <w:sz w:val="32"/>
          <w:szCs w:val="32"/>
        </w:rPr>
        <w:t>20,731.19</w:t>
      </w:r>
      <w:r>
        <w:rPr>
          <w:rFonts w:ascii="仿宋_GB2312" w:hAnsi="仿宋_GB2312"/>
          <w:sz w:val="32"/>
          <w:szCs w:val="32"/>
        </w:rPr>
        <w:t>万元，其中：年末结转和结余</w:t>
      </w:r>
      <w:r>
        <w:rPr>
          <w:rFonts w:ascii="仿宋_GB2312" w:hAnsi="Times New Roman"/>
          <w:sz w:val="32"/>
          <w:szCs w:val="32"/>
        </w:rPr>
        <w:t>37.49</w:t>
      </w:r>
      <w:r>
        <w:rPr>
          <w:rFonts w:ascii="仿宋_GB2312" w:hAnsi="仿宋_GB2312"/>
          <w:sz w:val="32"/>
          <w:szCs w:val="32"/>
        </w:rPr>
        <w:t>万元。与</w:t>
      </w:r>
      <w:r>
        <w:rPr>
          <w:rFonts w:ascii="仿宋_GB2312" w:hAnsi="Times New Roman"/>
          <w:sz w:val="32"/>
          <w:szCs w:val="32"/>
        </w:rPr>
        <w:t>2017</w:t>
      </w:r>
      <w:r>
        <w:rPr>
          <w:rFonts w:ascii="仿宋_GB2312" w:hAnsi="仿宋_GB2312"/>
          <w:sz w:val="32"/>
          <w:szCs w:val="32"/>
        </w:rPr>
        <w:t>年度相比，收入减少</w:t>
      </w:r>
      <w:r>
        <w:rPr>
          <w:rFonts w:ascii="仿宋_GB2312" w:hAnsi="Times New Roman"/>
          <w:sz w:val="32"/>
          <w:szCs w:val="32"/>
        </w:rPr>
        <w:t>3,091.61</w:t>
      </w:r>
      <w:r>
        <w:rPr>
          <w:rFonts w:ascii="仿宋_GB2312" w:hAnsi="仿宋_GB2312"/>
          <w:sz w:val="32"/>
          <w:szCs w:val="32"/>
        </w:rPr>
        <w:t>万元，下降</w:t>
      </w:r>
      <w:r>
        <w:rPr>
          <w:rFonts w:ascii="仿宋_GB2312" w:hAnsi="Times New Roman"/>
          <w:sz w:val="32"/>
          <w:szCs w:val="32"/>
        </w:rPr>
        <w:t>13.00%</w:t>
      </w:r>
      <w:r>
        <w:rPr>
          <w:rFonts w:ascii="仿宋_GB2312" w:hAnsi="仿宋_GB2312"/>
          <w:sz w:val="32"/>
          <w:szCs w:val="32"/>
        </w:rPr>
        <w:t>；支出减少</w:t>
      </w:r>
      <w:r>
        <w:rPr>
          <w:rFonts w:ascii="仿宋_GB2312" w:hAnsi="Times New Roman"/>
          <w:sz w:val="32"/>
          <w:szCs w:val="32"/>
        </w:rPr>
        <w:t>3,091.61</w:t>
      </w:r>
      <w:r>
        <w:rPr>
          <w:rFonts w:ascii="仿宋_GB2312" w:hAnsi="仿宋_GB2312"/>
          <w:sz w:val="32"/>
          <w:szCs w:val="32"/>
        </w:rPr>
        <w:t>万元，下降</w:t>
      </w:r>
      <w:r>
        <w:rPr>
          <w:rFonts w:ascii="仿宋_GB2312" w:hAnsi="Times New Roman"/>
          <w:sz w:val="32"/>
          <w:szCs w:val="32"/>
        </w:rPr>
        <w:t>13.00%</w:t>
      </w:r>
      <w:r>
        <w:rPr>
          <w:rFonts w:ascii="仿宋_GB2312" w:hAnsi="仿宋_GB2312"/>
          <w:sz w:val="32"/>
          <w:szCs w:val="32"/>
        </w:rPr>
        <w:t>。主要原因：专项资金的减少。</w:t>
      </w:r>
    </w:p>
    <w:p>
      <w:pPr>
        <w:adjustRightInd w:val="0"/>
        <w:spacing w:before="100" w:beforeAutospacing="1" w:after="100" w:afterAutospacing="1" w:line="580" w:lineRule="exact"/>
        <w:ind w:firstLine="600"/>
      </w:pPr>
      <w:r>
        <w:rPr>
          <w:rFonts w:hint="eastAsia" w:ascii="楷体" w:hAnsi="楷体" w:eastAsia="楷体"/>
          <w:sz w:val="32"/>
          <w:szCs w:val="32"/>
        </w:rPr>
        <w:t>（五）关于</w:t>
      </w:r>
      <w:r>
        <w:rPr>
          <w:rFonts w:hint="eastAsia" w:ascii="楷体" w:hAnsi="Times New Roman" w:eastAsia="楷体"/>
          <w:sz w:val="32"/>
          <w:szCs w:val="32"/>
        </w:rPr>
        <w:t>2018</w:t>
      </w:r>
      <w:r>
        <w:rPr>
          <w:rFonts w:hint="eastAsia" w:ascii="楷体" w:hAnsi="楷体" w:eastAsia="楷体"/>
          <w:sz w:val="32"/>
          <w:szCs w:val="32"/>
        </w:rPr>
        <w:t>年度一般公共预算财政拨款支出决算情况说明</w:t>
      </w:r>
    </w:p>
    <w:p>
      <w:pPr>
        <w:adjustRightInd w:val="0"/>
        <w:spacing w:before="100" w:beforeAutospacing="1" w:after="100" w:afterAutospacing="1" w:line="580" w:lineRule="exact"/>
        <w:ind w:firstLine="600"/>
      </w:pPr>
      <w:r>
        <w:rPr>
          <w:rFonts w:ascii="仿宋_GB2312" w:hAnsi="仿宋_GB2312"/>
          <w:sz w:val="32"/>
          <w:szCs w:val="32"/>
        </w:rPr>
        <w:t>本部门</w:t>
      </w:r>
      <w:r>
        <w:rPr>
          <w:rFonts w:ascii="仿宋_GB2312" w:hAnsi="Times New Roman"/>
          <w:sz w:val="32"/>
          <w:szCs w:val="32"/>
        </w:rPr>
        <w:t>2018</w:t>
      </w:r>
      <w:r>
        <w:rPr>
          <w:rFonts w:ascii="仿宋_GB2312" w:hAnsi="仿宋_GB2312"/>
          <w:sz w:val="32"/>
          <w:szCs w:val="32"/>
        </w:rPr>
        <w:t>年度一般公共预算财政拨款支出合计</w:t>
      </w:r>
      <w:r>
        <w:rPr>
          <w:rFonts w:ascii="仿宋_GB2312" w:hAnsi="Times New Roman"/>
          <w:sz w:val="32"/>
          <w:szCs w:val="32"/>
        </w:rPr>
        <w:t>20,693.70</w:t>
      </w:r>
      <w:r>
        <w:rPr>
          <w:rFonts w:ascii="仿宋_GB2312" w:hAnsi="仿宋_GB2312"/>
          <w:sz w:val="32"/>
          <w:szCs w:val="32"/>
        </w:rPr>
        <w:t>万元，其中：基本支出</w:t>
      </w:r>
      <w:r>
        <w:rPr>
          <w:rFonts w:ascii="仿宋_GB2312" w:hAnsi="Times New Roman"/>
          <w:sz w:val="32"/>
          <w:szCs w:val="32"/>
        </w:rPr>
        <w:t>5,365.56</w:t>
      </w:r>
      <w:r>
        <w:rPr>
          <w:rFonts w:ascii="仿宋_GB2312" w:hAnsi="仿宋_GB2312"/>
          <w:sz w:val="32"/>
          <w:szCs w:val="32"/>
        </w:rPr>
        <w:t>万元，占</w:t>
      </w:r>
      <w:r>
        <w:rPr>
          <w:rFonts w:ascii="仿宋_GB2312" w:hAnsi="Times New Roman"/>
          <w:sz w:val="32"/>
          <w:szCs w:val="32"/>
        </w:rPr>
        <w:t>25.90%</w:t>
      </w:r>
      <w:r>
        <w:rPr>
          <w:rFonts w:ascii="仿宋_GB2312" w:hAnsi="仿宋_GB2312"/>
          <w:sz w:val="32"/>
          <w:szCs w:val="32"/>
        </w:rPr>
        <w:t>；项目支出</w:t>
      </w:r>
      <w:r>
        <w:rPr>
          <w:rFonts w:ascii="仿宋_GB2312" w:hAnsi="Times New Roman"/>
          <w:sz w:val="32"/>
          <w:szCs w:val="32"/>
        </w:rPr>
        <w:t>15,328.14</w:t>
      </w:r>
      <w:r>
        <w:rPr>
          <w:rFonts w:ascii="仿宋_GB2312" w:hAnsi="仿宋_GB2312"/>
          <w:sz w:val="32"/>
          <w:szCs w:val="32"/>
        </w:rPr>
        <w:t>万元，占</w:t>
      </w:r>
      <w:r>
        <w:rPr>
          <w:rFonts w:ascii="仿宋_GB2312" w:hAnsi="Times New Roman"/>
          <w:sz w:val="32"/>
          <w:szCs w:val="32"/>
        </w:rPr>
        <w:t>74.10%</w:t>
      </w:r>
      <w:r>
        <w:rPr>
          <w:rFonts w:ascii="仿宋_GB2312" w:hAnsi="仿宋_GB2312"/>
          <w:sz w:val="32"/>
          <w:szCs w:val="32"/>
        </w:rPr>
        <w:t>。</w:t>
      </w:r>
    </w:p>
    <w:p>
      <w:pPr>
        <w:adjustRightInd w:val="0"/>
        <w:spacing w:before="100" w:beforeAutospacing="1" w:after="100" w:afterAutospacing="1" w:line="580" w:lineRule="exact"/>
        <w:ind w:firstLine="600"/>
      </w:pPr>
      <w:r>
        <w:rPr>
          <w:rFonts w:hint="eastAsia" w:ascii="楷体" w:hAnsi="楷体" w:eastAsia="楷体"/>
          <w:sz w:val="32"/>
          <w:szCs w:val="32"/>
        </w:rPr>
        <w:t>（六）关于</w:t>
      </w:r>
      <w:r>
        <w:rPr>
          <w:rFonts w:hint="eastAsia" w:ascii="楷体" w:hAnsi="Times New Roman" w:eastAsia="楷体"/>
          <w:sz w:val="32"/>
          <w:szCs w:val="32"/>
        </w:rPr>
        <w:t>2018</w:t>
      </w:r>
      <w:r>
        <w:rPr>
          <w:rFonts w:hint="eastAsia" w:ascii="楷体" w:hAnsi="楷体" w:eastAsia="楷体"/>
          <w:sz w:val="32"/>
          <w:szCs w:val="32"/>
        </w:rPr>
        <w:t>年度一般公共预算财政拨款基本支出决算情况说明</w:t>
      </w:r>
    </w:p>
    <w:p>
      <w:pPr>
        <w:adjustRightInd w:val="0"/>
        <w:spacing w:before="100" w:beforeAutospacing="1" w:after="100" w:afterAutospacing="1" w:line="580" w:lineRule="exact"/>
        <w:ind w:firstLine="600"/>
      </w:pPr>
      <w:r>
        <w:rPr>
          <w:rFonts w:ascii="仿宋_GB2312" w:hAnsi="仿宋_GB2312"/>
          <w:sz w:val="32"/>
          <w:szCs w:val="32"/>
        </w:rPr>
        <w:t>本部门</w:t>
      </w:r>
      <w:r>
        <w:rPr>
          <w:rFonts w:ascii="仿宋_GB2312" w:hAnsi="Times New Roman"/>
          <w:sz w:val="32"/>
          <w:szCs w:val="32"/>
        </w:rPr>
        <w:t>2018</w:t>
      </w:r>
      <w:r>
        <w:rPr>
          <w:rFonts w:ascii="仿宋_GB2312" w:hAnsi="仿宋_GB2312"/>
          <w:sz w:val="32"/>
          <w:szCs w:val="32"/>
        </w:rPr>
        <w:t>年度一般公共预算财政拨款基本支出</w:t>
      </w:r>
      <w:r>
        <w:rPr>
          <w:rFonts w:ascii="仿宋_GB2312" w:hAnsi="Times New Roman"/>
          <w:sz w:val="32"/>
          <w:szCs w:val="32"/>
        </w:rPr>
        <w:t>5,365.56</w:t>
      </w:r>
      <w:r>
        <w:rPr>
          <w:rFonts w:ascii="仿宋_GB2312" w:hAnsi="仿宋_GB2312"/>
          <w:sz w:val="32"/>
          <w:szCs w:val="32"/>
        </w:rPr>
        <w:t>万元，其中：人员经费</w:t>
      </w:r>
      <w:r>
        <w:rPr>
          <w:rFonts w:ascii="仿宋_GB2312" w:hAnsi="Times New Roman"/>
          <w:sz w:val="32"/>
          <w:szCs w:val="32"/>
        </w:rPr>
        <w:t>5,255.55</w:t>
      </w:r>
      <w:r>
        <w:rPr>
          <w:rFonts w:ascii="仿宋_GB2312" w:hAnsi="仿宋_GB2312"/>
          <w:sz w:val="32"/>
          <w:szCs w:val="32"/>
        </w:rPr>
        <w:t>万元，主要包括：基本工资</w:t>
      </w:r>
      <w:r>
        <w:rPr>
          <w:rFonts w:ascii="仿宋_GB2312" w:hAnsi="Times New Roman"/>
          <w:sz w:val="32"/>
          <w:szCs w:val="32"/>
        </w:rPr>
        <w:t>1199.58</w:t>
      </w:r>
      <w:r>
        <w:rPr>
          <w:rFonts w:ascii="仿宋_GB2312" w:hAnsi="仿宋_GB2312"/>
          <w:sz w:val="32"/>
          <w:szCs w:val="32"/>
        </w:rPr>
        <w:t>万元、津贴补贴</w:t>
      </w:r>
      <w:r>
        <w:rPr>
          <w:rFonts w:ascii="仿宋_GB2312" w:hAnsi="Times New Roman"/>
          <w:sz w:val="32"/>
          <w:szCs w:val="32"/>
        </w:rPr>
        <w:t>1528.87</w:t>
      </w:r>
      <w:r>
        <w:rPr>
          <w:rFonts w:ascii="仿宋_GB2312" w:hAnsi="仿宋_GB2312"/>
          <w:sz w:val="32"/>
          <w:szCs w:val="32"/>
        </w:rPr>
        <w:t>万元、奖金</w:t>
      </w:r>
      <w:r>
        <w:rPr>
          <w:rFonts w:ascii="仿宋_GB2312" w:hAnsi="Times New Roman"/>
          <w:sz w:val="32"/>
          <w:szCs w:val="32"/>
        </w:rPr>
        <w:t>7.56</w:t>
      </w:r>
      <w:r>
        <w:rPr>
          <w:rFonts w:ascii="仿宋_GB2312" w:hAnsi="仿宋_GB2312"/>
          <w:sz w:val="32"/>
          <w:szCs w:val="32"/>
        </w:rPr>
        <w:t>万元、社会保障缴费</w:t>
      </w:r>
      <w:r>
        <w:rPr>
          <w:rFonts w:ascii="仿宋_GB2312" w:hAnsi="Times New Roman"/>
          <w:sz w:val="32"/>
          <w:szCs w:val="32"/>
        </w:rPr>
        <w:t>322.92</w:t>
      </w:r>
      <w:r>
        <w:rPr>
          <w:rFonts w:ascii="仿宋_GB2312" w:hAnsi="仿宋_GB2312"/>
          <w:sz w:val="32"/>
          <w:szCs w:val="32"/>
        </w:rPr>
        <w:t>万元、绩效工资</w:t>
      </w:r>
      <w:r>
        <w:rPr>
          <w:rFonts w:ascii="仿宋_GB2312" w:hAnsi="Times New Roman"/>
          <w:sz w:val="32"/>
          <w:szCs w:val="32"/>
        </w:rPr>
        <w:t>433.41</w:t>
      </w:r>
      <w:r>
        <w:rPr>
          <w:rFonts w:ascii="仿宋_GB2312" w:hAnsi="仿宋_GB2312"/>
          <w:sz w:val="32"/>
          <w:szCs w:val="32"/>
        </w:rPr>
        <w:t>万元、退休工资</w:t>
      </w:r>
      <w:r>
        <w:rPr>
          <w:rFonts w:ascii="仿宋_GB2312" w:hAnsi="Times New Roman"/>
          <w:sz w:val="32"/>
          <w:szCs w:val="32"/>
        </w:rPr>
        <w:t>1597.43</w:t>
      </w:r>
      <w:r>
        <w:rPr>
          <w:rFonts w:ascii="仿宋_GB2312" w:hAnsi="仿宋_GB2312"/>
          <w:sz w:val="32"/>
          <w:szCs w:val="32"/>
        </w:rPr>
        <w:t>万、抚恤费</w:t>
      </w:r>
      <w:r>
        <w:rPr>
          <w:rFonts w:ascii="仿宋_GB2312" w:hAnsi="Times New Roman"/>
          <w:sz w:val="32"/>
          <w:szCs w:val="32"/>
        </w:rPr>
        <w:t>160.58</w:t>
      </w:r>
      <w:r>
        <w:rPr>
          <w:rFonts w:ascii="仿宋_GB2312" w:hAnsi="仿宋_GB2312"/>
          <w:sz w:val="32"/>
          <w:szCs w:val="32"/>
        </w:rPr>
        <w:t>万元、临时工工资</w:t>
      </w:r>
      <w:r>
        <w:rPr>
          <w:rFonts w:ascii="仿宋_GB2312" w:hAnsi="Times New Roman"/>
          <w:sz w:val="32"/>
          <w:szCs w:val="32"/>
        </w:rPr>
        <w:t>5.2</w:t>
      </w:r>
      <w:r>
        <w:rPr>
          <w:rFonts w:ascii="仿宋_GB2312" w:hAnsi="仿宋_GB2312"/>
          <w:sz w:val="32"/>
          <w:szCs w:val="32"/>
        </w:rPr>
        <w:t>万元，较上年增加</w:t>
      </w:r>
      <w:r>
        <w:rPr>
          <w:rFonts w:ascii="仿宋_GB2312" w:hAnsi="Times New Roman"/>
          <w:sz w:val="32"/>
          <w:szCs w:val="32"/>
        </w:rPr>
        <w:t>776.82</w:t>
      </w:r>
      <w:r>
        <w:rPr>
          <w:rFonts w:ascii="仿宋_GB2312" w:hAnsi="仿宋_GB2312"/>
          <w:sz w:val="32"/>
          <w:szCs w:val="32"/>
        </w:rPr>
        <w:t>万元，主要原因是：在职人和退休人员工资调整；公用经费</w:t>
      </w:r>
      <w:r>
        <w:rPr>
          <w:rFonts w:ascii="仿宋_GB2312" w:hAnsi="Times New Roman"/>
          <w:sz w:val="32"/>
          <w:szCs w:val="32"/>
        </w:rPr>
        <w:t>110.01</w:t>
      </w:r>
      <w:r>
        <w:rPr>
          <w:rFonts w:ascii="仿宋_GB2312" w:hAnsi="仿宋_GB2312"/>
          <w:sz w:val="32"/>
          <w:szCs w:val="32"/>
        </w:rPr>
        <w:t>万元，主要包括：办公费</w:t>
      </w:r>
      <w:r>
        <w:rPr>
          <w:rFonts w:ascii="仿宋_GB2312" w:hAnsi="Times New Roman"/>
          <w:sz w:val="32"/>
          <w:szCs w:val="32"/>
        </w:rPr>
        <w:t>23.7</w:t>
      </w:r>
      <w:r>
        <w:rPr>
          <w:rFonts w:ascii="仿宋_GB2312" w:hAnsi="仿宋_GB2312"/>
          <w:sz w:val="32"/>
          <w:szCs w:val="32"/>
        </w:rPr>
        <w:t>万元、印刷费</w:t>
      </w:r>
      <w:r>
        <w:rPr>
          <w:rFonts w:ascii="仿宋_GB2312" w:hAnsi="Times New Roman"/>
          <w:sz w:val="32"/>
          <w:szCs w:val="32"/>
        </w:rPr>
        <w:t>2.32</w:t>
      </w:r>
      <w:r>
        <w:rPr>
          <w:rFonts w:ascii="仿宋_GB2312" w:hAnsi="仿宋_GB2312"/>
          <w:sz w:val="32"/>
          <w:szCs w:val="32"/>
        </w:rPr>
        <w:t>万元、水费</w:t>
      </w:r>
      <w:r>
        <w:rPr>
          <w:rFonts w:ascii="仿宋_GB2312" w:hAnsi="Times New Roman"/>
          <w:sz w:val="32"/>
          <w:szCs w:val="32"/>
        </w:rPr>
        <w:t>0.23</w:t>
      </w:r>
      <w:r>
        <w:rPr>
          <w:rFonts w:ascii="仿宋_GB2312" w:hAnsi="仿宋_GB2312"/>
          <w:sz w:val="32"/>
          <w:szCs w:val="32"/>
        </w:rPr>
        <w:t>万元、电费</w:t>
      </w:r>
      <w:r>
        <w:rPr>
          <w:rFonts w:ascii="仿宋_GB2312" w:hAnsi="Times New Roman"/>
          <w:sz w:val="32"/>
          <w:szCs w:val="32"/>
        </w:rPr>
        <w:t>1.56</w:t>
      </w:r>
      <w:r>
        <w:rPr>
          <w:rFonts w:ascii="仿宋_GB2312" w:hAnsi="仿宋_GB2312"/>
          <w:sz w:val="32"/>
          <w:szCs w:val="32"/>
        </w:rPr>
        <w:t>万元、邮电费</w:t>
      </w:r>
      <w:r>
        <w:rPr>
          <w:rFonts w:ascii="仿宋_GB2312" w:hAnsi="Times New Roman"/>
          <w:sz w:val="32"/>
          <w:szCs w:val="32"/>
        </w:rPr>
        <w:t>0.75</w:t>
      </w:r>
      <w:r>
        <w:rPr>
          <w:rFonts w:ascii="仿宋_GB2312" w:hAnsi="仿宋_GB2312"/>
          <w:sz w:val="32"/>
          <w:szCs w:val="32"/>
        </w:rPr>
        <w:t>万元、取暖费</w:t>
      </w:r>
      <w:r>
        <w:rPr>
          <w:rFonts w:ascii="仿宋_GB2312" w:hAnsi="Times New Roman"/>
          <w:sz w:val="32"/>
          <w:szCs w:val="32"/>
        </w:rPr>
        <w:t>10.53</w:t>
      </w:r>
      <w:r>
        <w:rPr>
          <w:rFonts w:ascii="仿宋_GB2312" w:hAnsi="仿宋_GB2312"/>
          <w:sz w:val="32"/>
          <w:szCs w:val="32"/>
        </w:rPr>
        <w:t>万元、差旅费</w:t>
      </w:r>
      <w:r>
        <w:rPr>
          <w:rFonts w:ascii="仿宋_GB2312" w:hAnsi="Times New Roman"/>
          <w:sz w:val="32"/>
          <w:szCs w:val="32"/>
        </w:rPr>
        <w:t>56</w:t>
      </w:r>
      <w:r>
        <w:rPr>
          <w:rFonts w:ascii="仿宋_GB2312" w:hAnsi="仿宋_GB2312"/>
          <w:sz w:val="32"/>
          <w:szCs w:val="32"/>
        </w:rPr>
        <w:t>万元、维修（护）费</w:t>
      </w:r>
      <w:r>
        <w:rPr>
          <w:rFonts w:ascii="仿宋_GB2312" w:hAnsi="Times New Roman"/>
          <w:sz w:val="32"/>
          <w:szCs w:val="32"/>
        </w:rPr>
        <w:t>1.75</w:t>
      </w:r>
      <w:r>
        <w:rPr>
          <w:rFonts w:ascii="仿宋_GB2312" w:hAnsi="仿宋_GB2312"/>
          <w:sz w:val="32"/>
          <w:szCs w:val="32"/>
        </w:rPr>
        <w:t>万元、租赁费</w:t>
      </w:r>
      <w:r>
        <w:rPr>
          <w:rFonts w:ascii="仿宋_GB2312" w:hAnsi="Times New Roman"/>
          <w:sz w:val="32"/>
          <w:szCs w:val="32"/>
        </w:rPr>
        <w:t>1.47</w:t>
      </w:r>
      <w:r>
        <w:rPr>
          <w:rFonts w:ascii="仿宋_GB2312" w:hAnsi="仿宋_GB2312"/>
          <w:sz w:val="32"/>
          <w:szCs w:val="32"/>
        </w:rPr>
        <w:t>万元、公务接待费</w:t>
      </w:r>
      <w:r>
        <w:rPr>
          <w:rFonts w:ascii="仿宋_GB2312" w:hAnsi="Times New Roman"/>
          <w:sz w:val="32"/>
          <w:szCs w:val="32"/>
        </w:rPr>
        <w:t>0.13</w:t>
      </w:r>
      <w:r>
        <w:rPr>
          <w:rFonts w:ascii="仿宋_GB2312" w:hAnsi="仿宋_GB2312"/>
          <w:sz w:val="32"/>
          <w:szCs w:val="32"/>
        </w:rPr>
        <w:t>万元、劳务费</w:t>
      </w:r>
      <w:r>
        <w:rPr>
          <w:rFonts w:ascii="仿宋_GB2312" w:hAnsi="Times New Roman"/>
          <w:sz w:val="32"/>
          <w:szCs w:val="32"/>
        </w:rPr>
        <w:t>3.1</w:t>
      </w:r>
      <w:r>
        <w:rPr>
          <w:rFonts w:ascii="仿宋_GB2312" w:hAnsi="仿宋_GB2312"/>
          <w:sz w:val="32"/>
          <w:szCs w:val="32"/>
        </w:rPr>
        <w:t>万元、委托业务费</w:t>
      </w:r>
      <w:r>
        <w:rPr>
          <w:rFonts w:ascii="仿宋_GB2312" w:hAnsi="Times New Roman"/>
          <w:sz w:val="32"/>
          <w:szCs w:val="32"/>
        </w:rPr>
        <w:t>0.21</w:t>
      </w:r>
      <w:r>
        <w:rPr>
          <w:rFonts w:ascii="仿宋_GB2312" w:hAnsi="仿宋_GB2312"/>
          <w:sz w:val="32"/>
          <w:szCs w:val="32"/>
        </w:rPr>
        <w:t>万元、公务用车运行维护费</w:t>
      </w:r>
      <w:r>
        <w:rPr>
          <w:rFonts w:ascii="仿宋_GB2312" w:hAnsi="Times New Roman"/>
          <w:sz w:val="32"/>
          <w:szCs w:val="32"/>
        </w:rPr>
        <w:t>7.92</w:t>
      </w:r>
      <w:r>
        <w:rPr>
          <w:rFonts w:ascii="仿宋_GB2312" w:hAnsi="仿宋_GB2312"/>
          <w:sz w:val="32"/>
          <w:szCs w:val="32"/>
        </w:rPr>
        <w:t>万元，较上年增加</w:t>
      </w:r>
      <w:r>
        <w:rPr>
          <w:rFonts w:ascii="仿宋_GB2312" w:hAnsi="Times New Roman"/>
          <w:sz w:val="32"/>
          <w:szCs w:val="32"/>
        </w:rPr>
        <w:t>40.36</w:t>
      </w:r>
      <w:r>
        <w:rPr>
          <w:rFonts w:ascii="仿宋_GB2312" w:hAnsi="仿宋_GB2312"/>
          <w:sz w:val="32"/>
          <w:szCs w:val="32"/>
        </w:rPr>
        <w:t>万元，主要原因是：日常公用经费和车辆运行经费预算执行减少。</w:t>
      </w:r>
    </w:p>
    <w:p>
      <w:pPr>
        <w:adjustRightInd w:val="0"/>
        <w:spacing w:before="100" w:beforeAutospacing="1" w:after="100" w:afterAutospacing="1" w:line="580" w:lineRule="exact"/>
        <w:ind w:firstLine="600"/>
      </w:pPr>
      <w:r>
        <w:rPr>
          <w:rFonts w:hint="eastAsia" w:ascii="楷体" w:hAnsi="楷体" w:eastAsia="楷体"/>
          <w:sz w:val="32"/>
          <w:szCs w:val="32"/>
        </w:rPr>
        <w:t>（七）关于</w:t>
      </w:r>
      <w:r>
        <w:rPr>
          <w:rFonts w:hint="eastAsia" w:ascii="楷体" w:hAnsi="Times New Roman" w:eastAsia="楷体"/>
          <w:sz w:val="32"/>
          <w:szCs w:val="32"/>
        </w:rPr>
        <w:t>2018</w:t>
      </w:r>
      <w:r>
        <w:rPr>
          <w:rFonts w:hint="eastAsia" w:ascii="楷体" w:hAnsi="楷体" w:eastAsia="楷体"/>
          <w:sz w:val="32"/>
          <w:szCs w:val="32"/>
        </w:rPr>
        <w:t>年度财政拨款</w:t>
      </w:r>
      <w:r>
        <w:rPr>
          <w:rFonts w:hint="eastAsia" w:ascii="楷体" w:hAnsi="Times New Roman" w:eastAsia="楷体"/>
          <w:sz w:val="32"/>
          <w:szCs w:val="32"/>
        </w:rPr>
        <w:t>“</w:t>
      </w:r>
      <w:r>
        <w:rPr>
          <w:rFonts w:hint="eastAsia" w:ascii="楷体" w:hAnsi="楷体" w:eastAsia="楷体"/>
          <w:sz w:val="32"/>
          <w:szCs w:val="32"/>
        </w:rPr>
        <w:t>三公</w:t>
      </w:r>
      <w:r>
        <w:rPr>
          <w:rFonts w:hint="eastAsia" w:ascii="楷体" w:hAnsi="Times New Roman" w:eastAsia="楷体"/>
          <w:sz w:val="32"/>
          <w:szCs w:val="32"/>
        </w:rPr>
        <w:t>”</w:t>
      </w:r>
      <w:r>
        <w:rPr>
          <w:rFonts w:hint="eastAsia" w:ascii="楷体" w:hAnsi="楷体" w:eastAsia="楷体"/>
          <w:sz w:val="32"/>
          <w:szCs w:val="32"/>
        </w:rPr>
        <w:t>经费支出决算情况说明</w:t>
      </w:r>
    </w:p>
    <w:p>
      <w:pPr>
        <w:adjustRightInd w:val="0"/>
        <w:spacing w:before="100" w:beforeAutospacing="1" w:after="100" w:afterAutospacing="1" w:line="580" w:lineRule="exact"/>
        <w:ind w:firstLine="600"/>
      </w:pPr>
      <w:r>
        <w:rPr>
          <w:rFonts w:ascii="仿宋_GB2312" w:hAnsi="Times New Roman"/>
          <w:sz w:val="32"/>
          <w:szCs w:val="32"/>
        </w:rPr>
        <w:t>1</w:t>
      </w:r>
      <w:r>
        <w:rPr>
          <w:rFonts w:ascii="仿宋_GB2312" w:hAnsi="仿宋_GB2312"/>
          <w:sz w:val="32"/>
          <w:szCs w:val="32"/>
        </w:rPr>
        <w:t>、</w:t>
      </w:r>
      <w:r>
        <w:rPr>
          <w:rFonts w:ascii="仿宋_GB2312" w:hAnsi="Times New Roman"/>
          <w:sz w:val="32"/>
          <w:szCs w:val="32"/>
        </w:rPr>
        <w:t>“三公”经费财政拨款支出决算总体情况说明</w:t>
      </w:r>
    </w:p>
    <w:p>
      <w:pPr>
        <w:adjustRightInd w:val="0"/>
        <w:spacing w:before="100" w:beforeAutospacing="1" w:after="100" w:afterAutospacing="1" w:line="580" w:lineRule="exact"/>
        <w:ind w:firstLine="600"/>
      </w:pPr>
      <w:r>
        <w:rPr>
          <w:rFonts w:ascii="仿宋_GB2312" w:hAnsi="仿宋_GB2312"/>
          <w:sz w:val="32"/>
          <w:szCs w:val="32"/>
        </w:rPr>
        <w:t>本部门</w:t>
      </w:r>
      <w:r>
        <w:rPr>
          <w:rFonts w:ascii="仿宋_GB2312" w:hAnsi="Times New Roman"/>
          <w:sz w:val="32"/>
          <w:szCs w:val="32"/>
        </w:rPr>
        <w:t>2018</w:t>
      </w:r>
      <w:r>
        <w:rPr>
          <w:rFonts w:ascii="仿宋_GB2312" w:hAnsi="仿宋_GB2312"/>
          <w:sz w:val="32"/>
          <w:szCs w:val="32"/>
        </w:rPr>
        <w:t>年度财政拨款</w:t>
      </w:r>
      <w:r>
        <w:rPr>
          <w:rFonts w:ascii="仿宋_GB2312" w:hAnsi="Times New Roman"/>
          <w:sz w:val="32"/>
          <w:szCs w:val="32"/>
        </w:rPr>
        <w:t>“三公”经费预算为50.00</w:t>
      </w:r>
      <w:r>
        <w:rPr>
          <w:rFonts w:ascii="仿宋_GB2312" w:hAnsi="仿宋_GB2312"/>
          <w:sz w:val="32"/>
          <w:szCs w:val="32"/>
        </w:rPr>
        <w:t>万元，支出决算为</w:t>
      </w:r>
      <w:r>
        <w:rPr>
          <w:rFonts w:ascii="仿宋_GB2312" w:hAnsi="Times New Roman"/>
          <w:sz w:val="32"/>
          <w:szCs w:val="32"/>
        </w:rPr>
        <w:t>42.91</w:t>
      </w:r>
      <w:r>
        <w:rPr>
          <w:rFonts w:ascii="仿宋_GB2312" w:hAnsi="仿宋_GB2312"/>
          <w:sz w:val="32"/>
          <w:szCs w:val="32"/>
        </w:rPr>
        <w:t>万元，完成预算的</w:t>
      </w:r>
      <w:r>
        <w:rPr>
          <w:rFonts w:ascii="仿宋_GB2312" w:hAnsi="Times New Roman"/>
          <w:sz w:val="32"/>
          <w:szCs w:val="32"/>
        </w:rPr>
        <w:t>85.80%</w:t>
      </w:r>
      <w:r>
        <w:rPr>
          <w:rFonts w:ascii="仿宋_GB2312" w:hAnsi="仿宋_GB2312"/>
          <w:sz w:val="32"/>
          <w:szCs w:val="32"/>
        </w:rPr>
        <w:t>，其中：因公出国（境）费支出决算为</w:t>
      </w:r>
      <w:r>
        <w:rPr>
          <w:rFonts w:ascii="仿宋_GB2312" w:hAnsi="Times New Roman"/>
          <w:sz w:val="32"/>
          <w:szCs w:val="32"/>
        </w:rPr>
        <w:t>0.00</w:t>
      </w:r>
      <w:r>
        <w:rPr>
          <w:rFonts w:ascii="仿宋_GB2312" w:hAnsi="仿宋_GB2312"/>
          <w:sz w:val="32"/>
          <w:szCs w:val="32"/>
        </w:rPr>
        <w:t>万元，完成预算的</w:t>
      </w:r>
      <w:r>
        <w:rPr>
          <w:rFonts w:ascii="仿宋_GB2312" w:hAnsi="Times New Roman"/>
          <w:sz w:val="32"/>
          <w:szCs w:val="32"/>
        </w:rPr>
        <w:t>0.00%</w:t>
      </w:r>
      <w:r>
        <w:rPr>
          <w:rFonts w:ascii="仿宋_GB2312" w:hAnsi="仿宋_GB2312"/>
          <w:sz w:val="32"/>
          <w:szCs w:val="32"/>
        </w:rPr>
        <w:t>；公务用车购置及运行维护费支出决算为</w:t>
      </w:r>
      <w:r>
        <w:rPr>
          <w:rFonts w:ascii="仿宋_GB2312" w:hAnsi="Times New Roman"/>
          <w:sz w:val="32"/>
          <w:szCs w:val="32"/>
        </w:rPr>
        <w:t>42.58</w:t>
      </w:r>
      <w:r>
        <w:rPr>
          <w:rFonts w:ascii="仿宋_GB2312" w:hAnsi="仿宋_GB2312"/>
          <w:sz w:val="32"/>
          <w:szCs w:val="32"/>
        </w:rPr>
        <w:t>万元，完成预算的</w:t>
      </w:r>
      <w:r>
        <w:rPr>
          <w:rFonts w:ascii="仿宋_GB2312" w:hAnsi="Times New Roman"/>
          <w:sz w:val="32"/>
          <w:szCs w:val="32"/>
        </w:rPr>
        <w:t>85.80%</w:t>
      </w:r>
      <w:r>
        <w:rPr>
          <w:rFonts w:ascii="仿宋_GB2312" w:hAnsi="仿宋_GB2312"/>
          <w:sz w:val="32"/>
          <w:szCs w:val="32"/>
        </w:rPr>
        <w:t>；公务接待费支出决算为</w:t>
      </w:r>
      <w:r>
        <w:rPr>
          <w:rFonts w:ascii="仿宋_GB2312" w:hAnsi="Times New Roman"/>
          <w:sz w:val="32"/>
          <w:szCs w:val="32"/>
        </w:rPr>
        <w:t>0.33</w:t>
      </w:r>
      <w:r>
        <w:rPr>
          <w:rFonts w:ascii="仿宋_GB2312" w:hAnsi="仿宋_GB2312"/>
          <w:sz w:val="32"/>
          <w:szCs w:val="32"/>
        </w:rPr>
        <w:t>万元，完成预算的</w:t>
      </w:r>
      <w:r>
        <w:rPr>
          <w:rFonts w:ascii="仿宋_GB2312" w:hAnsi="Times New Roman"/>
          <w:sz w:val="32"/>
          <w:szCs w:val="32"/>
        </w:rPr>
        <w:t>86.80%</w:t>
      </w:r>
      <w:r>
        <w:rPr>
          <w:rFonts w:ascii="仿宋_GB2312" w:hAnsi="仿宋_GB2312"/>
          <w:sz w:val="32"/>
          <w:szCs w:val="32"/>
        </w:rPr>
        <w:t>。</w:t>
      </w:r>
      <w:r>
        <w:rPr>
          <w:rFonts w:ascii="仿宋_GB2312" w:hAnsi="Times New Roman"/>
          <w:sz w:val="32"/>
          <w:szCs w:val="32"/>
        </w:rPr>
        <w:t>2018</w:t>
      </w:r>
      <w:r>
        <w:rPr>
          <w:rFonts w:ascii="仿宋_GB2312" w:hAnsi="仿宋_GB2312"/>
          <w:sz w:val="32"/>
          <w:szCs w:val="32"/>
        </w:rPr>
        <w:t>年度财政拨款</w:t>
      </w:r>
      <w:r>
        <w:rPr>
          <w:rFonts w:ascii="仿宋_GB2312" w:hAnsi="Times New Roman"/>
          <w:sz w:val="32"/>
          <w:szCs w:val="32"/>
        </w:rPr>
        <w:t>“</w:t>
      </w:r>
      <w:r>
        <w:rPr>
          <w:rFonts w:ascii="仿宋_GB2312" w:hAnsi="仿宋_GB2312"/>
          <w:sz w:val="32"/>
          <w:szCs w:val="32"/>
        </w:rPr>
        <w:t>三公</w:t>
      </w:r>
      <w:r>
        <w:rPr>
          <w:rFonts w:ascii="仿宋_GB2312" w:hAnsi="Times New Roman"/>
          <w:sz w:val="32"/>
          <w:szCs w:val="32"/>
        </w:rPr>
        <w:t>”</w:t>
      </w:r>
      <w:r>
        <w:rPr>
          <w:rFonts w:ascii="仿宋_GB2312" w:hAnsi="仿宋_GB2312"/>
          <w:sz w:val="32"/>
          <w:szCs w:val="32"/>
        </w:rPr>
        <w:t>经费支出决算与预算差异情况的原因：由于日常公用经费和车辆运行经费预算执行减少，所以</w:t>
      </w:r>
      <w:r>
        <w:rPr>
          <w:rFonts w:ascii="仿宋_GB2312" w:hAnsi="Times New Roman"/>
          <w:sz w:val="32"/>
          <w:szCs w:val="32"/>
        </w:rPr>
        <w:t>“三公经费”主要在项目中产生。</w:t>
      </w:r>
    </w:p>
    <w:p>
      <w:pPr>
        <w:adjustRightInd w:val="0"/>
        <w:spacing w:before="100" w:beforeAutospacing="1" w:after="100" w:afterAutospacing="1" w:line="580" w:lineRule="exact"/>
        <w:ind w:firstLine="600"/>
      </w:pPr>
      <w:r>
        <w:rPr>
          <w:rFonts w:ascii="仿宋_GB2312" w:hAnsi="Times New Roman"/>
          <w:sz w:val="32"/>
          <w:szCs w:val="32"/>
        </w:rPr>
        <w:t>2</w:t>
      </w:r>
      <w:r>
        <w:rPr>
          <w:rFonts w:ascii="仿宋_GB2312" w:hAnsi="仿宋_GB2312"/>
          <w:sz w:val="32"/>
          <w:szCs w:val="32"/>
        </w:rPr>
        <w:t>、</w:t>
      </w:r>
      <w:r>
        <w:rPr>
          <w:rFonts w:ascii="仿宋_GB2312" w:hAnsi="Times New Roman"/>
          <w:sz w:val="32"/>
          <w:szCs w:val="32"/>
        </w:rPr>
        <w:t>“三公”经费财政拨款支出决算具体情况说明</w:t>
      </w:r>
    </w:p>
    <w:p>
      <w:pPr>
        <w:adjustRightInd w:val="0"/>
        <w:spacing w:before="100" w:beforeAutospacing="1" w:after="100" w:afterAutospacing="1" w:line="580" w:lineRule="exact"/>
        <w:ind w:firstLine="600"/>
      </w:pPr>
      <w:r>
        <w:rPr>
          <w:rFonts w:ascii="仿宋_GB2312" w:hAnsi="仿宋_GB2312"/>
          <w:sz w:val="32"/>
          <w:szCs w:val="32"/>
        </w:rPr>
        <w:t>本部门</w:t>
      </w:r>
      <w:r>
        <w:rPr>
          <w:rFonts w:ascii="仿宋_GB2312" w:hAnsi="Times New Roman"/>
          <w:sz w:val="32"/>
          <w:szCs w:val="32"/>
        </w:rPr>
        <w:t>2018</w:t>
      </w:r>
      <w:r>
        <w:rPr>
          <w:rFonts w:ascii="仿宋_GB2312" w:hAnsi="仿宋_GB2312"/>
          <w:sz w:val="32"/>
          <w:szCs w:val="32"/>
        </w:rPr>
        <w:t>年度财政拨款</w:t>
      </w:r>
      <w:r>
        <w:rPr>
          <w:rFonts w:ascii="仿宋_GB2312" w:hAnsi="Times New Roman"/>
          <w:sz w:val="32"/>
          <w:szCs w:val="32"/>
        </w:rPr>
        <w:t>“</w:t>
      </w:r>
      <w:r>
        <w:rPr>
          <w:rFonts w:ascii="仿宋_GB2312" w:hAnsi="仿宋_GB2312"/>
          <w:sz w:val="32"/>
          <w:szCs w:val="32"/>
        </w:rPr>
        <w:t>三公</w:t>
      </w:r>
      <w:r>
        <w:rPr>
          <w:rFonts w:ascii="仿宋_GB2312" w:hAnsi="Times New Roman"/>
          <w:sz w:val="32"/>
          <w:szCs w:val="32"/>
        </w:rPr>
        <w:t>”</w:t>
      </w:r>
      <w:r>
        <w:rPr>
          <w:rFonts w:ascii="仿宋_GB2312" w:hAnsi="仿宋_GB2312"/>
          <w:sz w:val="32"/>
          <w:szCs w:val="32"/>
        </w:rPr>
        <w:t>经费支出</w:t>
      </w:r>
      <w:r>
        <w:rPr>
          <w:rFonts w:ascii="仿宋_GB2312" w:hAnsi="Times New Roman"/>
          <w:sz w:val="32"/>
          <w:szCs w:val="32"/>
        </w:rPr>
        <w:t>42.91</w:t>
      </w:r>
      <w:r>
        <w:rPr>
          <w:rFonts w:ascii="仿宋_GB2312" w:hAnsi="仿宋_GB2312"/>
          <w:sz w:val="32"/>
          <w:szCs w:val="32"/>
        </w:rPr>
        <w:t>万元，因公出国（境）费支出</w:t>
      </w:r>
      <w:r>
        <w:rPr>
          <w:rFonts w:ascii="仿宋_GB2312" w:hAnsi="Times New Roman"/>
          <w:sz w:val="32"/>
          <w:szCs w:val="32"/>
        </w:rPr>
        <w:t>0.00</w:t>
      </w:r>
      <w:r>
        <w:rPr>
          <w:rFonts w:ascii="仿宋_GB2312" w:hAnsi="仿宋_GB2312"/>
          <w:sz w:val="32"/>
          <w:szCs w:val="32"/>
        </w:rPr>
        <w:t>万元，占</w:t>
      </w:r>
      <w:r>
        <w:rPr>
          <w:rFonts w:ascii="仿宋_GB2312" w:hAnsi="Times New Roman"/>
          <w:sz w:val="32"/>
          <w:szCs w:val="32"/>
        </w:rPr>
        <w:t>0.00%</w:t>
      </w:r>
      <w:r>
        <w:rPr>
          <w:rFonts w:ascii="仿宋_GB2312" w:hAnsi="仿宋_GB2312"/>
          <w:sz w:val="32"/>
          <w:szCs w:val="32"/>
        </w:rPr>
        <w:t>；公务用车购置及运行维护费支出</w:t>
      </w:r>
      <w:r>
        <w:rPr>
          <w:rFonts w:ascii="仿宋_GB2312" w:hAnsi="Times New Roman"/>
          <w:sz w:val="32"/>
          <w:szCs w:val="32"/>
        </w:rPr>
        <w:t>42.58</w:t>
      </w:r>
      <w:r>
        <w:rPr>
          <w:rFonts w:ascii="仿宋_GB2312" w:hAnsi="仿宋_GB2312"/>
          <w:sz w:val="32"/>
          <w:szCs w:val="32"/>
        </w:rPr>
        <w:t>万元，占</w:t>
      </w:r>
      <w:r>
        <w:rPr>
          <w:rFonts w:ascii="仿宋_GB2312" w:hAnsi="Times New Roman"/>
          <w:sz w:val="32"/>
          <w:szCs w:val="32"/>
        </w:rPr>
        <w:t>99.20%</w:t>
      </w:r>
      <w:r>
        <w:rPr>
          <w:rFonts w:ascii="仿宋_GB2312" w:hAnsi="仿宋_GB2312"/>
          <w:sz w:val="32"/>
          <w:szCs w:val="32"/>
        </w:rPr>
        <w:t>；公务接待费支出</w:t>
      </w:r>
      <w:r>
        <w:rPr>
          <w:rFonts w:ascii="仿宋_GB2312" w:hAnsi="Times New Roman"/>
          <w:sz w:val="32"/>
          <w:szCs w:val="32"/>
        </w:rPr>
        <w:t>0.33</w:t>
      </w:r>
      <w:r>
        <w:rPr>
          <w:rFonts w:ascii="仿宋_GB2312" w:hAnsi="仿宋_GB2312"/>
          <w:sz w:val="32"/>
          <w:szCs w:val="32"/>
        </w:rPr>
        <w:t>万元，占</w:t>
      </w:r>
      <w:r>
        <w:rPr>
          <w:rFonts w:ascii="仿宋_GB2312" w:hAnsi="Times New Roman"/>
          <w:sz w:val="32"/>
          <w:szCs w:val="32"/>
        </w:rPr>
        <w:t>0.80%</w:t>
      </w:r>
      <w:r>
        <w:rPr>
          <w:rFonts w:ascii="仿宋_GB2312" w:hAnsi="仿宋_GB2312"/>
          <w:sz w:val="32"/>
          <w:szCs w:val="32"/>
        </w:rPr>
        <w:t>。具体情况如下：</w:t>
      </w:r>
    </w:p>
    <w:p>
      <w:pPr>
        <w:adjustRightInd w:val="0"/>
        <w:spacing w:before="100" w:beforeAutospacing="1" w:after="100" w:afterAutospacing="1" w:line="580" w:lineRule="exact"/>
        <w:ind w:firstLine="600"/>
        <w:rPr>
          <w:rFonts w:ascii="仿宋_GB2312" w:hAnsi="Times New Roman"/>
          <w:sz w:val="32"/>
          <w:szCs w:val="32"/>
        </w:rPr>
      </w:pPr>
      <w:r>
        <w:rPr>
          <w:rFonts w:ascii="仿宋_GB2312" w:hAnsi="仿宋_GB2312"/>
          <w:b/>
          <w:bCs/>
          <w:sz w:val="32"/>
          <w:szCs w:val="32"/>
        </w:rPr>
        <w:t>因公出国（境）费支出</w:t>
      </w:r>
      <w:r>
        <w:rPr>
          <w:rFonts w:ascii="仿宋_GB2312" w:hAnsi="Times New Roman"/>
          <w:sz w:val="32"/>
          <w:szCs w:val="32"/>
        </w:rPr>
        <w:t>0.00</w:t>
      </w:r>
      <w:r>
        <w:rPr>
          <w:rFonts w:ascii="仿宋_GB2312" w:hAnsi="仿宋_GB2312"/>
          <w:sz w:val="32"/>
          <w:szCs w:val="32"/>
        </w:rPr>
        <w:t>万元。比</w:t>
      </w:r>
      <w:r>
        <w:rPr>
          <w:rFonts w:ascii="仿宋_GB2312" w:hAnsi="Times New Roman"/>
          <w:sz w:val="32"/>
          <w:szCs w:val="32"/>
        </w:rPr>
        <w:t>2017</w:t>
      </w:r>
      <w:r>
        <w:rPr>
          <w:rFonts w:ascii="仿宋_GB2312" w:hAnsi="仿宋_GB2312"/>
          <w:sz w:val="32"/>
          <w:szCs w:val="32"/>
        </w:rPr>
        <w:t>年增加（减少）</w:t>
      </w:r>
      <w:r>
        <w:rPr>
          <w:rFonts w:hint="eastAsia"/>
          <w:sz w:val="30"/>
          <w:szCs w:val="30"/>
        </w:rPr>
        <w:t>0.00</w:t>
      </w:r>
      <w:r>
        <w:rPr>
          <w:rFonts w:ascii="仿宋_GB2312" w:hAnsi="仿宋_GB2312"/>
          <w:sz w:val="32"/>
          <w:szCs w:val="32"/>
        </w:rPr>
        <w:t>万元</w:t>
      </w:r>
      <w:r>
        <w:rPr>
          <w:rFonts w:ascii="仿宋_GB2312" w:hAnsi="Times New Roman"/>
          <w:sz w:val="32"/>
          <w:szCs w:val="32"/>
        </w:rPr>
        <w:t>,</w:t>
      </w:r>
      <w:r>
        <w:rPr>
          <w:rFonts w:hint="eastAsia"/>
          <w:sz w:val="30"/>
          <w:szCs w:val="30"/>
        </w:rPr>
        <w:t xml:space="preserve"> 主要原因是本单位没有安排因公出国境费</w:t>
      </w:r>
      <w:r>
        <w:rPr>
          <w:rFonts w:hint="eastAsia"/>
          <w:sz w:val="27"/>
          <w:szCs w:val="27"/>
        </w:rPr>
        <w:t>。</w:t>
      </w:r>
      <w:r>
        <w:rPr>
          <w:rFonts w:ascii="仿宋_GB2312" w:hAnsi="仿宋_GB2312"/>
          <w:sz w:val="32"/>
          <w:szCs w:val="32"/>
        </w:rPr>
        <w:t>全年因公出国（境）团组</w:t>
      </w:r>
      <w:r>
        <w:rPr>
          <w:rFonts w:ascii="仿宋_GB2312" w:hAnsi="Times New Roman"/>
          <w:sz w:val="32"/>
          <w:szCs w:val="32"/>
        </w:rPr>
        <w:t>0</w:t>
      </w:r>
      <w:r>
        <w:rPr>
          <w:rFonts w:ascii="仿宋_GB2312" w:hAnsi="仿宋_GB2312"/>
          <w:sz w:val="32"/>
          <w:szCs w:val="32"/>
        </w:rPr>
        <w:t>个，累计</w:t>
      </w:r>
      <w:r>
        <w:rPr>
          <w:rFonts w:ascii="仿宋_GB2312" w:hAnsi="Times New Roman"/>
          <w:sz w:val="32"/>
          <w:szCs w:val="32"/>
        </w:rPr>
        <w:t>0</w:t>
      </w:r>
      <w:r>
        <w:rPr>
          <w:rFonts w:ascii="仿宋_GB2312" w:hAnsi="仿宋_GB2312"/>
          <w:sz w:val="32"/>
          <w:szCs w:val="32"/>
        </w:rPr>
        <w:t>人次。</w:t>
      </w:r>
    </w:p>
    <w:p>
      <w:pPr>
        <w:adjustRightInd w:val="0"/>
        <w:spacing w:before="100" w:beforeAutospacing="1" w:after="100" w:afterAutospacing="1" w:line="580" w:lineRule="exact"/>
        <w:ind w:firstLine="600"/>
      </w:pPr>
      <w:r>
        <w:rPr>
          <w:rFonts w:ascii="仿宋_GB2312" w:hAnsi="仿宋_GB2312"/>
          <w:b/>
          <w:bCs/>
          <w:sz w:val="32"/>
          <w:szCs w:val="32"/>
        </w:rPr>
        <w:t>公务用车购置及运行维护费支出</w:t>
      </w:r>
      <w:r>
        <w:rPr>
          <w:rFonts w:ascii="仿宋_GB2312" w:hAnsi="Times New Roman"/>
          <w:sz w:val="32"/>
          <w:szCs w:val="32"/>
        </w:rPr>
        <w:t>42.58</w:t>
      </w:r>
      <w:r>
        <w:rPr>
          <w:rFonts w:ascii="仿宋_GB2312" w:hAnsi="仿宋_GB2312"/>
          <w:sz w:val="32"/>
          <w:szCs w:val="32"/>
        </w:rPr>
        <w:t>万元。其中：公务用车购置支出</w:t>
      </w:r>
      <w:r>
        <w:rPr>
          <w:rFonts w:ascii="仿宋_GB2312" w:hAnsi="Times New Roman"/>
          <w:sz w:val="32"/>
          <w:szCs w:val="32"/>
        </w:rPr>
        <w:t>0.00</w:t>
      </w:r>
      <w:r>
        <w:rPr>
          <w:rFonts w:ascii="仿宋_GB2312" w:hAnsi="仿宋_GB2312"/>
          <w:sz w:val="32"/>
          <w:szCs w:val="32"/>
        </w:rPr>
        <w:t>万元，车均购置费</w:t>
      </w:r>
      <w:r>
        <w:rPr>
          <w:rFonts w:ascii="仿宋_GB2312" w:hAnsi="Times New Roman"/>
          <w:sz w:val="32"/>
          <w:szCs w:val="32"/>
        </w:rPr>
        <w:t>0.00</w:t>
      </w:r>
      <w:r>
        <w:rPr>
          <w:rFonts w:ascii="仿宋_GB2312" w:hAnsi="仿宋_GB2312"/>
          <w:sz w:val="32"/>
          <w:szCs w:val="32"/>
        </w:rPr>
        <w:t>万元，较上年无增加或减少，主要原因是本单位在本年度没有公务用车购置。公务用车运行维护费支出</w:t>
      </w:r>
      <w:r>
        <w:rPr>
          <w:rFonts w:ascii="仿宋_GB2312" w:hAnsi="Times New Roman"/>
          <w:sz w:val="32"/>
          <w:szCs w:val="32"/>
        </w:rPr>
        <w:t>42.58</w:t>
      </w:r>
      <w:r>
        <w:rPr>
          <w:rFonts w:ascii="仿宋_GB2312" w:hAnsi="仿宋_GB2312"/>
          <w:sz w:val="32"/>
          <w:szCs w:val="32"/>
        </w:rPr>
        <w:t>万元，用于本单位的主要业务工作，车均运维费</w:t>
      </w:r>
      <w:r>
        <w:rPr>
          <w:rFonts w:ascii="仿宋_GB2312" w:hAnsi="Times New Roman"/>
          <w:sz w:val="32"/>
          <w:szCs w:val="32"/>
        </w:rPr>
        <w:t>2.24</w:t>
      </w:r>
      <w:r>
        <w:rPr>
          <w:rFonts w:ascii="仿宋_GB2312" w:hAnsi="仿宋_GB2312"/>
          <w:sz w:val="32"/>
          <w:szCs w:val="32"/>
        </w:rPr>
        <w:t>万元，较上年减少</w:t>
      </w:r>
      <w:r>
        <w:rPr>
          <w:rFonts w:ascii="仿宋_GB2312" w:hAnsi="Times New Roman"/>
          <w:sz w:val="32"/>
          <w:szCs w:val="32"/>
        </w:rPr>
        <w:t>36.79</w:t>
      </w:r>
      <w:r>
        <w:rPr>
          <w:rFonts w:ascii="仿宋_GB2312" w:hAnsi="仿宋_GB2312"/>
          <w:sz w:val="32"/>
          <w:szCs w:val="32"/>
        </w:rPr>
        <w:t>万元，主要原因是公车由于使用时间长且工作量大已经老旧，大部分下乡及相关工作开展时交通工具为私家车。财政拨款开支的公务用车保有量为</w:t>
      </w:r>
      <w:r>
        <w:rPr>
          <w:rFonts w:ascii="仿宋_GB2312" w:hAnsi="Times New Roman"/>
          <w:sz w:val="32"/>
          <w:szCs w:val="32"/>
        </w:rPr>
        <w:t>19</w:t>
      </w:r>
      <w:r>
        <w:rPr>
          <w:rFonts w:ascii="仿宋_GB2312" w:hAnsi="仿宋_GB2312"/>
          <w:sz w:val="32"/>
          <w:szCs w:val="32"/>
        </w:rPr>
        <w:t>辆。</w:t>
      </w:r>
    </w:p>
    <w:p>
      <w:pPr>
        <w:adjustRightInd w:val="0"/>
        <w:spacing w:before="100" w:beforeAutospacing="1" w:after="100" w:afterAutospacing="1" w:line="580" w:lineRule="exact"/>
        <w:ind w:firstLine="600"/>
      </w:pPr>
      <w:r>
        <w:rPr>
          <w:rFonts w:ascii="仿宋_GB2312" w:hAnsi="仿宋_GB2312"/>
          <w:b/>
          <w:bCs/>
          <w:sz w:val="32"/>
          <w:szCs w:val="32"/>
        </w:rPr>
        <w:t>公务接待费支出</w:t>
      </w:r>
      <w:r>
        <w:rPr>
          <w:rFonts w:ascii="仿宋_GB2312" w:hAnsi="Times New Roman"/>
          <w:sz w:val="32"/>
          <w:szCs w:val="32"/>
        </w:rPr>
        <w:t>0.33</w:t>
      </w:r>
      <w:r>
        <w:rPr>
          <w:rFonts w:ascii="仿宋_GB2312" w:hAnsi="仿宋_GB2312"/>
          <w:sz w:val="32"/>
          <w:szCs w:val="32"/>
        </w:rPr>
        <w:t>万元。</w:t>
      </w:r>
      <w:r>
        <w:rPr>
          <w:rFonts w:hint="eastAsia"/>
          <w:sz w:val="30"/>
          <w:szCs w:val="30"/>
        </w:rPr>
        <w:t>比2017年减少0.23万元,主要原因是</w:t>
      </w:r>
      <w:r>
        <w:rPr>
          <w:rFonts w:ascii="仿宋_GB2312" w:hAnsi="仿宋_GB2312"/>
          <w:sz w:val="32"/>
          <w:szCs w:val="32"/>
        </w:rPr>
        <w:t>日常公用经费和车辆运行经费预算执行减少</w:t>
      </w:r>
      <w:r>
        <w:rPr>
          <w:rFonts w:hint="eastAsia"/>
          <w:sz w:val="30"/>
          <w:szCs w:val="30"/>
        </w:rPr>
        <w:t>。</w:t>
      </w:r>
      <w:r>
        <w:rPr>
          <w:rFonts w:ascii="仿宋_GB2312" w:hAnsi="仿宋_GB2312"/>
          <w:sz w:val="32"/>
          <w:szCs w:val="32"/>
        </w:rPr>
        <w:t>其中：国内公务接待费</w:t>
      </w:r>
      <w:r>
        <w:rPr>
          <w:rFonts w:ascii="仿宋_GB2312" w:hAnsi="Times New Roman"/>
          <w:sz w:val="32"/>
          <w:szCs w:val="32"/>
        </w:rPr>
        <w:t>0.33</w:t>
      </w:r>
      <w:r>
        <w:rPr>
          <w:rFonts w:ascii="仿宋_GB2312" w:hAnsi="仿宋_GB2312"/>
          <w:sz w:val="32"/>
          <w:szCs w:val="32"/>
        </w:rPr>
        <w:t>万元，接待</w:t>
      </w:r>
      <w:r>
        <w:rPr>
          <w:rFonts w:ascii="仿宋_GB2312" w:hAnsi="Times New Roman"/>
          <w:sz w:val="32"/>
          <w:szCs w:val="32"/>
        </w:rPr>
        <w:t>5</w:t>
      </w:r>
      <w:r>
        <w:rPr>
          <w:rFonts w:ascii="仿宋_GB2312" w:hAnsi="仿宋_GB2312"/>
          <w:sz w:val="32"/>
          <w:szCs w:val="32"/>
        </w:rPr>
        <w:t>批次，共接待</w:t>
      </w:r>
      <w:r>
        <w:rPr>
          <w:rFonts w:ascii="仿宋_GB2312" w:hAnsi="Times New Roman"/>
          <w:sz w:val="32"/>
          <w:szCs w:val="32"/>
        </w:rPr>
        <w:t>27</w:t>
      </w:r>
      <w:r>
        <w:rPr>
          <w:rFonts w:ascii="仿宋_GB2312" w:hAnsi="仿宋_GB2312"/>
          <w:sz w:val="32"/>
          <w:szCs w:val="32"/>
        </w:rPr>
        <w:t>人次。国（境）外接待费</w:t>
      </w:r>
      <w:r>
        <w:rPr>
          <w:rFonts w:ascii="仿宋_GB2312" w:hAnsi="Times New Roman"/>
          <w:sz w:val="32"/>
          <w:szCs w:val="32"/>
        </w:rPr>
        <w:t>0.00</w:t>
      </w:r>
      <w:r>
        <w:rPr>
          <w:rFonts w:ascii="仿宋_GB2312" w:hAnsi="仿宋_GB2312"/>
          <w:sz w:val="32"/>
          <w:szCs w:val="32"/>
        </w:rPr>
        <w:t>万元，接待</w:t>
      </w:r>
      <w:r>
        <w:rPr>
          <w:rFonts w:ascii="仿宋_GB2312" w:hAnsi="Times New Roman"/>
          <w:sz w:val="32"/>
          <w:szCs w:val="32"/>
        </w:rPr>
        <w:t>0</w:t>
      </w:r>
      <w:r>
        <w:rPr>
          <w:rFonts w:ascii="仿宋_GB2312" w:hAnsi="仿宋_GB2312"/>
          <w:sz w:val="32"/>
          <w:szCs w:val="32"/>
        </w:rPr>
        <w:t>批次，共接待</w:t>
      </w:r>
      <w:r>
        <w:rPr>
          <w:rFonts w:ascii="仿宋_GB2312" w:hAnsi="Times New Roman"/>
          <w:sz w:val="32"/>
          <w:szCs w:val="32"/>
        </w:rPr>
        <w:t>0</w:t>
      </w:r>
      <w:r>
        <w:rPr>
          <w:rFonts w:ascii="仿宋_GB2312" w:hAnsi="仿宋_GB2312"/>
          <w:sz w:val="32"/>
          <w:szCs w:val="32"/>
        </w:rPr>
        <w:t>人次。</w:t>
      </w:r>
    </w:p>
    <w:p>
      <w:pPr>
        <w:adjustRightInd w:val="0"/>
        <w:spacing w:before="100" w:beforeAutospacing="1" w:after="100" w:afterAutospacing="1" w:line="580" w:lineRule="exact"/>
        <w:ind w:firstLine="600"/>
      </w:pPr>
      <w:r>
        <w:rPr>
          <w:rFonts w:ascii="仿宋_GB2312" w:hAnsi="仿宋_GB2312"/>
          <w:sz w:val="32"/>
          <w:szCs w:val="32"/>
        </w:rPr>
        <w:t>三、其他重要事项的情况说明</w:t>
      </w:r>
    </w:p>
    <w:p>
      <w:pPr>
        <w:adjustRightInd w:val="0"/>
        <w:spacing w:before="100" w:beforeAutospacing="1" w:after="100" w:afterAutospacing="1" w:line="580" w:lineRule="exact"/>
        <w:ind w:firstLine="600"/>
      </w:pPr>
      <w:r>
        <w:rPr>
          <w:rFonts w:ascii="仿宋_GB2312" w:hAnsi="仿宋_GB2312"/>
          <w:sz w:val="32"/>
          <w:szCs w:val="32"/>
        </w:rPr>
        <w:t>（一）机关运行经费支出情况</w:t>
      </w:r>
    </w:p>
    <w:p>
      <w:pPr>
        <w:adjustRightInd w:val="0"/>
        <w:spacing w:before="100" w:beforeAutospacing="1" w:after="100" w:afterAutospacing="1" w:line="580" w:lineRule="exact"/>
        <w:ind w:firstLine="600"/>
        <w:rPr>
          <w:rFonts w:ascii="仿宋_GB2312" w:hAnsi="Times New Roman"/>
          <w:sz w:val="32"/>
          <w:szCs w:val="32"/>
        </w:rPr>
      </w:pPr>
      <w:r>
        <w:rPr>
          <w:rFonts w:ascii="仿宋_GB2312" w:hAnsi="仿宋_GB2312"/>
          <w:sz w:val="32"/>
          <w:szCs w:val="32"/>
        </w:rPr>
        <w:t>本部门</w:t>
      </w:r>
      <w:r>
        <w:rPr>
          <w:rFonts w:ascii="仿宋_GB2312" w:hAnsi="Times New Roman"/>
          <w:sz w:val="32"/>
          <w:szCs w:val="32"/>
        </w:rPr>
        <w:t>2018</w:t>
      </w:r>
      <w:r>
        <w:rPr>
          <w:rFonts w:ascii="仿宋_GB2312" w:hAnsi="仿宋_GB2312"/>
          <w:sz w:val="32"/>
          <w:szCs w:val="32"/>
        </w:rPr>
        <w:t>年度机关运行经费支出</w:t>
      </w:r>
      <w:r>
        <w:rPr>
          <w:rFonts w:ascii="仿宋_GB2312" w:hAnsi="Times New Roman"/>
          <w:sz w:val="32"/>
          <w:szCs w:val="32"/>
        </w:rPr>
        <w:t>22.02</w:t>
      </w:r>
      <w:r>
        <w:rPr>
          <w:rFonts w:ascii="仿宋_GB2312" w:hAnsi="仿宋_GB2312"/>
          <w:sz w:val="32"/>
          <w:szCs w:val="32"/>
        </w:rPr>
        <w:t>万元，比</w:t>
      </w:r>
      <w:r>
        <w:rPr>
          <w:rFonts w:ascii="仿宋_GB2312" w:hAnsi="Times New Roman"/>
          <w:sz w:val="32"/>
          <w:szCs w:val="32"/>
        </w:rPr>
        <w:t>2017</w:t>
      </w:r>
      <w:r>
        <w:rPr>
          <w:rFonts w:ascii="仿宋_GB2312" w:hAnsi="仿宋_GB2312"/>
          <w:sz w:val="32"/>
          <w:szCs w:val="32"/>
        </w:rPr>
        <w:t>年减少</w:t>
      </w:r>
      <w:r>
        <w:rPr>
          <w:rFonts w:ascii="仿宋_GB2312" w:hAnsi="Times New Roman"/>
          <w:sz w:val="32"/>
          <w:szCs w:val="32"/>
        </w:rPr>
        <w:t>7.99</w:t>
      </w:r>
      <w:r>
        <w:rPr>
          <w:rFonts w:ascii="仿宋_GB2312" w:hAnsi="仿宋_GB2312"/>
          <w:sz w:val="32"/>
          <w:szCs w:val="32"/>
        </w:rPr>
        <w:t>万元，降低</w:t>
      </w:r>
      <w:r>
        <w:rPr>
          <w:rFonts w:ascii="仿宋_GB2312" w:hAnsi="Times New Roman"/>
          <w:sz w:val="32"/>
          <w:szCs w:val="32"/>
        </w:rPr>
        <w:t>26.60%</w:t>
      </w:r>
      <w:r>
        <w:rPr>
          <w:rFonts w:ascii="仿宋_GB2312" w:hAnsi="仿宋_GB2312"/>
          <w:sz w:val="32"/>
          <w:szCs w:val="32"/>
        </w:rPr>
        <w:t>。主要原因是：日常公用经费预算执行减少</w:t>
      </w:r>
      <w:r>
        <w:rPr>
          <w:rFonts w:ascii="仿宋_GB2312" w:hAnsi="Times New Roman"/>
          <w:sz w:val="32"/>
          <w:szCs w:val="32"/>
        </w:rPr>
        <w:t>.</w:t>
      </w:r>
    </w:p>
    <w:p>
      <w:pPr>
        <w:adjustRightInd w:val="0"/>
        <w:spacing w:before="100" w:beforeAutospacing="1" w:after="100" w:afterAutospacing="1" w:line="580" w:lineRule="exact"/>
        <w:ind w:firstLine="600"/>
      </w:pPr>
      <w:r>
        <w:rPr>
          <w:rFonts w:ascii="仿宋_GB2312" w:hAnsi="仿宋_GB2312"/>
          <w:sz w:val="32"/>
          <w:szCs w:val="32"/>
        </w:rPr>
        <w:t>（二）政府采购支出情况</w:t>
      </w:r>
    </w:p>
    <w:p>
      <w:pPr>
        <w:adjustRightInd w:val="0"/>
        <w:spacing w:before="100" w:beforeAutospacing="1" w:after="100" w:afterAutospacing="1" w:line="580" w:lineRule="exact"/>
        <w:ind w:firstLine="600"/>
      </w:pPr>
      <w:r>
        <w:rPr>
          <w:rFonts w:ascii="仿宋_GB2312" w:hAnsi="仿宋_GB2312"/>
          <w:sz w:val="32"/>
          <w:szCs w:val="32"/>
        </w:rPr>
        <w:t>本部门</w:t>
      </w:r>
      <w:r>
        <w:rPr>
          <w:rFonts w:ascii="仿宋_GB2312" w:hAnsi="Times New Roman"/>
          <w:sz w:val="32"/>
          <w:szCs w:val="32"/>
        </w:rPr>
        <w:t>2018</w:t>
      </w:r>
      <w:r>
        <w:rPr>
          <w:rFonts w:ascii="仿宋_GB2312" w:hAnsi="仿宋_GB2312"/>
          <w:sz w:val="32"/>
          <w:szCs w:val="32"/>
        </w:rPr>
        <w:t>年度财政性资金政府采购支出总额</w:t>
      </w:r>
      <w:r>
        <w:rPr>
          <w:rFonts w:ascii="仿宋_GB2312" w:hAnsi="Times New Roman"/>
          <w:sz w:val="32"/>
          <w:szCs w:val="32"/>
        </w:rPr>
        <w:t>454.30</w:t>
      </w:r>
      <w:r>
        <w:rPr>
          <w:rFonts w:ascii="仿宋_GB2312" w:hAnsi="仿宋_GB2312"/>
          <w:sz w:val="32"/>
          <w:szCs w:val="32"/>
        </w:rPr>
        <w:t>万元，其中：政府采购货物支出</w:t>
      </w:r>
      <w:r>
        <w:rPr>
          <w:rFonts w:ascii="仿宋_GB2312" w:hAnsi="Times New Roman"/>
          <w:sz w:val="32"/>
          <w:szCs w:val="32"/>
        </w:rPr>
        <w:t>0.00</w:t>
      </w:r>
      <w:r>
        <w:rPr>
          <w:rFonts w:ascii="仿宋_GB2312" w:hAnsi="仿宋_GB2312"/>
          <w:sz w:val="32"/>
          <w:szCs w:val="32"/>
        </w:rPr>
        <w:t>万元，比</w:t>
      </w:r>
      <w:r>
        <w:rPr>
          <w:rFonts w:ascii="仿宋_GB2312" w:hAnsi="Times New Roman"/>
          <w:sz w:val="32"/>
          <w:szCs w:val="32"/>
        </w:rPr>
        <w:t>2017</w:t>
      </w:r>
      <w:r>
        <w:rPr>
          <w:rFonts w:ascii="仿宋_GB2312" w:hAnsi="仿宋_GB2312"/>
          <w:sz w:val="32"/>
          <w:szCs w:val="32"/>
        </w:rPr>
        <w:t>年增减少</w:t>
      </w:r>
      <w:r>
        <w:rPr>
          <w:rFonts w:ascii="仿宋_GB2312" w:hAnsi="Times New Roman"/>
          <w:sz w:val="32"/>
          <w:szCs w:val="32"/>
        </w:rPr>
        <w:t>84.50</w:t>
      </w:r>
      <w:r>
        <w:rPr>
          <w:rFonts w:ascii="仿宋_GB2312" w:hAnsi="仿宋_GB2312"/>
          <w:sz w:val="32"/>
          <w:szCs w:val="32"/>
        </w:rPr>
        <w:t>万元，降低</w:t>
      </w:r>
      <w:r>
        <w:rPr>
          <w:rFonts w:ascii="仿宋_GB2312" w:hAnsi="Times New Roman"/>
          <w:sz w:val="32"/>
          <w:szCs w:val="32"/>
        </w:rPr>
        <w:t>100.00%</w:t>
      </w:r>
      <w:r>
        <w:rPr>
          <w:rFonts w:ascii="仿宋_GB2312" w:hAnsi="仿宋_GB2312"/>
          <w:sz w:val="32"/>
          <w:szCs w:val="32"/>
        </w:rPr>
        <w:t>，主要原因是：项目资金减少；政府采购工程支出</w:t>
      </w:r>
      <w:r>
        <w:rPr>
          <w:rFonts w:ascii="仿宋_GB2312" w:hAnsi="Times New Roman"/>
          <w:sz w:val="32"/>
          <w:szCs w:val="32"/>
        </w:rPr>
        <w:t>239.85</w:t>
      </w:r>
      <w:r>
        <w:rPr>
          <w:rFonts w:ascii="仿宋_GB2312" w:hAnsi="仿宋_GB2312"/>
          <w:sz w:val="32"/>
          <w:szCs w:val="32"/>
        </w:rPr>
        <w:t>万元，比</w:t>
      </w:r>
      <w:r>
        <w:rPr>
          <w:rFonts w:ascii="仿宋_GB2312" w:hAnsi="Times New Roman"/>
          <w:sz w:val="32"/>
          <w:szCs w:val="32"/>
        </w:rPr>
        <w:t>2017</w:t>
      </w:r>
      <w:r>
        <w:rPr>
          <w:rFonts w:ascii="仿宋_GB2312" w:hAnsi="仿宋_GB2312"/>
          <w:sz w:val="32"/>
          <w:szCs w:val="32"/>
        </w:rPr>
        <w:t>年减少</w:t>
      </w:r>
      <w:r>
        <w:rPr>
          <w:rFonts w:ascii="仿宋_GB2312" w:hAnsi="Times New Roman"/>
          <w:sz w:val="32"/>
          <w:szCs w:val="32"/>
        </w:rPr>
        <w:t>225.19</w:t>
      </w:r>
      <w:r>
        <w:rPr>
          <w:rFonts w:ascii="仿宋_GB2312" w:hAnsi="仿宋_GB2312"/>
          <w:sz w:val="32"/>
          <w:szCs w:val="32"/>
        </w:rPr>
        <w:t>万元，降低</w:t>
      </w:r>
      <w:r>
        <w:rPr>
          <w:rFonts w:ascii="仿宋_GB2312" w:hAnsi="Times New Roman"/>
          <w:sz w:val="32"/>
          <w:szCs w:val="32"/>
        </w:rPr>
        <w:t>48.40%</w:t>
      </w:r>
      <w:r>
        <w:rPr>
          <w:rFonts w:ascii="仿宋_GB2312" w:hAnsi="仿宋_GB2312"/>
          <w:sz w:val="32"/>
          <w:szCs w:val="32"/>
        </w:rPr>
        <w:t>，主要原因是：项目资金减少；政府采购服务支出</w:t>
      </w:r>
      <w:r>
        <w:rPr>
          <w:rFonts w:ascii="仿宋_GB2312" w:hAnsi="Times New Roman"/>
          <w:sz w:val="32"/>
          <w:szCs w:val="32"/>
        </w:rPr>
        <w:t>214.45</w:t>
      </w:r>
      <w:r>
        <w:rPr>
          <w:rFonts w:ascii="仿宋_GB2312" w:hAnsi="仿宋_GB2312"/>
          <w:sz w:val="32"/>
          <w:szCs w:val="32"/>
        </w:rPr>
        <w:t>万元，比</w:t>
      </w:r>
      <w:r>
        <w:rPr>
          <w:rFonts w:ascii="仿宋_GB2312" w:hAnsi="Times New Roman"/>
          <w:sz w:val="32"/>
          <w:szCs w:val="32"/>
        </w:rPr>
        <w:t>2017</w:t>
      </w:r>
      <w:r>
        <w:rPr>
          <w:rFonts w:ascii="仿宋_GB2312" w:hAnsi="仿宋_GB2312"/>
          <w:sz w:val="32"/>
          <w:szCs w:val="32"/>
        </w:rPr>
        <w:t>年增加</w:t>
      </w:r>
      <w:r>
        <w:rPr>
          <w:rFonts w:ascii="仿宋_GB2312" w:hAnsi="Times New Roman"/>
          <w:sz w:val="32"/>
          <w:szCs w:val="32"/>
        </w:rPr>
        <w:t>214.45</w:t>
      </w:r>
      <w:r>
        <w:rPr>
          <w:rFonts w:ascii="仿宋_GB2312" w:hAnsi="仿宋_GB2312"/>
          <w:sz w:val="32"/>
          <w:szCs w:val="32"/>
        </w:rPr>
        <w:t>万元，增长</w:t>
      </w:r>
      <w:r>
        <w:rPr>
          <w:rFonts w:ascii="仿宋_GB2312" w:hAnsi="Times New Roman"/>
          <w:sz w:val="32"/>
          <w:szCs w:val="32"/>
        </w:rPr>
        <w:t>0.00%</w:t>
      </w:r>
      <w:r>
        <w:rPr>
          <w:rFonts w:ascii="仿宋_GB2312" w:hAnsi="仿宋_GB2312"/>
          <w:sz w:val="32"/>
          <w:szCs w:val="32"/>
        </w:rPr>
        <w:t>，主要原因是：项目服务支出资金增加</w:t>
      </w:r>
      <w:r>
        <w:rPr>
          <w:rFonts w:ascii="仿宋_GB2312" w:hAnsi="仿宋_GB2312"/>
          <w:color w:val="000000"/>
          <w:sz w:val="32"/>
          <w:szCs w:val="32"/>
        </w:rPr>
        <w:t>。</w:t>
      </w:r>
    </w:p>
    <w:p>
      <w:pPr>
        <w:adjustRightInd w:val="0"/>
        <w:spacing w:before="100" w:beforeAutospacing="1" w:after="100" w:afterAutospacing="1" w:line="580" w:lineRule="exact"/>
        <w:ind w:firstLine="600"/>
      </w:pPr>
      <w:r>
        <w:rPr>
          <w:rFonts w:ascii="仿宋_GB2312" w:hAnsi="仿宋_GB2312"/>
          <w:sz w:val="32"/>
          <w:szCs w:val="32"/>
        </w:rPr>
        <w:t>（三）国有资产占用情况</w:t>
      </w:r>
    </w:p>
    <w:p>
      <w:pPr>
        <w:adjustRightInd w:val="0"/>
        <w:spacing w:before="100" w:beforeAutospacing="1" w:after="100" w:afterAutospacing="1" w:line="580" w:lineRule="exact"/>
        <w:ind w:firstLine="600"/>
      </w:pPr>
      <w:r>
        <w:rPr>
          <w:rFonts w:ascii="仿宋_GB2312" w:hAnsi="仿宋_GB2312"/>
          <w:sz w:val="32"/>
          <w:szCs w:val="32"/>
        </w:rPr>
        <w:t>截至</w:t>
      </w:r>
      <w:r>
        <w:rPr>
          <w:rFonts w:ascii="仿宋_GB2312" w:hAnsi="Times New Roman"/>
          <w:sz w:val="32"/>
          <w:szCs w:val="32"/>
        </w:rPr>
        <w:t>2018</w:t>
      </w:r>
      <w:r>
        <w:rPr>
          <w:rFonts w:ascii="仿宋_GB2312" w:hAnsi="仿宋_GB2312"/>
          <w:sz w:val="32"/>
          <w:szCs w:val="32"/>
        </w:rPr>
        <w:t>年</w:t>
      </w:r>
      <w:r>
        <w:rPr>
          <w:rFonts w:ascii="仿宋_GB2312" w:hAnsi="Times New Roman"/>
          <w:sz w:val="32"/>
          <w:szCs w:val="32"/>
        </w:rPr>
        <w:t>12</w:t>
      </w:r>
      <w:r>
        <w:rPr>
          <w:rFonts w:ascii="仿宋_GB2312" w:hAnsi="仿宋_GB2312"/>
          <w:sz w:val="32"/>
          <w:szCs w:val="32"/>
        </w:rPr>
        <w:t>月</w:t>
      </w:r>
      <w:r>
        <w:rPr>
          <w:rFonts w:ascii="仿宋_GB2312" w:hAnsi="Times New Roman"/>
          <w:sz w:val="32"/>
          <w:szCs w:val="32"/>
        </w:rPr>
        <w:t>31</w:t>
      </w:r>
      <w:r>
        <w:rPr>
          <w:rFonts w:ascii="仿宋_GB2312" w:hAnsi="仿宋_GB2312"/>
          <w:sz w:val="32"/>
          <w:szCs w:val="32"/>
        </w:rPr>
        <w:t>日，本部门共有车辆</w:t>
      </w:r>
      <w:r>
        <w:rPr>
          <w:rFonts w:ascii="仿宋_GB2312" w:hAnsi="Times New Roman"/>
          <w:sz w:val="32"/>
          <w:szCs w:val="32"/>
        </w:rPr>
        <w:t>26</w:t>
      </w:r>
      <w:r>
        <w:rPr>
          <w:rFonts w:ascii="仿宋_GB2312" w:hAnsi="仿宋_GB2312"/>
          <w:sz w:val="32"/>
          <w:szCs w:val="32"/>
        </w:rPr>
        <w:t>辆，其中，副部（省）级及以上领导用车</w:t>
      </w:r>
      <w:r>
        <w:rPr>
          <w:rFonts w:ascii="仿宋_GB2312" w:hAnsi="Times New Roman"/>
          <w:sz w:val="32"/>
          <w:szCs w:val="32"/>
        </w:rPr>
        <w:t>0</w:t>
      </w:r>
      <w:r>
        <w:rPr>
          <w:rFonts w:ascii="仿宋_GB2312" w:hAnsi="仿宋_GB2312"/>
          <w:sz w:val="32"/>
          <w:szCs w:val="32"/>
        </w:rPr>
        <w:t>辆</w:t>
      </w:r>
      <w:r>
        <w:rPr>
          <w:rFonts w:ascii="仿宋_GB2312" w:hAnsi="Times New Roman"/>
          <w:sz w:val="32"/>
          <w:szCs w:val="32"/>
        </w:rPr>
        <w:t>,</w:t>
      </w:r>
      <w:r>
        <w:rPr>
          <w:rFonts w:ascii="仿宋_GB2312" w:hAnsi="仿宋_GB2312"/>
          <w:sz w:val="32"/>
          <w:szCs w:val="32"/>
        </w:rPr>
        <w:t>主要领导干部用车</w:t>
      </w:r>
      <w:r>
        <w:rPr>
          <w:rFonts w:ascii="仿宋_GB2312" w:hAnsi="Times New Roman"/>
          <w:sz w:val="32"/>
          <w:szCs w:val="32"/>
        </w:rPr>
        <w:t>18</w:t>
      </w:r>
      <w:r>
        <w:rPr>
          <w:rFonts w:ascii="仿宋_GB2312" w:hAnsi="仿宋_GB2312"/>
          <w:sz w:val="32"/>
          <w:szCs w:val="32"/>
        </w:rPr>
        <w:t>辆，主要用于：</w:t>
      </w:r>
      <w:r>
        <w:rPr>
          <w:rFonts w:ascii="仿宋_GB2312" w:hAnsi="仿宋_GB2312"/>
          <w:color w:val="000000"/>
          <w:sz w:val="32"/>
          <w:szCs w:val="32"/>
        </w:rPr>
        <w:t>本单位主要业务工作用车</w:t>
      </w:r>
      <w:r>
        <w:rPr>
          <w:rFonts w:ascii="仿宋_GB2312" w:hAnsi="Times New Roman"/>
          <w:color w:val="000000"/>
          <w:sz w:val="32"/>
          <w:szCs w:val="32"/>
        </w:rPr>
        <w:t>;</w:t>
      </w:r>
      <w:r>
        <w:rPr>
          <w:rFonts w:ascii="仿宋_GB2312" w:hAnsi="仿宋_GB2312"/>
          <w:sz w:val="32"/>
          <w:szCs w:val="32"/>
        </w:rPr>
        <w:t>机要通信用车</w:t>
      </w:r>
      <w:r>
        <w:rPr>
          <w:rFonts w:ascii="仿宋_GB2312" w:hAnsi="Times New Roman"/>
          <w:sz w:val="32"/>
          <w:szCs w:val="32"/>
        </w:rPr>
        <w:t>0</w:t>
      </w:r>
      <w:r>
        <w:rPr>
          <w:rFonts w:ascii="仿宋_GB2312" w:hAnsi="仿宋_GB2312"/>
          <w:sz w:val="32"/>
          <w:szCs w:val="32"/>
        </w:rPr>
        <w:t>辆</w:t>
      </w:r>
      <w:r>
        <w:rPr>
          <w:rFonts w:ascii="仿宋_GB2312" w:hAnsi="Times New Roman"/>
          <w:color w:val="000000"/>
          <w:sz w:val="32"/>
          <w:szCs w:val="32"/>
        </w:rPr>
        <w:t>;</w:t>
      </w:r>
      <w:r>
        <w:rPr>
          <w:rFonts w:ascii="仿宋_GB2312" w:hAnsi="仿宋_GB2312"/>
          <w:color w:val="000000"/>
          <w:sz w:val="32"/>
          <w:szCs w:val="32"/>
        </w:rPr>
        <w:t>应急保障</w:t>
      </w:r>
      <w:r>
        <w:rPr>
          <w:rFonts w:ascii="仿宋_GB2312" w:hAnsi="仿宋_GB2312"/>
          <w:sz w:val="32"/>
          <w:szCs w:val="32"/>
        </w:rPr>
        <w:t>用车</w:t>
      </w:r>
      <w:r>
        <w:rPr>
          <w:rFonts w:ascii="仿宋_GB2312" w:hAnsi="Times New Roman"/>
          <w:sz w:val="32"/>
          <w:szCs w:val="32"/>
        </w:rPr>
        <w:t>0</w:t>
      </w:r>
      <w:r>
        <w:rPr>
          <w:rFonts w:ascii="仿宋_GB2312" w:hAnsi="仿宋_GB2312"/>
          <w:sz w:val="32"/>
          <w:szCs w:val="32"/>
        </w:rPr>
        <w:t>辆</w:t>
      </w:r>
      <w:r>
        <w:rPr>
          <w:rFonts w:ascii="仿宋_GB2312" w:hAnsi="Times New Roman"/>
          <w:color w:val="000000"/>
          <w:sz w:val="32"/>
          <w:szCs w:val="32"/>
        </w:rPr>
        <w:t>;</w:t>
      </w:r>
      <w:r>
        <w:rPr>
          <w:rFonts w:ascii="仿宋_GB2312" w:hAnsi="仿宋_GB2312"/>
          <w:sz w:val="32"/>
          <w:szCs w:val="32"/>
        </w:rPr>
        <w:t>执法执勤用车</w:t>
      </w:r>
      <w:r>
        <w:rPr>
          <w:rFonts w:ascii="仿宋_GB2312" w:hAnsi="Times New Roman"/>
          <w:sz w:val="32"/>
          <w:szCs w:val="32"/>
        </w:rPr>
        <w:t>1</w:t>
      </w:r>
      <w:r>
        <w:rPr>
          <w:rFonts w:ascii="仿宋_GB2312" w:hAnsi="仿宋_GB2312"/>
          <w:sz w:val="32"/>
          <w:szCs w:val="32"/>
        </w:rPr>
        <w:t>辆，主要用于：</w:t>
      </w:r>
      <w:r>
        <w:rPr>
          <w:rFonts w:ascii="仿宋_GB2312" w:hAnsi="仿宋_GB2312"/>
          <w:color w:val="000000"/>
          <w:sz w:val="32"/>
          <w:szCs w:val="32"/>
        </w:rPr>
        <w:t>本单位主要业务工作用车</w:t>
      </w:r>
      <w:r>
        <w:rPr>
          <w:rFonts w:ascii="仿宋_GB2312" w:hAnsi="仿宋_GB2312"/>
          <w:sz w:val="32"/>
          <w:szCs w:val="32"/>
        </w:rPr>
        <w:t>；特种专业技术用车</w:t>
      </w:r>
      <w:r>
        <w:rPr>
          <w:rFonts w:ascii="仿宋_GB2312" w:hAnsi="Times New Roman"/>
          <w:sz w:val="32"/>
          <w:szCs w:val="32"/>
        </w:rPr>
        <w:t>0</w:t>
      </w:r>
      <w:r>
        <w:rPr>
          <w:rFonts w:ascii="仿宋_GB2312" w:hAnsi="仿宋_GB2312"/>
          <w:sz w:val="32"/>
          <w:szCs w:val="32"/>
        </w:rPr>
        <w:t>辆；离退休干部用车</w:t>
      </w:r>
      <w:r>
        <w:rPr>
          <w:rFonts w:ascii="仿宋_GB2312" w:hAnsi="Times New Roman"/>
          <w:sz w:val="32"/>
          <w:szCs w:val="32"/>
        </w:rPr>
        <w:t>0</w:t>
      </w:r>
      <w:r>
        <w:rPr>
          <w:rFonts w:ascii="仿宋_GB2312" w:hAnsi="仿宋_GB2312"/>
          <w:sz w:val="32"/>
          <w:szCs w:val="32"/>
        </w:rPr>
        <w:t>辆；其他用车</w:t>
      </w:r>
      <w:r>
        <w:rPr>
          <w:rFonts w:ascii="仿宋_GB2312" w:hAnsi="Times New Roman"/>
          <w:sz w:val="32"/>
          <w:szCs w:val="32"/>
        </w:rPr>
        <w:t>7</w:t>
      </w:r>
      <w:r>
        <w:rPr>
          <w:rFonts w:ascii="仿宋_GB2312" w:hAnsi="仿宋_GB2312"/>
          <w:sz w:val="32"/>
          <w:szCs w:val="32"/>
        </w:rPr>
        <w:t>辆，主要用于</w:t>
      </w:r>
      <w:r>
        <w:rPr>
          <w:rFonts w:ascii="仿宋_GB2312" w:hAnsi="仿宋_GB2312"/>
          <w:color w:val="000000"/>
          <w:sz w:val="32"/>
          <w:szCs w:val="32"/>
        </w:rPr>
        <w:t>本单位主要业务工作用车</w:t>
      </w:r>
      <w:r>
        <w:rPr>
          <w:rFonts w:ascii="仿宋_GB2312" w:hAnsi="仿宋_GB2312"/>
          <w:sz w:val="32"/>
          <w:szCs w:val="32"/>
        </w:rPr>
        <w:t>。单位价值</w:t>
      </w:r>
      <w:r>
        <w:rPr>
          <w:rFonts w:ascii="仿宋_GB2312" w:hAnsi="Times New Roman"/>
          <w:sz w:val="32"/>
          <w:szCs w:val="32"/>
        </w:rPr>
        <w:t>50</w:t>
      </w:r>
      <w:r>
        <w:rPr>
          <w:rFonts w:ascii="仿宋_GB2312" w:hAnsi="仿宋_GB2312"/>
          <w:sz w:val="32"/>
          <w:szCs w:val="32"/>
        </w:rPr>
        <w:t>万元以上通用设备</w:t>
      </w:r>
      <w:r>
        <w:rPr>
          <w:rFonts w:ascii="仿宋_GB2312" w:hAnsi="Times New Roman"/>
          <w:sz w:val="32"/>
          <w:szCs w:val="32"/>
        </w:rPr>
        <w:t>0</w:t>
      </w:r>
      <w:r>
        <w:rPr>
          <w:rFonts w:ascii="仿宋_GB2312" w:hAnsi="仿宋_GB2312"/>
          <w:sz w:val="32"/>
          <w:szCs w:val="32"/>
        </w:rPr>
        <w:t>台（套），比</w:t>
      </w:r>
      <w:r>
        <w:rPr>
          <w:rFonts w:ascii="仿宋_GB2312" w:hAnsi="Times New Roman"/>
          <w:sz w:val="32"/>
          <w:szCs w:val="32"/>
        </w:rPr>
        <w:t>2017</w:t>
      </w:r>
      <w:r>
        <w:rPr>
          <w:rFonts w:ascii="仿宋_GB2312" w:hAnsi="仿宋_GB2312"/>
          <w:sz w:val="32"/>
          <w:szCs w:val="32"/>
        </w:rPr>
        <w:t>年无增加或减少</w:t>
      </w:r>
      <w:r>
        <w:rPr>
          <w:rFonts w:ascii="仿宋_GB2312" w:hAnsi="Times New Roman"/>
          <w:sz w:val="32"/>
          <w:szCs w:val="32"/>
        </w:rPr>
        <w:t>0.00</w:t>
      </w:r>
      <w:r>
        <w:rPr>
          <w:rFonts w:ascii="仿宋_GB2312" w:hAnsi="仿宋_GB2312"/>
          <w:sz w:val="32"/>
          <w:szCs w:val="32"/>
        </w:rPr>
        <w:t>台（套），单位价值</w:t>
      </w:r>
      <w:r>
        <w:rPr>
          <w:rFonts w:ascii="仿宋_GB2312" w:hAnsi="Times New Roman"/>
          <w:sz w:val="32"/>
          <w:szCs w:val="32"/>
        </w:rPr>
        <w:t>100</w:t>
      </w:r>
      <w:r>
        <w:rPr>
          <w:rFonts w:ascii="仿宋_GB2312" w:hAnsi="仿宋_GB2312"/>
          <w:sz w:val="32"/>
          <w:szCs w:val="32"/>
        </w:rPr>
        <w:t>万元以上专用设备</w:t>
      </w:r>
      <w:r>
        <w:rPr>
          <w:rFonts w:ascii="仿宋_GB2312" w:hAnsi="Times New Roman"/>
          <w:sz w:val="32"/>
          <w:szCs w:val="32"/>
        </w:rPr>
        <w:t>0</w:t>
      </w:r>
      <w:r>
        <w:rPr>
          <w:rFonts w:ascii="仿宋_GB2312" w:hAnsi="仿宋_GB2312"/>
          <w:sz w:val="32"/>
          <w:szCs w:val="32"/>
        </w:rPr>
        <w:t>台（套），比</w:t>
      </w:r>
      <w:r>
        <w:rPr>
          <w:rFonts w:ascii="仿宋_GB2312" w:hAnsi="Times New Roman"/>
          <w:sz w:val="32"/>
          <w:szCs w:val="32"/>
        </w:rPr>
        <w:t>2017</w:t>
      </w:r>
      <w:r>
        <w:rPr>
          <w:rFonts w:ascii="仿宋_GB2312" w:hAnsi="仿宋_GB2312"/>
          <w:sz w:val="32"/>
          <w:szCs w:val="32"/>
        </w:rPr>
        <w:t>年无增加或减少</w:t>
      </w:r>
      <w:r>
        <w:rPr>
          <w:rFonts w:ascii="仿宋_GB2312" w:hAnsi="Times New Roman"/>
          <w:sz w:val="32"/>
          <w:szCs w:val="32"/>
        </w:rPr>
        <w:t>0.00</w:t>
      </w:r>
      <w:r>
        <w:rPr>
          <w:rFonts w:ascii="仿宋_GB2312" w:hAnsi="仿宋_GB2312"/>
          <w:sz w:val="32"/>
          <w:szCs w:val="32"/>
        </w:rPr>
        <w:t>台</w:t>
      </w:r>
      <w:r>
        <w:rPr>
          <w:rFonts w:ascii="仿宋_GB2312" w:hAnsi="仿宋_GB2312"/>
          <w:color w:val="000000"/>
          <w:sz w:val="32"/>
          <w:szCs w:val="32"/>
        </w:rPr>
        <w:t>（套）。</w:t>
      </w:r>
    </w:p>
    <w:p>
      <w:pPr>
        <w:adjustRightInd w:val="0"/>
        <w:spacing w:before="100" w:beforeAutospacing="1" w:after="100" w:afterAutospacing="1" w:line="580" w:lineRule="exact"/>
        <w:ind w:firstLine="600"/>
      </w:pPr>
      <w:r>
        <w:rPr>
          <w:rFonts w:ascii="仿宋_GB2312" w:hAnsi="仿宋_GB2312"/>
          <w:sz w:val="32"/>
          <w:szCs w:val="32"/>
        </w:rPr>
        <w:t>（四）预算绩效管理工作开展情况</w:t>
      </w:r>
    </w:p>
    <w:p>
      <w:pPr>
        <w:adjustRightInd w:val="0"/>
        <w:spacing w:before="100" w:beforeAutospacing="1" w:after="100" w:afterAutospacing="1" w:line="580" w:lineRule="exact"/>
        <w:ind w:firstLine="600"/>
      </w:pPr>
      <w:r>
        <w:rPr>
          <w:rFonts w:ascii="仿宋_GB2312" w:hAnsi="仿宋"/>
          <w:sz w:val="32"/>
          <w:szCs w:val="32"/>
        </w:rPr>
        <w:t>2018</w:t>
      </w:r>
      <w:r>
        <w:rPr>
          <w:rFonts w:ascii="仿宋_GB2312" w:hAnsi="仿宋_GB2312"/>
          <w:sz w:val="32"/>
          <w:szCs w:val="32"/>
        </w:rPr>
        <w:t>年本单位未开展绩效评价。</w:t>
      </w:r>
      <w:r>
        <w:rPr>
          <w:rFonts w:ascii="Times New Roman" w:hAnsi="Times New Roman" w:eastAsia="仿宋_GB2312" w:cs="Times New Roman"/>
          <w:sz w:val="32"/>
          <w:szCs w:val="32"/>
        </w:rPr>
        <w:t xml:space="preserve"> </w:t>
      </w:r>
    </w:p>
    <w:p>
      <w:pPr>
        <w:adjustRightInd w:val="0"/>
        <w:spacing w:before="100" w:beforeAutospacing="1" w:after="100" w:afterAutospacing="1" w:line="580" w:lineRule="exact"/>
        <w:ind w:firstLine="600"/>
      </w:pPr>
      <w:r>
        <w:rPr>
          <w:rFonts w:ascii="仿宋_GB2312" w:hAnsi="仿宋_GB2312"/>
          <w:b/>
          <w:bCs/>
          <w:sz w:val="32"/>
          <w:szCs w:val="32"/>
        </w:rPr>
        <w:t>第三部分</w:t>
      </w:r>
      <w:r>
        <w:rPr>
          <w:rFonts w:ascii="仿宋_GB2312" w:hAnsi="Times New Roman"/>
          <w:b/>
          <w:bCs/>
          <w:sz w:val="32"/>
          <w:szCs w:val="32"/>
        </w:rPr>
        <w:t xml:space="preserve"> </w:t>
      </w:r>
      <w:r>
        <w:rPr>
          <w:rFonts w:ascii="仿宋_GB2312" w:hAnsi="仿宋_GB2312"/>
          <w:b/>
          <w:bCs/>
          <w:sz w:val="32"/>
          <w:szCs w:val="32"/>
        </w:rPr>
        <w:t>名词解释</w:t>
      </w:r>
    </w:p>
    <w:p>
      <w:pPr>
        <w:adjustRightInd w:val="0"/>
        <w:spacing w:before="100" w:beforeAutospacing="1" w:after="100" w:afterAutospacing="1" w:line="580" w:lineRule="exact"/>
        <w:ind w:firstLine="600"/>
      </w:pPr>
      <w:r>
        <w:rPr>
          <w:rFonts w:ascii="仿宋_GB2312" w:hAnsi="仿宋_GB2312"/>
          <w:sz w:val="32"/>
          <w:szCs w:val="32"/>
        </w:rPr>
        <w:t>（一）财政拨款收入：指本年度从本级财政部门取得的财政拨款，包括一般公共预算财政拨款和政府性基金预算财政拨款。</w:t>
      </w:r>
    </w:p>
    <w:p>
      <w:pPr>
        <w:adjustRightInd w:val="0"/>
        <w:spacing w:before="100" w:beforeAutospacing="1" w:after="100" w:afterAutospacing="1" w:line="580" w:lineRule="exact"/>
        <w:ind w:firstLine="600"/>
      </w:pPr>
      <w:r>
        <w:rPr>
          <w:rFonts w:ascii="仿宋_GB2312" w:hAnsi="仿宋_GB2312"/>
          <w:sz w:val="32"/>
          <w:szCs w:val="32"/>
        </w:rPr>
        <w:t>（二）事业收入：指事业单位开展专业业务活动及其辅助活动取得的收入；事业单位收到的财政专户实际核拨的教育收费等资金在此反映。</w:t>
      </w:r>
    </w:p>
    <w:p>
      <w:pPr>
        <w:adjustRightInd w:val="0"/>
        <w:spacing w:before="100" w:beforeAutospacing="1" w:after="100" w:afterAutospacing="1" w:line="580" w:lineRule="exact"/>
        <w:ind w:firstLine="600"/>
      </w:pPr>
      <w:r>
        <w:rPr>
          <w:rFonts w:ascii="仿宋_GB2312" w:hAnsi="仿宋_GB2312"/>
          <w:sz w:val="32"/>
          <w:szCs w:val="32"/>
        </w:rPr>
        <w:t>（三）经营收入：指事业单位在专业业务活动及其辅助活动之外开展非独立核算经营活动取得的收入。</w:t>
      </w:r>
    </w:p>
    <w:p>
      <w:pPr>
        <w:adjustRightInd w:val="0"/>
        <w:spacing w:before="100" w:beforeAutospacing="1" w:after="100" w:afterAutospacing="1" w:line="580" w:lineRule="exact"/>
        <w:ind w:firstLine="600"/>
      </w:pPr>
      <w:r>
        <w:rPr>
          <w:rFonts w:ascii="仿宋_GB2312" w:hAnsi="仿宋_GB2312"/>
          <w:sz w:val="32"/>
          <w:szCs w:val="32"/>
        </w:rPr>
        <w:t>（四）其他收入：指单位取得的除</w:t>
      </w:r>
      <w:r>
        <w:rPr>
          <w:rFonts w:ascii="仿宋_GB2312" w:hAnsi="Times New Roman"/>
          <w:sz w:val="32"/>
          <w:szCs w:val="32"/>
        </w:rPr>
        <w:t>“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adjustRightInd w:val="0"/>
        <w:spacing w:before="100" w:beforeAutospacing="1" w:after="100" w:afterAutospacing="1" w:line="580" w:lineRule="exact"/>
        <w:ind w:firstLine="600"/>
      </w:pPr>
      <w:r>
        <w:rPr>
          <w:rFonts w:ascii="仿宋_GB2312" w:hAnsi="仿宋_GB2312"/>
          <w:sz w:val="32"/>
          <w:szCs w:val="32"/>
        </w:rPr>
        <w:t>（五）用事业基金弥补收支差额：指事业单位在当年的</w:t>
      </w:r>
      <w:r>
        <w:rPr>
          <w:rFonts w:ascii="仿宋_GB2312" w:hAnsi="Times New Roman"/>
          <w:sz w:val="32"/>
          <w:szCs w:val="32"/>
        </w:rPr>
        <w:t>“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adjustRightInd w:val="0"/>
        <w:spacing w:before="100" w:beforeAutospacing="1" w:after="100" w:afterAutospacing="1" w:line="580" w:lineRule="exact"/>
        <w:ind w:firstLine="600"/>
      </w:pPr>
      <w:r>
        <w:rPr>
          <w:rFonts w:ascii="仿宋_GB2312" w:hAnsi="仿宋_GB2312"/>
          <w:sz w:val="32"/>
          <w:szCs w:val="32"/>
        </w:rPr>
        <w:t>（六）年初结转和结余：指单位上年结转本年使用的基本支出结转、项目支出结转和结余、经营结余。不包括事业单位净资产项下的事业基金和专用基金。</w:t>
      </w:r>
    </w:p>
    <w:p>
      <w:pPr>
        <w:adjustRightInd w:val="0"/>
        <w:spacing w:before="100" w:beforeAutospacing="1" w:after="100" w:afterAutospacing="1" w:line="580" w:lineRule="exact"/>
        <w:ind w:firstLine="600"/>
      </w:pPr>
      <w:r>
        <w:rPr>
          <w:rFonts w:ascii="仿宋_GB2312" w:hAnsi="仿宋_GB2312"/>
          <w:sz w:val="32"/>
          <w:szCs w:val="32"/>
        </w:rPr>
        <w:t>（七）结余分配：指单位当年结余的分配情况。根据《关于事业单位提取专用基金比例问题的通知》（财教</w:t>
      </w:r>
      <w:r>
        <w:rPr>
          <w:rFonts w:ascii="仿宋_GB2312" w:hAnsi="Times New Roman"/>
          <w:sz w:val="32"/>
          <w:szCs w:val="32"/>
        </w:rPr>
        <w:t>[2012]32</w:t>
      </w:r>
      <w:r>
        <w:rPr>
          <w:rFonts w:ascii="仿宋_GB2312" w:hAnsi="仿宋_GB2312"/>
          <w:sz w:val="32"/>
          <w:szCs w:val="32"/>
        </w:rPr>
        <w:t>号）规定，事业单位职工福利基金的提取比例，在单位年度非财政拨款结余的</w:t>
      </w:r>
      <w:r>
        <w:rPr>
          <w:rFonts w:ascii="仿宋_GB2312" w:hAnsi="Times New Roman"/>
          <w:sz w:val="32"/>
          <w:szCs w:val="32"/>
        </w:rPr>
        <w:t>40%</w:t>
      </w:r>
      <w:r>
        <w:rPr>
          <w:rFonts w:ascii="仿宋_GB2312" w:hAnsi="仿宋_GB2312"/>
          <w:sz w:val="32"/>
          <w:szCs w:val="32"/>
        </w:rPr>
        <w:t>以内确定，国家另有规定的从其规定。</w:t>
      </w:r>
    </w:p>
    <w:p>
      <w:pPr>
        <w:adjustRightInd w:val="0"/>
        <w:spacing w:before="100" w:beforeAutospacing="1" w:after="100" w:afterAutospacing="1" w:line="580" w:lineRule="exact"/>
        <w:ind w:firstLine="600"/>
      </w:pPr>
      <w:r>
        <w:rPr>
          <w:rFonts w:ascii="仿宋_GB2312" w:hAnsi="仿宋_GB2312"/>
          <w:sz w:val="32"/>
          <w:szCs w:val="32"/>
        </w:rPr>
        <w:t>（八）年末结转和结余：指单位结转下年的基本支出结转、项目支出结转和结余、经营结余。不包括事业单位净资产项下的事业基金和专用基金。</w:t>
      </w:r>
    </w:p>
    <w:p>
      <w:pPr>
        <w:adjustRightInd w:val="0"/>
        <w:spacing w:before="100" w:beforeAutospacing="1" w:after="100" w:afterAutospacing="1" w:line="580" w:lineRule="exact"/>
        <w:ind w:firstLine="600"/>
      </w:pPr>
      <w:r>
        <w:rPr>
          <w:rFonts w:ascii="仿宋_GB2312" w:hAnsi="仿宋_GB2312"/>
          <w:sz w:val="32"/>
          <w:szCs w:val="32"/>
        </w:rPr>
        <w:t>（九）基本支出：指为保障机构正常运转、完成日常工作任务而发生的人员经费和公用经费。其中：人员经费指政府收支分类经济科目中的</w:t>
      </w:r>
      <w:r>
        <w:rPr>
          <w:rFonts w:ascii="仿宋_GB2312" w:hAnsi="Times New Roman"/>
          <w:sz w:val="32"/>
          <w:szCs w:val="32"/>
        </w:rPr>
        <w:t>“工资福利支出”和“对个人和家庭的补助”；公用经费指政府收支分类经济科目中除“工资福利支出”和“对个人和家庭的补助”外的其他支出。</w:t>
      </w:r>
    </w:p>
    <w:p>
      <w:pPr>
        <w:adjustRightInd w:val="0"/>
        <w:spacing w:before="100" w:beforeAutospacing="1" w:after="100" w:afterAutospacing="1" w:line="580" w:lineRule="exact"/>
        <w:ind w:firstLine="600"/>
      </w:pPr>
      <w:r>
        <w:rPr>
          <w:rFonts w:ascii="仿宋_GB2312" w:hAnsi="仿宋_GB2312"/>
          <w:sz w:val="32"/>
          <w:szCs w:val="32"/>
        </w:rPr>
        <w:t>（十）项目支出：指在基本支出之外为完成特定行政任务和事业发展目标所发生的支出。</w:t>
      </w:r>
    </w:p>
    <w:p>
      <w:pPr>
        <w:adjustRightInd w:val="0"/>
        <w:spacing w:before="100" w:beforeAutospacing="1" w:after="100" w:afterAutospacing="1" w:line="580" w:lineRule="exact"/>
        <w:ind w:firstLine="600"/>
      </w:pPr>
      <w:r>
        <w:rPr>
          <w:rFonts w:ascii="仿宋_GB2312" w:hAnsi="仿宋_GB2312"/>
          <w:sz w:val="32"/>
          <w:szCs w:val="32"/>
        </w:rPr>
        <w:t>（十一）经营支出：指事业单位在专业业务活动及其辅助活动之外开展非独立核算经营活动发生的支出。</w:t>
      </w:r>
    </w:p>
    <w:p>
      <w:pPr>
        <w:adjustRightInd w:val="0"/>
        <w:spacing w:before="100" w:beforeAutospacing="1" w:after="100" w:afterAutospacing="1" w:line="580" w:lineRule="exact"/>
        <w:ind w:firstLine="600"/>
      </w:pPr>
      <w:r>
        <w:rPr>
          <w:rFonts w:ascii="仿宋_GB2312" w:hAnsi="仿宋_GB2312"/>
          <w:sz w:val="32"/>
          <w:szCs w:val="32"/>
        </w:rPr>
        <w:t>（十二）</w:t>
      </w:r>
      <w:r>
        <w:rPr>
          <w:rFonts w:ascii="仿宋_GB2312" w:hAnsi="Times New Roman"/>
          <w:sz w:val="32"/>
          <w:szCs w:val="32"/>
        </w:rPr>
        <w:t>“</w:t>
      </w:r>
      <w:r>
        <w:rPr>
          <w:rFonts w:ascii="仿宋_GB2312" w:hAnsi="仿宋_GB2312"/>
          <w:sz w:val="32"/>
          <w:szCs w:val="32"/>
        </w:rPr>
        <w:t>三公</w:t>
      </w:r>
      <w:r>
        <w:rPr>
          <w:rFonts w:ascii="仿宋_GB2312" w:hAnsi="Times New Roman"/>
          <w:sz w:val="32"/>
          <w:szCs w:val="32"/>
        </w:rPr>
        <w:t>”</w:t>
      </w:r>
      <w:r>
        <w:rPr>
          <w:rFonts w:ascii="仿宋_GB2312" w:hAnsi="仿宋_GB2312"/>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pacing w:before="100" w:beforeAutospacing="1" w:after="100" w:afterAutospacing="1" w:line="580" w:lineRule="exact"/>
        <w:ind w:firstLine="600"/>
      </w:pPr>
      <w:r>
        <w:rPr>
          <w:rFonts w:ascii="仿宋_GB2312" w:hAnsi="仿宋_GB2312"/>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adjustRightInd w:val="0"/>
        <w:spacing w:before="100" w:beforeAutospacing="1" w:after="100" w:afterAutospacing="1" w:line="580" w:lineRule="exact"/>
        <w:ind w:firstLine="600"/>
      </w:pPr>
      <w:r>
        <w:rPr>
          <w:rFonts w:ascii="仿宋_GB2312" w:hAnsi="仿宋_GB2312"/>
          <w:sz w:val="32"/>
          <w:szCs w:val="32"/>
        </w:rPr>
        <w:t>（十四）工资福利支出（支出经济分类科目类级）：反映单位开支的在职职工和编制外长期聘用人员的各类劳动报酬，以及为上述人员缴纳的各项社会保险费等。</w:t>
      </w:r>
    </w:p>
    <w:p>
      <w:pPr>
        <w:adjustRightInd w:val="0"/>
        <w:spacing w:before="100" w:beforeAutospacing="1" w:after="100" w:afterAutospacing="1" w:line="580" w:lineRule="exact"/>
        <w:ind w:firstLine="600"/>
      </w:pPr>
      <w:r>
        <w:rPr>
          <w:rFonts w:ascii="仿宋_GB2312" w:hAnsi="仿宋_GB2312"/>
          <w:sz w:val="32"/>
          <w:szCs w:val="32"/>
        </w:rPr>
        <w:t>（十五）商品和服务支出（支出经济分类科目类级）：反映单位购买商品和服务的支出（不包括用于购置固定资产的支出、战略性和应急储备支出）。</w:t>
      </w:r>
    </w:p>
    <w:p>
      <w:pPr>
        <w:adjustRightInd w:val="0"/>
        <w:spacing w:before="100" w:beforeAutospacing="1" w:after="100" w:afterAutospacing="1" w:line="580" w:lineRule="exact"/>
        <w:ind w:firstLine="600"/>
      </w:pPr>
      <w:r>
        <w:rPr>
          <w:rFonts w:ascii="仿宋_GB2312" w:hAnsi="仿宋_GB2312"/>
          <w:sz w:val="32"/>
          <w:szCs w:val="32"/>
        </w:rPr>
        <w:t>（十六）对个人和家庭的补助（支出经济分类科目类级）：反映用于对个人和家庭的补助支出。</w:t>
      </w:r>
    </w:p>
    <w:p>
      <w:pPr>
        <w:adjustRightInd w:val="0"/>
        <w:spacing w:before="100" w:beforeAutospacing="1" w:after="100" w:afterAutospacing="1" w:line="580" w:lineRule="exact"/>
        <w:ind w:firstLine="600"/>
      </w:pPr>
      <w:r>
        <w:rPr>
          <w:rFonts w:ascii="仿宋_GB2312" w:hAnsi="仿宋_GB2312"/>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adjustRightInd w:val="0"/>
        <w:spacing w:before="100" w:beforeAutospacing="1" w:after="100" w:afterAutospacing="1" w:line="580" w:lineRule="exact"/>
        <w:ind w:firstLine="600"/>
      </w:pPr>
      <w:r>
        <w:rPr>
          <w:rFonts w:ascii="Times New Roman" w:hAnsi="Times New Roman" w:eastAsia="仿宋_GB2312" w:cs="Times New Roman"/>
          <w:sz w:val="32"/>
          <w:szCs w:val="32"/>
        </w:rPr>
        <w:t xml:space="preserve"> </w:t>
      </w:r>
    </w:p>
    <w:p>
      <w:pPr>
        <w:adjustRightInd w:val="0"/>
        <w:spacing w:before="100" w:beforeAutospacing="1" w:after="100" w:afterAutospacing="1" w:line="580" w:lineRule="exact"/>
        <w:ind w:firstLine="600"/>
      </w:pPr>
      <w:r>
        <w:rPr>
          <w:rFonts w:ascii="仿宋_GB2312" w:hAnsi="仿宋_GB2312"/>
          <w:b/>
          <w:bCs/>
          <w:sz w:val="32"/>
          <w:szCs w:val="32"/>
        </w:rPr>
        <w:t>第四部分</w:t>
      </w:r>
      <w:r>
        <w:rPr>
          <w:rFonts w:ascii="仿宋_GB2312" w:hAnsi="Times New Roman"/>
          <w:b/>
          <w:bCs/>
          <w:sz w:val="32"/>
          <w:szCs w:val="32"/>
        </w:rPr>
        <w:t xml:space="preserve"> </w:t>
      </w:r>
      <w:r>
        <w:rPr>
          <w:rFonts w:ascii="仿宋_GB2312" w:hAnsi="仿宋_GB2312"/>
          <w:b/>
          <w:bCs/>
          <w:sz w:val="32"/>
          <w:szCs w:val="32"/>
        </w:rPr>
        <w:t>决算公开联系方式及信息反馈渠道</w:t>
      </w:r>
    </w:p>
    <w:p>
      <w:pPr>
        <w:adjustRightInd w:val="0"/>
        <w:spacing w:before="100" w:beforeAutospacing="1" w:after="100" w:afterAutospacing="1" w:line="580" w:lineRule="exact"/>
        <w:ind w:firstLine="600"/>
      </w:pPr>
      <w:r>
        <w:rPr>
          <w:rFonts w:ascii="仿宋_GB2312" w:hAnsi="仿宋_GB2312"/>
          <w:sz w:val="32"/>
          <w:szCs w:val="32"/>
        </w:rPr>
        <w:t>本单位决算公开信息反馈和联系方式：</w:t>
      </w:r>
    </w:p>
    <w:p>
      <w:pPr>
        <w:adjustRightInd w:val="0"/>
        <w:spacing w:before="100" w:beforeAutospacing="1" w:after="100" w:afterAutospacing="1" w:line="580" w:lineRule="exact"/>
        <w:ind w:firstLine="600"/>
      </w:pPr>
      <w:r>
        <w:rPr>
          <w:rFonts w:ascii="仿宋_GB2312" w:hAnsi="仿宋_GB2312"/>
          <w:sz w:val="32"/>
          <w:szCs w:val="32"/>
        </w:rPr>
        <w:t>联系人：马春梅</w:t>
      </w:r>
      <w:r>
        <w:rPr>
          <w:rFonts w:ascii="仿宋_GB2312" w:hAnsi="Times New Roman"/>
          <w:sz w:val="32"/>
          <w:szCs w:val="32"/>
        </w:rPr>
        <w:t xml:space="preserve">      </w:t>
      </w:r>
      <w:r>
        <w:rPr>
          <w:rFonts w:ascii="仿宋_GB2312" w:hAnsi="仿宋_GB2312"/>
          <w:sz w:val="32"/>
          <w:szCs w:val="32"/>
        </w:rPr>
        <w:t>联系电话：</w:t>
      </w:r>
      <w:r>
        <w:rPr>
          <w:rFonts w:ascii="仿宋_GB2312" w:hAnsi="Times New Roman"/>
          <w:sz w:val="32"/>
          <w:szCs w:val="32"/>
        </w:rPr>
        <w:t>0477-6622105</w:t>
      </w:r>
    </w:p>
    <w:p>
      <w:pPr>
        <w:adjustRightInd w:val="0"/>
        <w:spacing w:before="100" w:beforeAutospacing="1" w:after="100" w:afterAutospacing="1" w:line="580" w:lineRule="exact"/>
        <w:ind w:firstLine="600"/>
      </w:pPr>
      <w:r>
        <w:rPr>
          <w:rFonts w:ascii="Times New Roman" w:hAnsi="Times New Roman" w:eastAsia="仿宋_GB2312" w:cs="Times New Roman"/>
          <w:sz w:val="32"/>
          <w:szCs w:val="32"/>
        </w:rPr>
        <w:t xml:space="preserve"> </w:t>
      </w:r>
    </w:p>
    <w:p>
      <w:pPr>
        <w:adjustRightInd w:val="0"/>
        <w:spacing w:before="100" w:beforeAutospacing="1" w:after="100" w:afterAutospacing="1"/>
      </w:pPr>
      <w:r>
        <w:rPr>
          <w:rFonts w:ascii="Times New Roman" w:hAnsi="Times New Roman" w:eastAsia="仿宋_GB2312" w:cs="Times New Roman"/>
        </w:rPr>
        <w:t xml:space="preserve"> </w:t>
      </w:r>
    </w:p>
    <w:p>
      <w:pPr>
        <w:adjustRightInd w:val="0"/>
        <w:spacing w:before="100" w:beforeAutospacing="1" w:after="100" w:afterAutospacing="1"/>
      </w:pPr>
      <w:r>
        <w:rPr>
          <w:rFonts w:hint="eastAsia" w:hAnsi="Times New Roman"/>
          <w:sz w:val="18"/>
          <w:szCs w:val="18"/>
        </w:rPr>
        <w:t xml:space="preserve"> </w:t>
      </w:r>
    </w:p>
    <w:sectPr>
      <w:pgSz w:w="11915"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ZGI2M2MwYmU5MjM0YTc2YThmYjhlMTAwMDEwMzgifQ=="/>
  </w:docVars>
  <w:rsids>
    <w:rsidRoot w:val="00DF01FA"/>
    <w:rsid w:val="002F59E5"/>
    <w:rsid w:val="005A6C14"/>
    <w:rsid w:val="007742A0"/>
    <w:rsid w:val="00AF77FD"/>
    <w:rsid w:val="00C04B53"/>
    <w:rsid w:val="00DF01FA"/>
    <w:rsid w:val="00FF0DDF"/>
    <w:rsid w:val="08811C2C"/>
    <w:rsid w:val="2A8E0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semiHidden="0" w:name="index 1"/>
    <w:lsdException w:uiPriority="99" w:semiHidden="0" w:name="index 2"/>
    <w:lsdException w:uiPriority="99" w:semiHidden="0" w:name="index 3"/>
    <w:lsdException w:uiPriority="99" w:semiHidden="0" w:name="index 4"/>
    <w:lsdException w:uiPriority="99" w:semiHidden="0" w:name="index 5"/>
    <w:lsdException w:uiPriority="99" w:semiHidden="0" w:name="index 6"/>
    <w:lsdException w:uiPriority="99" w:semiHidden="0" w:name="index 7"/>
    <w:lsdException w:uiPriority="99" w:semiHidden="0" w:name="index 8"/>
    <w:lsdException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semiHidden="0" w:name="Normal Indent"/>
    <w:lsdException w:uiPriority="99" w:semiHidden="0" w:name="footnote text"/>
    <w:lsdException w:uiPriority="99" w:semiHidden="0" w:name="annotation text"/>
    <w:lsdException w:qFormat="1" w:uiPriority="99" w:name="header"/>
    <w:lsdException w:qFormat="1" w:uiPriority="99" w:name="footer"/>
    <w:lsdException w:uiPriority="99" w:semiHidden="0" w:name="index heading"/>
    <w:lsdException w:qFormat="1" w:uiPriority="35" w:name="caption"/>
    <w:lsdException w:uiPriority="99" w:semiHidden="0" w:name="table of figures"/>
    <w:lsdException w:uiPriority="99" w:semiHidden="0" w:name="envelope address"/>
    <w:lsdException w:uiPriority="99" w:semiHidden="0" w:name="envelope return"/>
    <w:lsdException w:uiPriority="99" w:semiHidden="0" w:name="footnote reference"/>
    <w:lsdException w:uiPriority="99" w:semiHidden="0" w:name="annotation reference"/>
    <w:lsdException w:uiPriority="99" w:semiHidden="0" w:name="line number"/>
    <w:lsdException w:uiPriority="99" w:semiHidden="0" w:name="page number"/>
    <w:lsdException w:uiPriority="99" w:semiHidden="0" w:name="endnote reference"/>
    <w:lsdException w:uiPriority="99" w:semiHidden="0" w:name="endnote text"/>
    <w:lsdException w:uiPriority="99" w:semiHidden="0" w:name="table of authorities"/>
    <w:lsdException w:uiPriority="99" w:semiHidden="0" w:name="macro"/>
    <w:lsdException w:uiPriority="99" w:semiHidden="0"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semiHidden="0" w:name="List 4"/>
    <w:lsdException w:uiPriority="99" w:semiHidden="0" w:name="List 5"/>
    <w:lsdException w:uiPriority="99" w:semiHidden="0" w:name="List Bullet 2"/>
    <w:lsdException w:uiPriority="99" w:semiHidden="0" w:name="List Bullet 3"/>
    <w:lsdException w:uiPriority="99" w:semiHidden="0" w:name="List Bullet 4"/>
    <w:lsdException w:uiPriority="99" w:semiHidden="0" w:name="List Bullet 5"/>
    <w:lsdException w:uiPriority="99" w:semiHidden="0" w:name="List Number 2"/>
    <w:lsdException w:uiPriority="99" w:semiHidden="0" w:name="List Number 3"/>
    <w:lsdException w:uiPriority="99" w:semiHidden="0" w:name="List Number 4"/>
    <w:lsdException w:uiPriority="99" w:semiHidden="0" w:name="List Number 5"/>
    <w:lsdException w:qFormat="1" w:unhideWhenUsed="0" w:uiPriority="10" w:semiHidden="0" w:name="Title"/>
    <w:lsdException w:uiPriority="99" w:semiHidden="0" w:name="Closing"/>
    <w:lsdException w:uiPriority="99" w:semiHidden="0" w:name="Signature"/>
    <w:lsdException w:uiPriority="1" w:name="Default Paragraph Font"/>
    <w:lsdException w:uiPriority="99" w:semiHidden="0" w:name="Body Text"/>
    <w:lsdException w:uiPriority="99" w:semiHidden="0" w:name="Body Text Indent"/>
    <w:lsdException w:uiPriority="99" w:semiHidden="0" w:name="List Continue"/>
    <w:lsdException w:uiPriority="99" w:semiHidden="0" w:name="List Continue 2"/>
    <w:lsdException w:uiPriority="99" w:semiHidden="0" w:name="List Continue 3"/>
    <w:lsdException w:uiPriority="99" w:semiHidden="0" w:name="List Continue 4"/>
    <w:lsdException w:uiPriority="99" w:semiHidden="0" w:name="List Continue 5"/>
    <w:lsdException w:uiPriority="99" w:semiHidden="0" w:name="Message Header"/>
    <w:lsdException w:qFormat="1" w:unhideWhenUsed="0" w:uiPriority="11" w:semiHidden="0" w:name="Subtitle"/>
    <w:lsdException w:uiPriority="99" w:semiHidden="0" w:name="Salutation"/>
    <w:lsdException w:uiPriority="99" w:semiHidden="0" w:name="Date"/>
    <w:lsdException w:uiPriority="99" w:semiHidden="0" w:name="Body Text First Indent"/>
    <w:lsdException w:uiPriority="99" w:semiHidden="0" w:name="Body Text First Indent 2"/>
    <w:lsdException w:uiPriority="99" w:semiHidden="0" w:name="Note Heading"/>
    <w:lsdException w:uiPriority="99" w:semiHidden="0" w:name="Body Text 2"/>
    <w:lsdException w:uiPriority="99" w:semiHidden="0" w:name="Body Text 3"/>
    <w:lsdException w:uiPriority="99" w:semiHidden="0" w:name="Body Text Indent 2"/>
    <w:lsdException w:uiPriority="99" w:semiHidden="0" w:name="Body Text Indent 3"/>
    <w:lsdException w:uiPriority="99" w:semiHidden="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semiHidden="0" w:name="Document Map"/>
    <w:lsdException w:uiPriority="99" w:semiHidden="0" w:name="Plain Text"/>
    <w:lsdException w:uiPriority="99" w:semiHidden="0" w:name="E-mail Signature"/>
    <w:lsdException w:qFormat="1" w:uiPriority="99" w:name="Normal (Web)"/>
    <w:lsdException w:uiPriority="99" w:semiHidden="0" w:name="HTML Acronym"/>
    <w:lsdException w:uiPriority="99" w:semiHidden="0" w:name="HTML Address"/>
    <w:lsdException w:uiPriority="99" w:semiHidden="0" w:name="HTML Cite"/>
    <w:lsdException w:uiPriority="99" w:semiHidden="0" w:name="HTML Code"/>
    <w:lsdException w:uiPriority="99" w:semiHidden="0" w:name="HTML Definition"/>
    <w:lsdException w:uiPriority="99" w:semiHidden="0" w:name="HTML Keyboard"/>
    <w:lsdException w:qFormat="1" w:uiPriority="99" w:name="HTML Preformatted"/>
    <w:lsdException w:uiPriority="99" w:semiHidden="0" w:name="HTML Sample"/>
    <w:lsdException w:uiPriority="99" w:semiHidden="0" w:name="HTML Typewriter"/>
    <w:lsdException w:uiPriority="99" w:semiHidden="0" w:name="HTML Variable"/>
    <w:lsdException w:qFormat="1" w:uiPriority="99" w:name="Normal Table"/>
    <w:lsdException w:uiPriority="99" w:semiHidden="0" w:name="annotation subject"/>
    <w:lsdException w:uiPriority="99" w:semiHidden="0" w:name="Table Simple 1"/>
    <w:lsdException w:uiPriority="99" w:semiHidden="0" w:name="Table Simple 2"/>
    <w:lsdException w:uiPriority="99" w:semiHidden="0" w:name="Table Simple 3"/>
    <w:lsdException w:uiPriority="99" w:semiHidden="0" w:name="Table Classic 1"/>
    <w:lsdException w:uiPriority="99" w:semiHidden="0" w:name="Table Classic 2"/>
    <w:lsdException w:uiPriority="99" w:semiHidden="0" w:name="Table Classic 3"/>
    <w:lsdException w:uiPriority="99" w:semiHidden="0" w:name="Table Classic 4"/>
    <w:lsdException w:uiPriority="99" w:semiHidden="0" w:name="Table Colorful 1"/>
    <w:lsdException w:uiPriority="99" w:semiHidden="0" w:name="Table Colorful 2"/>
    <w:lsdException w:uiPriority="99" w:semiHidden="0" w:name="Table Colorful 3"/>
    <w:lsdException w:uiPriority="99" w:semiHidden="0" w:name="Table Columns 1"/>
    <w:lsdException w:uiPriority="99" w:semiHidden="0" w:name="Table Columns 2"/>
    <w:lsdException w:uiPriority="99" w:semiHidden="0" w:name="Table Columns 3"/>
    <w:lsdException w:uiPriority="99" w:semiHidden="0" w:name="Table Columns 4"/>
    <w:lsdException w:uiPriority="99" w:semiHidden="0" w:name="Table Columns 5"/>
    <w:lsdException w:uiPriority="99" w:semiHidden="0" w:name="Table Grid 1"/>
    <w:lsdException w:uiPriority="99" w:semiHidden="0" w:name="Table Grid 2"/>
    <w:lsdException w:uiPriority="99" w:semiHidden="0" w:name="Table Grid 3"/>
    <w:lsdException w:uiPriority="99" w:semiHidden="0" w:name="Table Grid 4"/>
    <w:lsdException w:uiPriority="99" w:semiHidden="0" w:name="Table Grid 5"/>
    <w:lsdException w:uiPriority="99" w:semiHidden="0" w:name="Table Grid 6"/>
    <w:lsdException w:uiPriority="99" w:semiHidden="0" w:name="Table Grid 7"/>
    <w:lsdException w:uiPriority="99" w:semiHidden="0" w:name="Table Grid 8"/>
    <w:lsdException w:uiPriority="99" w:semiHidden="0" w:name="Table List 1"/>
    <w:lsdException w:uiPriority="99" w:semiHidden="0" w:name="Table List 2"/>
    <w:lsdException w:uiPriority="99" w:semiHidden="0" w:name="Table List 3"/>
    <w:lsdException w:uiPriority="99" w:semiHidden="0" w:name="Table List 4"/>
    <w:lsdException w:uiPriority="99" w:semiHidden="0" w:name="Table List 5"/>
    <w:lsdException w:uiPriority="99" w:semiHidden="0" w:name="Table List 6"/>
    <w:lsdException w:uiPriority="99" w:semiHidden="0" w:name="Table List 7"/>
    <w:lsdException w:uiPriority="99" w:semiHidden="0" w:name="Table List 8"/>
    <w:lsdException w:uiPriority="99" w:semiHidden="0" w:name="Table 3D effects 1"/>
    <w:lsdException w:uiPriority="99" w:semiHidden="0" w:name="Table 3D effects 2"/>
    <w:lsdException w:uiPriority="99" w:semiHidden="0" w:name="Table 3D effects 3"/>
    <w:lsdException w:uiPriority="99" w:semiHidden="0" w:name="Table Contemporary"/>
    <w:lsdException w:uiPriority="99" w:semiHidden="0" w:name="Table Elegant"/>
    <w:lsdException w:uiPriority="99" w:semiHidden="0" w:name="Table Professional"/>
    <w:lsdException w:uiPriority="99" w:semiHidden="0" w:name="Table Subtle 1"/>
    <w:lsdException w:uiPriority="99" w:semiHidden="0" w:name="Table Subtle 2"/>
    <w:lsdException w:uiPriority="99" w:semiHidden="0" w:name="Table Web 1"/>
    <w:lsdException w:uiPriority="99" w:semiHidden="0" w:name="Table Web 2"/>
    <w:lsdException w:uiPriority="99" w:semiHidden="0" w:name="Table Web 3"/>
    <w:lsdException w:qFormat="1" w:uiPriority="99" w:name="Balloon Text"/>
    <w:lsdException w:uiPriority="9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5"/>
    <w:qFormat/>
    <w:uiPriority w:val="9"/>
    <w:pPr>
      <w:spacing w:before="100" w:beforeAutospacing="1" w:after="100" w:afterAutospacing="1"/>
      <w:outlineLvl w:val="0"/>
    </w:pPr>
    <w:rPr>
      <w:b/>
      <w:bCs/>
      <w:kern w:val="44"/>
      <w:sz w:val="48"/>
      <w:szCs w:val="48"/>
    </w:rPr>
  </w:style>
  <w:style w:type="paragraph" w:styleId="3">
    <w:name w:val="heading 2"/>
    <w:basedOn w:val="1"/>
    <w:next w:val="1"/>
    <w:link w:val="16"/>
    <w:qFormat/>
    <w:uiPriority w:val="9"/>
    <w:pPr>
      <w:spacing w:before="100" w:beforeAutospacing="1" w:after="100" w:afterAutospacing="1"/>
      <w:outlineLvl w:val="1"/>
    </w:pPr>
    <w:rPr>
      <w:b/>
      <w:bCs/>
      <w:sz w:val="36"/>
      <w:szCs w:val="36"/>
    </w:rPr>
  </w:style>
  <w:style w:type="paragraph" w:styleId="4">
    <w:name w:val="heading 3"/>
    <w:basedOn w:val="1"/>
    <w:next w:val="1"/>
    <w:link w:val="17"/>
    <w:qFormat/>
    <w:uiPriority w:val="9"/>
    <w:pPr>
      <w:spacing w:before="100" w:beforeAutospacing="1" w:after="100" w:afterAutospacing="1"/>
      <w:outlineLvl w:val="2"/>
    </w:pPr>
    <w:rPr>
      <w:b/>
      <w:bCs/>
      <w:sz w:val="27"/>
      <w:szCs w:val="27"/>
    </w:rPr>
  </w:style>
  <w:style w:type="paragraph" w:styleId="5">
    <w:name w:val="heading 4"/>
    <w:basedOn w:val="1"/>
    <w:next w:val="1"/>
    <w:link w:val="18"/>
    <w:qFormat/>
    <w:uiPriority w:val="9"/>
    <w:pPr>
      <w:spacing w:before="100" w:beforeAutospacing="1" w:after="100" w:afterAutospacing="1"/>
      <w:outlineLvl w:val="3"/>
    </w:pPr>
    <w:rPr>
      <w:b/>
      <w:bCs/>
    </w:rPr>
  </w:style>
  <w:style w:type="paragraph" w:styleId="6">
    <w:name w:val="heading 5"/>
    <w:basedOn w:val="1"/>
    <w:next w:val="1"/>
    <w:link w:val="19"/>
    <w:qFormat/>
    <w:uiPriority w:val="9"/>
    <w:pPr>
      <w:spacing w:before="100" w:beforeAutospacing="1" w:after="100" w:afterAutospacing="1"/>
      <w:outlineLvl w:val="4"/>
    </w:pPr>
    <w:rPr>
      <w:b/>
      <w:bCs/>
      <w:sz w:val="20"/>
      <w:szCs w:val="20"/>
    </w:rPr>
  </w:style>
  <w:style w:type="paragraph" w:styleId="7">
    <w:name w:val="heading 6"/>
    <w:basedOn w:val="1"/>
    <w:next w:val="1"/>
    <w:link w:val="20"/>
    <w:qFormat/>
    <w:uiPriority w:val="9"/>
    <w:pPr>
      <w:spacing w:before="100" w:beforeAutospacing="1" w:after="100" w:afterAutospacing="1"/>
      <w:outlineLvl w:val="5"/>
    </w:pPr>
    <w:rPr>
      <w:b/>
      <w:bCs/>
      <w:sz w:val="15"/>
      <w:szCs w:val="15"/>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1"/>
    <w:semiHidden/>
    <w:unhideWhenUsed/>
    <w:qFormat/>
    <w:uiPriority w:val="99"/>
    <w:rPr>
      <w:sz w:val="18"/>
      <w:szCs w:val="18"/>
    </w:rPr>
  </w:style>
  <w:style w:type="paragraph" w:styleId="9">
    <w:name w:val="footer"/>
    <w:basedOn w:val="1"/>
    <w:link w:val="22"/>
    <w:semiHidden/>
    <w:unhideWhenUsed/>
    <w:qFormat/>
    <w:uiPriority w:val="99"/>
    <w:pPr>
      <w:snapToGrid w:val="0"/>
    </w:pPr>
    <w:rPr>
      <w:sz w:val="18"/>
      <w:szCs w:val="18"/>
    </w:rPr>
  </w:style>
  <w:style w:type="paragraph" w:styleId="10">
    <w:name w:val="header"/>
    <w:basedOn w:val="1"/>
    <w:link w:val="23"/>
    <w:semiHidden/>
    <w:unhideWhenUsed/>
    <w:qFormat/>
    <w:uiPriority w:val="99"/>
    <w:pPr>
      <w:pBdr>
        <w:bottom w:val="single" w:color="auto" w:sz="6" w:space="1"/>
      </w:pBdr>
      <w:snapToGrid w:val="0"/>
      <w:jc w:val="center"/>
    </w:pPr>
    <w:rPr>
      <w:sz w:val="18"/>
      <w:szCs w:val="18"/>
    </w:rPr>
  </w:style>
  <w:style w:type="paragraph" w:styleId="11">
    <w:name w:val="HTML Preformatted"/>
    <w:basedOn w:val="1"/>
    <w:link w:val="24"/>
    <w:semiHidden/>
    <w:unhideWhenUsed/>
    <w:qFormat/>
    <w:uiPriority w:val="99"/>
    <w:rPr>
      <w:rFonts w:ascii="Courier New" w:hAnsi="Courier New" w:cs="Courier New"/>
      <w:sz w:val="20"/>
      <w:szCs w:val="20"/>
    </w:rPr>
  </w:style>
  <w:style w:type="paragraph" w:styleId="12">
    <w:name w:val="Normal (Web)"/>
    <w:basedOn w:val="1"/>
    <w:semiHidden/>
    <w:unhideWhenUsed/>
    <w:qFormat/>
    <w:uiPriority w:val="99"/>
    <w:pPr>
      <w:spacing w:before="100" w:beforeAutospacing="1" w:after="100" w:afterAutospacing="1"/>
    </w:pPr>
    <w:rPr>
      <w:rFonts w:ascii="Times New Roman" w:hAnsi="Times New Roman" w:cs="Times New Roman"/>
    </w:rPr>
  </w:style>
  <w:style w:type="character" w:customStyle="1" w:styleId="15">
    <w:name w:val="标题 1 Char"/>
    <w:basedOn w:val="14"/>
    <w:link w:val="2"/>
    <w:uiPriority w:val="9"/>
    <w:rPr>
      <w:rFonts w:ascii="宋体" w:hAnsi="宋体" w:eastAsia="宋体" w:cs="宋体"/>
      <w:b/>
      <w:bCs/>
      <w:kern w:val="44"/>
      <w:sz w:val="44"/>
      <w:szCs w:val="44"/>
    </w:rPr>
  </w:style>
  <w:style w:type="character" w:customStyle="1" w:styleId="16">
    <w:name w:val="标题 2 Char"/>
    <w:basedOn w:val="14"/>
    <w:link w:val="3"/>
    <w:uiPriority w:val="9"/>
    <w:rPr>
      <w:rFonts w:asciiTheme="majorHAnsi" w:hAnsiTheme="majorHAnsi" w:eastAsiaTheme="majorEastAsia" w:cstheme="majorBidi"/>
      <w:b/>
      <w:bCs/>
      <w:sz w:val="32"/>
      <w:szCs w:val="32"/>
    </w:rPr>
  </w:style>
  <w:style w:type="character" w:customStyle="1" w:styleId="17">
    <w:name w:val="标题 3 Char"/>
    <w:basedOn w:val="14"/>
    <w:link w:val="4"/>
    <w:uiPriority w:val="9"/>
    <w:rPr>
      <w:rFonts w:ascii="宋体" w:hAnsi="宋体" w:eastAsia="宋体" w:cs="宋体"/>
      <w:b/>
      <w:bCs/>
      <w:sz w:val="32"/>
      <w:szCs w:val="32"/>
    </w:rPr>
  </w:style>
  <w:style w:type="character" w:customStyle="1" w:styleId="18">
    <w:name w:val="标题 4 Char"/>
    <w:basedOn w:val="14"/>
    <w:link w:val="5"/>
    <w:qFormat/>
    <w:uiPriority w:val="9"/>
    <w:rPr>
      <w:rFonts w:asciiTheme="majorHAnsi" w:hAnsiTheme="majorHAnsi" w:eastAsiaTheme="majorEastAsia" w:cstheme="majorBidi"/>
      <w:b/>
      <w:bCs/>
      <w:sz w:val="28"/>
      <w:szCs w:val="28"/>
    </w:rPr>
  </w:style>
  <w:style w:type="character" w:customStyle="1" w:styleId="19">
    <w:name w:val="标题 5 Char"/>
    <w:basedOn w:val="14"/>
    <w:link w:val="6"/>
    <w:qFormat/>
    <w:uiPriority w:val="9"/>
    <w:rPr>
      <w:rFonts w:ascii="宋体" w:hAnsi="宋体" w:eastAsia="宋体" w:cs="宋体"/>
      <w:b/>
      <w:bCs/>
      <w:sz w:val="28"/>
      <w:szCs w:val="28"/>
    </w:rPr>
  </w:style>
  <w:style w:type="character" w:customStyle="1" w:styleId="20">
    <w:name w:val="标题 6 Char"/>
    <w:basedOn w:val="14"/>
    <w:link w:val="7"/>
    <w:qFormat/>
    <w:uiPriority w:val="9"/>
    <w:rPr>
      <w:rFonts w:asciiTheme="majorHAnsi" w:hAnsiTheme="majorHAnsi" w:eastAsiaTheme="majorEastAsia" w:cstheme="majorBidi"/>
      <w:b/>
      <w:bCs/>
      <w:sz w:val="24"/>
      <w:szCs w:val="24"/>
    </w:rPr>
  </w:style>
  <w:style w:type="character" w:customStyle="1" w:styleId="21">
    <w:name w:val="批注框文本 Char"/>
    <w:basedOn w:val="14"/>
    <w:link w:val="8"/>
    <w:qFormat/>
    <w:uiPriority w:val="99"/>
    <w:rPr>
      <w:rFonts w:ascii="宋体" w:hAnsi="宋体" w:eastAsia="宋体" w:cs="宋体"/>
      <w:sz w:val="18"/>
      <w:szCs w:val="18"/>
    </w:rPr>
  </w:style>
  <w:style w:type="character" w:customStyle="1" w:styleId="22">
    <w:name w:val="页脚 Char"/>
    <w:basedOn w:val="14"/>
    <w:link w:val="9"/>
    <w:qFormat/>
    <w:uiPriority w:val="99"/>
    <w:rPr>
      <w:rFonts w:ascii="宋体" w:hAnsi="宋体" w:eastAsia="宋体" w:cs="宋体"/>
      <w:sz w:val="18"/>
      <w:szCs w:val="18"/>
    </w:rPr>
  </w:style>
  <w:style w:type="character" w:customStyle="1" w:styleId="23">
    <w:name w:val="页眉 Char"/>
    <w:basedOn w:val="14"/>
    <w:link w:val="10"/>
    <w:qFormat/>
    <w:uiPriority w:val="99"/>
    <w:rPr>
      <w:rFonts w:ascii="宋体" w:hAnsi="宋体" w:eastAsia="宋体" w:cs="宋体"/>
      <w:sz w:val="18"/>
      <w:szCs w:val="18"/>
    </w:rPr>
  </w:style>
  <w:style w:type="character" w:customStyle="1" w:styleId="24">
    <w:name w:val="HTML 预设格式 Char"/>
    <w:basedOn w:val="14"/>
    <w:link w:val="11"/>
    <w:qFormat/>
    <w:uiPriority w:val="99"/>
    <w:rPr>
      <w:rFonts w:ascii="Courier New" w:hAnsi="Courier New" w:eastAsia="宋体" w:cs="Courier New"/>
    </w:rPr>
  </w:style>
  <w:style w:type="paragraph" w:customStyle="1" w:styleId="25">
    <w:name w:val="msolistparagraph"/>
    <w:basedOn w:val="1"/>
    <w:uiPriority w:val="0"/>
    <w:pPr>
      <w:ind w:firstLine="420" w:firstLineChars="200"/>
    </w:pPr>
  </w:style>
  <w:style w:type="character" w:customStyle="1" w:styleId="26">
    <w:name w:val="10"/>
    <w:basedOn w:val="14"/>
    <w:uiPriority w:val="0"/>
    <w:rPr>
      <w:rFonts w:hint="default" w:ascii="Times New Roman" w:hAnsi="Times New Roman" w:cs="Times New Roman"/>
    </w:rPr>
  </w:style>
  <w:style w:type="character" w:customStyle="1" w:styleId="27">
    <w:name w:val="15"/>
    <w:basedOn w:val="14"/>
    <w:uiPriority w:val="0"/>
    <w:rPr>
      <w:rFonts w:hint="eastAsia" w:ascii="宋体" w:hAnsi="宋体" w:eastAsia="宋体"/>
      <w:sz w:val="18"/>
      <w:szCs w:val="18"/>
    </w:rPr>
  </w:style>
  <w:style w:type="character" w:customStyle="1" w:styleId="28">
    <w:name w:val="16"/>
    <w:basedOn w:val="14"/>
    <w:uiPriority w:val="0"/>
    <w:rPr>
      <w:rFonts w:hint="eastAsia" w:ascii="宋体" w:hAnsi="宋体" w:eastAsia="宋体"/>
      <w:sz w:val="18"/>
      <w:szCs w:val="18"/>
    </w:rPr>
  </w:style>
  <w:style w:type="character" w:customStyle="1" w:styleId="29">
    <w:name w:val="17"/>
    <w:basedOn w:val="14"/>
    <w:uiPriority w:val="0"/>
    <w:rPr>
      <w:rFonts w:hint="eastAsia" w:ascii="宋体" w:hAnsi="宋体" w:eastAsia="宋体"/>
      <w:sz w:val="18"/>
      <w:szCs w:val="18"/>
    </w:rPr>
  </w:style>
  <w:style w:type="paragraph" w:customStyle="1" w:styleId="30">
    <w:name w:val=" Char Char Char Char Char"/>
    <w:basedOn w:val="1"/>
    <w:uiPriority w:val="0"/>
    <w:pPr>
      <w:widowControl w:val="0"/>
      <w:jc w:val="both"/>
    </w:pPr>
    <w:rPr>
      <w:rFonts w:ascii="Times New Roman" w:hAnsi="Times New Roman" w:cs="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5062</Words>
  <Characters>5838</Characters>
  <Lines>42</Lines>
  <Paragraphs>12</Paragraphs>
  <TotalTime>13</TotalTime>
  <ScaleCrop>false</ScaleCrop>
  <LinksUpToDate>false</LinksUpToDate>
  <CharactersWithSpaces>5914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2019-10-23T08:41:00Z</dcterms:created>
  <dc:creator>Administrator</dc:creator>
  <cp:lastModifiedBy>Administrator</cp:lastModifiedBy>
  <dcterms:modified xsi:type="dcterms:W3CDTF">2022-10-14T08:42:20Z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2AFA722B17FB47EA94A51129A17FAF93</vt:lpwstr>
  </property>
</Properties>
</file>