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7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570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关于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2018年财政决算的报告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/>
        <w:ind w:left="0" w:right="0" w:firstLine="601"/>
        <w:jc w:val="center"/>
        <w:rPr>
          <w:rFonts w:hint="eastAsia" w:ascii="仿宋_GB2312" w:hAnsi="Times New Roman" w:eastAsia="仿宋_GB2312" w:cs="仿宋_GB2312"/>
          <w:b/>
          <w:kern w:val="0"/>
          <w:sz w:val="44"/>
          <w:szCs w:val="44"/>
          <w:lang w:bidi="ar"/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/>
        <w:ind w:left="0" w:right="0" w:firstLine="601"/>
        <w:jc w:val="center"/>
        <w:rPr>
          <w:rFonts w:hint="eastAsia" w:ascii="仿宋_GB2312" w:hAnsi="Times New Roman" w:eastAsia="仿宋_GB2312" w:cs="仿宋_GB2312"/>
          <w:b/>
          <w:kern w:val="0"/>
          <w:sz w:val="44"/>
          <w:szCs w:val="44"/>
          <w:lang w:bidi="ar"/>
        </w:rPr>
      </w:pPr>
      <w:r>
        <w:rPr>
          <w:rFonts w:hint="eastAsia" w:ascii="仿宋_GB2312" w:hAnsi="Times New Roman" w:eastAsia="仿宋_GB2312" w:cs="仿宋_GB2312"/>
          <w:b/>
          <w:kern w:val="0"/>
          <w:sz w:val="44"/>
          <w:szCs w:val="44"/>
          <w:lang w:bidi="ar"/>
        </w:rPr>
        <w:t>目</w:t>
      </w:r>
      <w:r>
        <w:rPr>
          <w:rFonts w:hint="eastAsia" w:ascii="仿宋_GB2312" w:hAnsi="Times New Roman" w:eastAsia="仿宋_GB2312" w:cs="仿宋_GB2312"/>
          <w:b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b/>
          <w:kern w:val="0"/>
          <w:sz w:val="44"/>
          <w:szCs w:val="44"/>
          <w:lang w:bidi="ar"/>
        </w:rPr>
        <w:t>录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right="0"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一、一般公共财政预算收支决算情况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二、政府性基金收支决算情况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三、社会保险基金收支决算情况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四、国有资本经营收支决算情况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五、地方政府举债情况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六、“三公”经费决算执行情况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七、预算绩效工作开展情况说明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580" w:lineRule="exact"/>
        <w:ind w:left="0" w:right="0" w:firstLine="601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八、对财政转移支付安排情况说明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一、一般公共财政预算收支决算情况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b/>
          <w:sz w:val="32"/>
          <w:szCs w:val="32"/>
        </w:rPr>
        <w:t>一般公共财政预算收入完成情况。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bidi="ar"/>
        </w:rPr>
        <w:t>018年，全旗一般公共财政预算收入45416万元，较上年增收9850万元，同期增长27.69%。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按征收部门划分：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国税部门7991万元，同比增收1798万元，增长29%；地税部门27910万元，同比增收2676万元，增长10.6%；财政部门9515万元，同比增收5376万元，增长130%。三部门对公共财政预算收入的贡献率为18%、61%、21%。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按征收范围划分：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旗本级35610万元，同比减收28282万元，下降44%；园区9806万元，同比增收38132万元，增长135%。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按收入结构划分：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税收收入完成33852万元，占一般公共财政预算收入的75%，同比增收5142万元，增长18%；非税收入完成11564万元，占一般公共财政预算收入的25%，同比增收4708万元，增长69%。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旗一般公共财政预算上级财政补助收入235671万元(其中：1.返还性收入10088万元；2.一般性转移支付收入44996万元；3.专项转移支付收入180587万元)；一般债券转贷收入56825万元；上年一般公共预算结余2689万元；一般公共财政预算可用财力合计340601万元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一般公共财政预算支出完成情况。</w:t>
      </w:r>
      <w:r>
        <w:rPr>
          <w:rFonts w:hint="eastAsia" w:ascii="仿宋_GB2312" w:eastAsia="仿宋_GB2312"/>
          <w:sz w:val="32"/>
          <w:szCs w:val="32"/>
        </w:rPr>
        <w:t>2018年，全旗一般公共财政预算支出314949万元。较上年增支71242万元，增长29%，其中：社会民生事业累计支出201579万元，占一般公共财政预算支出的64%；“八项重点支出”179237万元，较上年增长27%。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按支出功能划分：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eastAsia="仿宋_GB2312"/>
          <w:sz w:val="32"/>
        </w:rPr>
        <w:t>一般公共服务支出28255万元；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2.公共安全支出7850万元；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3.教育支出32943万元；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4.科学技术支出1521万元；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5.文化体育与传媒支出3064万元；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6.社会保障和就业支出40743万元；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7.医疗卫生与计划生育支出16305万元；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8.节能环保支出6177万元；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9.城乡社区支出45443万元；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10.农林水支出57402万元；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11.交通运输支出32833万元；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12.资源勘探信息等支出1721万元；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13.商业服务业等支出861万元；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14.金融支出71万元；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15.国土海洋气象等支出2891万元；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16.住房保障支出12112万元；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17.粮油物资储备支出837万元；</w:t>
      </w:r>
    </w:p>
    <w:p>
      <w:pPr>
        <w:pStyle w:val="8"/>
        <w:spacing w:line="50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18.其他支出952万元；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19.债务付息支出22927万元；</w:t>
      </w:r>
    </w:p>
    <w:p>
      <w:pPr>
        <w:pStyle w:val="8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20.债务发行费用支出41万元。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旗一般公共财政预算上解支出1170万元；一般债务还本支出19395万元，支出合计335514万元。全旗当年一般公共财政预算收支相抵，年终结余5087万元（其中：待偿债置换债券结余3749万元，年终滚存结余1338万元），全部结转下年使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二、政府性基金收支决算情况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2018年，政府性基金预算收入</w:t>
      </w:r>
      <w:r>
        <w:rPr>
          <w:rFonts w:hint="eastAsia" w:ascii="仿宋_GB2312" w:hAnsi="宋体" w:eastAsia="仿宋_GB2312"/>
          <w:kern w:val="0"/>
          <w:sz w:val="32"/>
          <w:szCs w:val="32"/>
        </w:rPr>
        <w:t>11845</w:t>
      </w:r>
      <w:r>
        <w:rPr>
          <w:rFonts w:hint="eastAsia" w:ascii="仿宋_GB2312" w:hAnsi="仿宋" w:eastAsia="仿宋_GB2312" w:cs="仿宋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较上年增收3854万元，增长48%。</w:t>
      </w:r>
      <w:r>
        <w:rPr>
          <w:rFonts w:hint="eastAsia" w:ascii="仿宋_GB2312" w:hAnsi="仿宋" w:eastAsia="仿宋_GB2312" w:cs="仿宋"/>
          <w:sz w:val="32"/>
          <w:szCs w:val="32"/>
        </w:rPr>
        <w:t>政府性基金预算</w:t>
      </w:r>
      <w:r>
        <w:rPr>
          <w:rFonts w:hint="eastAsia" w:ascii="仿宋_GB2312" w:eastAsia="仿宋_GB2312"/>
          <w:sz w:val="32"/>
          <w:szCs w:val="32"/>
        </w:rPr>
        <w:t>上级财政专项补助收入1208万元；上年结余收入7299万元；转贷盟市（旗区）债券14000万元，</w:t>
      </w:r>
      <w:r>
        <w:rPr>
          <w:rFonts w:hint="eastAsia" w:ascii="仿宋_GB2312" w:hAnsi="仿宋" w:eastAsia="仿宋_GB2312" w:cs="仿宋"/>
          <w:sz w:val="32"/>
          <w:szCs w:val="32"/>
        </w:rPr>
        <w:t>政府性</w:t>
      </w:r>
      <w:r>
        <w:rPr>
          <w:rFonts w:hint="eastAsia" w:ascii="仿宋_GB2312" w:eastAsia="仿宋_GB2312"/>
          <w:sz w:val="32"/>
          <w:szCs w:val="32"/>
        </w:rPr>
        <w:t>基金预算可用财力合计34352万元。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2018年，政府性基金预算支出13729万元，较上年增加2863万元，增长26%。</w:t>
      </w:r>
      <w:r>
        <w:rPr>
          <w:rFonts w:hint="eastAsia" w:ascii="仿宋_GB2312" w:hAnsi="仿宋" w:eastAsia="仿宋_GB2312" w:cs="仿宋"/>
          <w:sz w:val="32"/>
          <w:szCs w:val="32"/>
        </w:rPr>
        <w:t>专项债务还本支出13970万元</w:t>
      </w:r>
      <w:r>
        <w:rPr>
          <w:rFonts w:hint="eastAsia" w:ascii="仿宋_GB2312" w:eastAsia="仿宋_GB2312"/>
          <w:sz w:val="32"/>
          <w:szCs w:val="32"/>
        </w:rPr>
        <w:t>；支出合计27699万元。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政府性基金预算收支相抵，年终结余6653万元（其中：待偿债置换债券结余30万元，年终滚存结余6623万元），全部结转下年使用。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三、社会保险基金收支决算情况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2018年全旗社会保险基金收入72895万元，社会保险基金支出56907万元。按照国家和自治区的要求，从2008年起社会保险基金决算由市局统筹填报，2018年决算报表反馈数据为0万元。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四、国有资本经营收支决算情况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2018年国有资本经营收支为0万元，我旗未发生国有资本经营收支决算报表数据为0万元。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五、地方政府举债情况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截至2018年末，杭锦旗政府债务余额508252万元，其中：存量债务余额12321万元，债券余额495931万元。</w:t>
      </w:r>
      <w:r>
        <w:rPr>
          <w:rFonts w:hint="eastAsia" w:ascii="仿宋_GB2312" w:eastAsia="仿宋_GB2312" w:cs="仿宋_GB2312"/>
          <w:sz w:val="32"/>
          <w:szCs w:val="32"/>
        </w:rPr>
        <w:t>市财政核定我旗地方政府债务限额555800万元，其中，一般债务413100万元，专项债务142700万元。与上年限额相比，新增全旗政府债务限额0万元，其中，新增一般债务限额0万元，新增专项债务限额0万元。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六、“三公”经费决算执行情况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2018年杭锦旗部门“三公”经费支出</w:t>
      </w:r>
      <w:r>
        <w:rPr>
          <w:rFonts w:ascii="仿宋_GB2312" w:hAnsi="仿宋" w:eastAsia="仿宋_GB2312"/>
          <w:sz w:val="32"/>
          <w:szCs w:val="32"/>
        </w:rPr>
        <w:t>1,544.69</w:t>
      </w:r>
      <w:r>
        <w:rPr>
          <w:rFonts w:hint="eastAsia" w:ascii="仿宋_GB2312" w:hAnsi="仿宋" w:eastAsia="仿宋_GB2312"/>
          <w:sz w:val="32"/>
          <w:szCs w:val="32"/>
        </w:rPr>
        <w:t>万元，较2017年减少431.98万元。下降21.85%。其中：公务用车购置及运行维护费1040.84元，较上年减少341.83万元，下降24.72%，公务接待费503.84万元。较上年减少90.16万元，下降15.78%。主要原因：1、由于我旗资金紧张，未拨付各单位全年的车辆运行维护费及半年的公用经费。2、严格压缩三公经费支出。具体如下：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（1）因公出国（境）团组人数及人数</w:t>
      </w:r>
    </w:p>
    <w:p>
      <w:pPr>
        <w:snapToGrid w:val="0"/>
        <w:spacing w:line="588" w:lineRule="exact"/>
        <w:ind w:left="64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当年经费支出金额0元，上年同期支出金额0元，增0%；原因为我旗当年未安排因公出国（境）部门预算经费，各预算单位未支出因公出国（境）经费。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（2）公务用车购置及运行维护费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1 \* GB3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①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公务用车购置费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当年车辆购置费支出52.91万元，较上年减少156.43万元，下降74%，主要原因检察院今年未使用地方资金购置车辆。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②公务用车运行维护费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当年公务用车运行维护费支出987.94万元，较上年减少185.49万元，下降15.8%，未拨付全年公务运行维护费及半年公用经费。</w:t>
      </w:r>
    </w:p>
    <w:p>
      <w:pPr>
        <w:numPr>
          <w:ilvl w:val="0"/>
          <w:numId w:val="1"/>
        </w:num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公务接待费</w:t>
      </w:r>
    </w:p>
    <w:p>
      <w:pPr>
        <w:snapToGrid w:val="0"/>
        <w:spacing w:line="588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2018年杭锦旗部门公务接待费支出503.84万元，较上年减少90.16万元，主要原因严格压缩公务接待费。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其中：国内公务接待费5.3.84万元，接待3778批次，共接待36754人次。国（境）外接待费0.00万元，接待0批次，共接待0人次。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七、预算绩效工作开展情况说明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我旗未开展预算绩效管理工作。为进一步提高财政预算管理精细化水平，加强基本建设支出预算管理，提高预算编制的科学性、合理性，更好地发挥财政资金使用效益，我旗2019年开始对项目单位开展绩效评价工作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八、对财政转移支付安排情况说明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因乡镇实行乡财县管，视同于旗财政的一级预算单位管理。所以我旗无对财政转移支付安排。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EEF3"/>
    <w:multiLevelType w:val="singleLevel"/>
    <w:tmpl w:val="1A9EEEF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84"/>
    <w:rsid w:val="000A37C6"/>
    <w:rsid w:val="000C7A24"/>
    <w:rsid w:val="000D1A78"/>
    <w:rsid w:val="000D7512"/>
    <w:rsid w:val="001C2476"/>
    <w:rsid w:val="00254FEF"/>
    <w:rsid w:val="00375F8C"/>
    <w:rsid w:val="003D7DFA"/>
    <w:rsid w:val="00410328"/>
    <w:rsid w:val="00511E0D"/>
    <w:rsid w:val="00581A2C"/>
    <w:rsid w:val="005F3064"/>
    <w:rsid w:val="007A7652"/>
    <w:rsid w:val="00B43717"/>
    <w:rsid w:val="00C054B5"/>
    <w:rsid w:val="00D30524"/>
    <w:rsid w:val="00D41B6F"/>
    <w:rsid w:val="00D962A4"/>
    <w:rsid w:val="00DD3074"/>
    <w:rsid w:val="00E56184"/>
    <w:rsid w:val="00E8790E"/>
    <w:rsid w:val="00F01AED"/>
    <w:rsid w:val="00FE0DE4"/>
    <w:rsid w:val="01AD4123"/>
    <w:rsid w:val="073154FE"/>
    <w:rsid w:val="1FDB71BD"/>
    <w:rsid w:val="38E8066F"/>
    <w:rsid w:val="3A7C38DA"/>
    <w:rsid w:val="4D277754"/>
    <w:rsid w:val="55586151"/>
    <w:rsid w:val="63016781"/>
    <w:rsid w:val="703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paragraph" w:customStyle="1" w:styleId="6">
    <w:name w:val="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Char Char Char Char Char Char 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8">
    <w:name w:val="0"/>
    <w:basedOn w:val="1"/>
    <w:qFormat/>
    <w:uiPriority w:val="0"/>
    <w:pPr>
      <w:widowControl/>
      <w:snapToGrid w:val="0"/>
      <w:jc w:val="lef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400</Words>
  <Characters>2284</Characters>
  <Lines>19</Lines>
  <Paragraphs>5</Paragraphs>
  <TotalTime>4</TotalTime>
  <ScaleCrop>false</ScaleCrop>
  <LinksUpToDate>false</LinksUpToDate>
  <CharactersWithSpaces>2679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2019-10-18T02:41:00Z</dcterms:created>
  <dc:creator>xb21cn</dc:creator>
  <cp:lastModifiedBy>Administrator</cp:lastModifiedBy>
  <dcterms:modified xsi:type="dcterms:W3CDTF">2019-11-05T03:45:39Z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