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95CCE2">
      <w:pPr>
        <w:ind w:left="1405" w:hanging="1405" w:hangingChars="500"/>
        <w:rPr>
          <w:b/>
          <w:color w:val="000000" w:themeColor="text1"/>
          <w:sz w:val="28"/>
          <w:szCs w:val="28"/>
          <w14:textFill>
            <w14:solidFill>
              <w14:schemeClr w14:val="tx1"/>
            </w14:solidFill>
          </w14:textFill>
        </w:rPr>
      </w:pPr>
    </w:p>
    <w:p w14:paraId="1CC08D1E">
      <w:pPr>
        <w:ind w:left="1405" w:hanging="1405" w:hangingChars="500"/>
        <w:rPr>
          <w:b/>
          <w:color w:val="000000" w:themeColor="text1"/>
          <w:sz w:val="28"/>
          <w:szCs w:val="28"/>
          <w14:textFill>
            <w14:solidFill>
              <w14:schemeClr w14:val="tx1"/>
            </w14:solidFill>
          </w14:textFill>
        </w:rPr>
      </w:pPr>
    </w:p>
    <w:p w14:paraId="69AEF404">
      <w:pPr>
        <w:ind w:left="1405" w:hanging="1405" w:hangingChars="500"/>
        <w:rPr>
          <w:b/>
          <w:color w:val="000000" w:themeColor="text1"/>
          <w:sz w:val="28"/>
          <w:szCs w:val="28"/>
          <w14:textFill>
            <w14:solidFill>
              <w14:schemeClr w14:val="tx1"/>
            </w14:solidFill>
          </w14:textFill>
        </w:rPr>
      </w:pPr>
    </w:p>
    <w:p w14:paraId="70DAAB5F">
      <w:pPr>
        <w:ind w:left="1405" w:hanging="1405" w:hangingChars="500"/>
        <w:rPr>
          <w:b/>
          <w:color w:val="000000" w:themeColor="text1"/>
          <w:sz w:val="28"/>
          <w:szCs w:val="28"/>
          <w14:textFill>
            <w14:solidFill>
              <w14:schemeClr w14:val="tx1"/>
            </w14:solidFill>
          </w14:textFill>
        </w:rPr>
      </w:pPr>
    </w:p>
    <w:p w14:paraId="76D12FC1">
      <w:pPr>
        <w:ind w:left="1807" w:hanging="1807" w:hangingChars="500"/>
        <w:rPr>
          <w:b/>
          <w:color w:val="000000" w:themeColor="text1"/>
          <w:sz w:val="36"/>
          <w:szCs w:val="36"/>
          <w14:textFill>
            <w14:solidFill>
              <w14:schemeClr w14:val="tx1"/>
            </w14:solidFill>
          </w14:textFill>
        </w:rPr>
      </w:pPr>
    </w:p>
    <w:p w14:paraId="4F4087F8">
      <w:pPr>
        <w:ind w:left="1807" w:hanging="1807" w:hangingChars="500"/>
        <w:rPr>
          <w:b/>
          <w:color w:val="000000" w:themeColor="text1"/>
          <w:sz w:val="36"/>
          <w:szCs w:val="36"/>
          <w14:textFill>
            <w14:solidFill>
              <w14:schemeClr w14:val="tx1"/>
            </w14:solidFill>
          </w14:textFill>
        </w:rPr>
      </w:pPr>
    </w:p>
    <w:p w14:paraId="1CB97413">
      <w:pPr>
        <w:ind w:left="2331" w:leftChars="183" w:hanging="1928" w:hangingChars="400"/>
        <w:outlineLvl w:val="0"/>
        <w:rPr>
          <w:b/>
          <w:color w:val="000000" w:themeColor="text1"/>
          <w:sz w:val="48"/>
          <w:szCs w:val="48"/>
          <w14:textFill>
            <w14:solidFill>
              <w14:schemeClr w14:val="tx1"/>
            </w14:solidFill>
          </w14:textFill>
        </w:rPr>
      </w:pPr>
      <w:bookmarkStart w:id="0" w:name="_Toc14861"/>
      <w:bookmarkStart w:id="1" w:name="_Toc8721"/>
      <w:r>
        <w:rPr>
          <w:rFonts w:hint="eastAsia"/>
          <w:b/>
          <w:color w:val="000000" w:themeColor="text1"/>
          <w:sz w:val="48"/>
          <w:szCs w:val="48"/>
          <w14:textFill>
            <w14:solidFill>
              <w14:schemeClr w14:val="tx1"/>
            </w14:solidFill>
          </w14:textFill>
        </w:rPr>
        <w:t>《内蒙古鄂尔多斯杭锦经济开发区</w:t>
      </w:r>
      <w:bookmarkEnd w:id="0"/>
      <w:bookmarkEnd w:id="1"/>
    </w:p>
    <w:p w14:paraId="244D5070">
      <w:pPr>
        <w:ind w:left="1286" w:leftChars="183" w:hanging="883" w:hangingChars="400"/>
        <w:outlineLvl w:val="0"/>
        <w:rPr>
          <w:b/>
          <w:color w:val="000000" w:themeColor="text1"/>
          <w14:textFill>
            <w14:solidFill>
              <w14:schemeClr w14:val="tx1"/>
            </w14:solidFill>
          </w14:textFill>
        </w:rPr>
      </w:pPr>
    </w:p>
    <w:p w14:paraId="0F3AD7BE">
      <w:pPr>
        <w:ind w:left="2331" w:leftChars="183" w:hanging="1928" w:hangingChars="400"/>
        <w:outlineLvl w:val="0"/>
        <w:rPr>
          <w:b/>
          <w:color w:val="000000" w:themeColor="text1"/>
          <w:sz w:val="48"/>
          <w:szCs w:val="48"/>
          <w14:textFill>
            <w14:solidFill>
              <w14:schemeClr w14:val="tx1"/>
            </w14:solidFill>
          </w14:textFill>
        </w:rPr>
      </w:pPr>
      <w:bookmarkStart w:id="2" w:name="_Toc7186"/>
      <w:bookmarkStart w:id="3" w:name="_Toc8074"/>
      <w:r>
        <w:rPr>
          <w:rFonts w:hint="eastAsia"/>
          <w:b/>
          <w:color w:val="000000" w:themeColor="text1"/>
          <w:sz w:val="48"/>
          <w:szCs w:val="48"/>
          <w14:textFill>
            <w14:solidFill>
              <w14:schemeClr w14:val="tx1"/>
            </w14:solidFill>
          </w14:textFill>
        </w:rPr>
        <w:t>（独贵塔拉产业园、新能源产业园）</w:t>
      </w:r>
      <w:bookmarkEnd w:id="2"/>
      <w:bookmarkEnd w:id="3"/>
    </w:p>
    <w:p w14:paraId="2D191214">
      <w:pPr>
        <w:ind w:left="1286" w:leftChars="183" w:hanging="883" w:hangingChars="400"/>
        <w:outlineLvl w:val="0"/>
        <w:rPr>
          <w:b/>
          <w:color w:val="000000" w:themeColor="text1"/>
          <w14:textFill>
            <w14:solidFill>
              <w14:schemeClr w14:val="tx1"/>
            </w14:solidFill>
          </w14:textFill>
        </w:rPr>
      </w:pPr>
    </w:p>
    <w:p w14:paraId="35C289D2">
      <w:pPr>
        <w:ind w:left="2328" w:leftChars="401" w:hanging="1446" w:hangingChars="300"/>
        <w:rPr>
          <w:rFonts w:hint="eastAsia" w:ascii="微软雅黑" w:hAnsi="微软雅黑" w:eastAsia="微软雅黑"/>
          <w:b/>
          <w:color w:val="000000" w:themeColor="text1"/>
          <w:spacing w:val="-10"/>
          <w:sz w:val="48"/>
          <w:szCs w:val="48"/>
          <w:lang w:eastAsia="zh-CN"/>
          <w14:textFill>
            <w14:solidFill>
              <w14:schemeClr w14:val="tx1"/>
            </w14:solidFill>
          </w14:textFill>
        </w:rPr>
      </w:pPr>
      <w:r>
        <w:rPr>
          <w:rFonts w:hint="eastAsia"/>
          <w:b/>
          <w:color w:val="000000" w:themeColor="text1"/>
          <w:sz w:val="48"/>
          <w:szCs w:val="48"/>
          <w14:textFill>
            <w14:solidFill>
              <w14:schemeClr w14:val="tx1"/>
            </w14:solidFill>
          </w14:textFill>
        </w:rPr>
        <w:t>消防专项规划（</w:t>
      </w:r>
      <w:r>
        <w:rPr>
          <w:rFonts w:hint="eastAsia"/>
          <w:b/>
          <w:color w:val="000000" w:themeColor="text1"/>
          <w:spacing w:val="47"/>
          <w:sz w:val="48"/>
          <w:szCs w:val="48"/>
          <w14:textFill>
            <w14:solidFill>
              <w14:schemeClr w14:val="tx1"/>
            </w14:solidFill>
          </w14:textFill>
        </w:rPr>
        <w:t>2024</w:t>
      </w:r>
      <w:r>
        <w:rPr>
          <w:rFonts w:hint="eastAsia"/>
          <w:b/>
          <w:color w:val="000000" w:themeColor="text1"/>
          <w:spacing w:val="-35"/>
          <w:sz w:val="48"/>
          <w:szCs w:val="48"/>
          <w14:textFill>
            <w14:solidFill>
              <w14:schemeClr w14:val="tx1"/>
            </w14:solidFill>
          </w14:textFill>
        </w:rPr>
        <w:t>—</w:t>
      </w:r>
      <w:r>
        <w:rPr>
          <w:rFonts w:hint="eastAsia"/>
          <w:b/>
          <w:color w:val="000000" w:themeColor="text1"/>
          <w:spacing w:val="42"/>
          <w:sz w:val="48"/>
          <w:szCs w:val="48"/>
          <w14:textFill>
            <w14:solidFill>
              <w14:schemeClr w14:val="tx1"/>
            </w14:solidFill>
          </w14:textFill>
        </w:rPr>
        <w:t>2035</w:t>
      </w:r>
      <w:r>
        <w:rPr>
          <w:rFonts w:hint="eastAsia"/>
          <w:b/>
          <w:color w:val="000000" w:themeColor="text1"/>
          <w:spacing w:val="-10"/>
          <w:sz w:val="48"/>
          <w:szCs w:val="48"/>
          <w14:textFill>
            <w14:solidFill>
              <w14:schemeClr w14:val="tx1"/>
            </w14:solidFill>
          </w14:textFill>
        </w:rPr>
        <w:t>）</w:t>
      </w:r>
      <w:r>
        <w:rPr>
          <w:rFonts w:hint="eastAsia" w:ascii="微软雅黑" w:hAnsi="微软雅黑" w:eastAsia="微软雅黑"/>
          <w:b/>
          <w:color w:val="000000" w:themeColor="text1"/>
          <w:spacing w:val="-10"/>
          <w:sz w:val="44"/>
          <w:szCs w:val="44"/>
          <w14:textFill>
            <w14:solidFill>
              <w14:schemeClr w14:val="tx1"/>
            </w14:solidFill>
          </w14:textFill>
        </w:rPr>
        <w:t>》</w:t>
      </w:r>
    </w:p>
    <w:p w14:paraId="55A6870E">
      <w:pPr>
        <w:spacing w:line="360" w:lineRule="auto"/>
        <w:jc w:val="both"/>
        <w:rPr>
          <w:b/>
          <w:color w:val="000000" w:themeColor="text1"/>
          <w:sz w:val="40"/>
          <w:szCs w:val="40"/>
          <w14:textFill>
            <w14:solidFill>
              <w14:schemeClr w14:val="tx1"/>
            </w14:solidFill>
          </w14:textFill>
        </w:rPr>
      </w:pPr>
    </w:p>
    <w:p w14:paraId="6D5BD10F">
      <w:pPr>
        <w:spacing w:line="360" w:lineRule="auto"/>
        <w:ind w:left="1995" w:leftChars="907" w:firstLine="1205" w:firstLineChars="300"/>
        <w:jc w:val="both"/>
        <w:rPr>
          <w:b/>
          <w:color w:val="000000" w:themeColor="text1"/>
          <w:sz w:val="36"/>
          <w:szCs w:val="36"/>
          <w14:textFill>
            <w14:solidFill>
              <w14:schemeClr w14:val="tx1"/>
            </w14:solidFill>
          </w14:textFill>
        </w:rPr>
      </w:pPr>
      <w:r>
        <w:rPr>
          <w:rFonts w:hint="eastAsia"/>
          <w:b/>
          <w:color w:val="000000" w:themeColor="text1"/>
          <w:sz w:val="40"/>
          <w:szCs w:val="40"/>
          <w14:textFill>
            <w14:solidFill>
              <w14:schemeClr w14:val="tx1"/>
            </w14:solidFill>
          </w14:textFill>
        </w:rPr>
        <w:t>公示文本</w:t>
      </w:r>
    </w:p>
    <w:p w14:paraId="3FA5C77B">
      <w:pPr>
        <w:ind w:left="1405" w:hanging="1405" w:hangingChars="500"/>
        <w:jc w:val="center"/>
        <w:rPr>
          <w:b/>
          <w:color w:val="000000" w:themeColor="text1"/>
          <w:sz w:val="28"/>
          <w:szCs w:val="28"/>
          <w14:textFill>
            <w14:solidFill>
              <w14:schemeClr w14:val="tx1"/>
            </w14:solidFill>
          </w14:textFill>
        </w:rPr>
      </w:pPr>
    </w:p>
    <w:p w14:paraId="5A9095FF">
      <w:pPr>
        <w:ind w:left="1405" w:hanging="1405" w:hangingChars="500"/>
        <w:rPr>
          <w:b/>
          <w:color w:val="000000" w:themeColor="text1"/>
          <w:sz w:val="28"/>
          <w:szCs w:val="28"/>
          <w14:textFill>
            <w14:solidFill>
              <w14:schemeClr w14:val="tx1"/>
            </w14:solidFill>
          </w14:textFill>
        </w:rPr>
      </w:pPr>
    </w:p>
    <w:p w14:paraId="11550023">
      <w:pPr>
        <w:ind w:left="1405" w:hanging="1405" w:hangingChars="500"/>
        <w:rPr>
          <w:b/>
          <w:color w:val="000000" w:themeColor="text1"/>
          <w:sz w:val="28"/>
          <w:szCs w:val="28"/>
          <w14:textFill>
            <w14:solidFill>
              <w14:schemeClr w14:val="tx1"/>
            </w14:solidFill>
          </w14:textFill>
        </w:rPr>
      </w:pPr>
    </w:p>
    <w:p w14:paraId="2E56E1EA">
      <w:pPr>
        <w:ind w:left="1405" w:hanging="1405" w:hangingChars="500"/>
        <w:jc w:val="both"/>
        <w:rPr>
          <w:b/>
          <w:color w:val="000000" w:themeColor="text1"/>
          <w:sz w:val="28"/>
          <w:szCs w:val="28"/>
          <w14:textFill>
            <w14:solidFill>
              <w14:schemeClr w14:val="tx1"/>
            </w14:solidFill>
          </w14:textFill>
        </w:rPr>
      </w:pPr>
    </w:p>
    <w:p w14:paraId="38786DAF">
      <w:pPr>
        <w:ind w:left="1405" w:hanging="1405" w:hangingChars="500"/>
        <w:rPr>
          <w:b/>
          <w:color w:val="000000" w:themeColor="text1"/>
          <w:sz w:val="28"/>
          <w:szCs w:val="28"/>
          <w14:textFill>
            <w14:solidFill>
              <w14:schemeClr w14:val="tx1"/>
            </w14:solidFill>
          </w14:textFill>
        </w:rPr>
      </w:pPr>
    </w:p>
    <w:p w14:paraId="0EEAF977">
      <w:pPr>
        <w:ind w:left="1405" w:hanging="1405" w:hangingChars="500"/>
        <w:rPr>
          <w:b/>
          <w:color w:val="000000" w:themeColor="text1"/>
          <w:sz w:val="28"/>
          <w:szCs w:val="28"/>
          <w14:textFill>
            <w14:solidFill>
              <w14:schemeClr w14:val="tx1"/>
            </w14:solidFill>
          </w14:textFill>
        </w:rPr>
      </w:pPr>
    </w:p>
    <w:p w14:paraId="770E129D">
      <w:pPr>
        <w:rPr>
          <w:b/>
          <w:color w:val="000000" w:themeColor="text1"/>
          <w:sz w:val="28"/>
          <w:szCs w:val="28"/>
          <w14:textFill>
            <w14:solidFill>
              <w14:schemeClr w14:val="tx1"/>
            </w14:solidFill>
          </w14:textFill>
        </w:rPr>
      </w:pPr>
    </w:p>
    <w:p w14:paraId="0B69BDCA">
      <w:pPr>
        <w:ind w:firstLine="3373" w:firstLineChars="1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2024年11月</w:t>
      </w:r>
    </w:p>
    <w:p w14:paraId="0D2578EA">
      <w:pPr>
        <w:ind w:left="1405" w:hanging="1405" w:hangingChars="500"/>
        <w:rPr>
          <w:b/>
          <w:color w:val="000000" w:themeColor="text1"/>
          <w:sz w:val="28"/>
          <w:szCs w:val="28"/>
          <w14:textFill>
            <w14:solidFill>
              <w14:schemeClr w14:val="tx1"/>
            </w14:solidFill>
          </w14:textFill>
        </w:rPr>
      </w:pPr>
    </w:p>
    <w:p w14:paraId="07AC574A">
      <w:pPr>
        <w:rPr>
          <w:b/>
          <w:color w:val="000000" w:themeColor="text1"/>
          <w:sz w:val="28"/>
          <w:szCs w:val="28"/>
          <w14:textFill>
            <w14:solidFill>
              <w14:schemeClr w14:val="tx1"/>
            </w14:solidFill>
          </w14:textFill>
        </w:rPr>
      </w:pPr>
    </w:p>
    <w:p w14:paraId="1AE6D234">
      <w:pPr>
        <w:rPr>
          <w:b/>
          <w:color w:val="000000" w:themeColor="text1"/>
          <w:sz w:val="21"/>
          <w:szCs w:val="21"/>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sdt>
      <w:sdtPr>
        <w:rPr>
          <w:b/>
          <w:bCs/>
          <w:sz w:val="21"/>
        </w:rPr>
        <w:id w:val="147459947"/>
        <w:docPartObj>
          <w:docPartGallery w:val="Table of Contents"/>
          <w:docPartUnique/>
        </w:docPartObj>
      </w:sdtPr>
      <w:sdtEndPr>
        <w:rPr>
          <w:rFonts w:hint="eastAsia"/>
          <w:b/>
          <w:bCs/>
          <w:color w:val="000000" w:themeColor="text1"/>
          <w:sz w:val="28"/>
          <w:szCs w:val="28"/>
          <w14:textFill>
            <w14:solidFill>
              <w14:schemeClr w14:val="tx1"/>
            </w14:solidFill>
          </w14:textFill>
        </w:rPr>
      </w:sdtEndPr>
      <w:sdtContent>
        <w:p w14:paraId="6206E6F2">
          <w:pPr>
            <w:jc w:val="center"/>
            <w:rPr>
              <w:b/>
              <w:sz w:val="28"/>
              <w:szCs w:val="28"/>
            </w:rPr>
          </w:pPr>
          <w:r>
            <w:rPr>
              <w:b/>
              <w:bCs/>
              <w:sz w:val="32"/>
              <w:szCs w:val="36"/>
            </w:rPr>
            <w:t>目录</w:t>
          </w:r>
          <w:r>
            <w:rPr>
              <w:rFonts w:hint="eastAsia"/>
              <w:color w:val="000000" w:themeColor="text1"/>
              <w:sz w:val="28"/>
              <w:szCs w:val="28"/>
              <w14:textFill>
                <w14:solidFill>
                  <w14:schemeClr w14:val="tx1"/>
                </w14:solidFill>
              </w14:textFill>
            </w:rPr>
            <w:fldChar w:fldCharType="begin"/>
          </w:r>
          <w:r>
            <w:rPr>
              <w:rFonts w:hint="eastAsia"/>
              <w:color w:val="000000" w:themeColor="text1"/>
              <w:sz w:val="28"/>
              <w:szCs w:val="28"/>
              <w14:textFill>
                <w14:solidFill>
                  <w14:schemeClr w14:val="tx1"/>
                </w14:solidFill>
              </w14:textFill>
            </w:rPr>
            <w:instrText xml:space="preserve">TOC \o "1-2" \h \u </w:instrText>
          </w:r>
          <w:r>
            <w:rPr>
              <w:rFonts w:hint="eastAsia"/>
              <w:color w:val="000000" w:themeColor="text1"/>
              <w:sz w:val="28"/>
              <w:szCs w:val="28"/>
              <w14:textFill>
                <w14:solidFill>
                  <w14:schemeClr w14:val="tx1"/>
                </w14:solidFill>
              </w14:textFill>
            </w:rPr>
            <w:fldChar w:fldCharType="separate"/>
          </w:r>
        </w:p>
        <w:p w14:paraId="0D08133D">
          <w:pPr>
            <w:pStyle w:val="15"/>
            <w:tabs>
              <w:tab w:val="right" w:leader="dot" w:pos="8306"/>
            </w:tabs>
            <w:rPr>
              <w:b/>
              <w:sz w:val="28"/>
              <w:szCs w:val="28"/>
            </w:rPr>
          </w:pPr>
          <w:r>
            <w:fldChar w:fldCharType="begin"/>
          </w:r>
          <w:r>
            <w:instrText xml:space="preserve"> HYPERLINK \l "_Toc27959" </w:instrText>
          </w:r>
          <w:r>
            <w:fldChar w:fldCharType="separate"/>
          </w:r>
          <w:r>
            <w:rPr>
              <w:rFonts w:hint="eastAsia"/>
              <w:b/>
              <w:sz w:val="28"/>
              <w:szCs w:val="28"/>
            </w:rPr>
            <w:t>第一章</w:t>
          </w:r>
          <w:r>
            <w:rPr>
              <w:rFonts w:hint="eastAsia"/>
              <w:b/>
              <w:sz w:val="28"/>
              <w:szCs w:val="28"/>
              <w:lang w:val="en-US" w:eastAsia="zh-CN"/>
            </w:rPr>
            <w:t xml:space="preserve"> </w:t>
          </w:r>
          <w:r>
            <w:rPr>
              <w:b/>
              <w:sz w:val="28"/>
              <w:szCs w:val="28"/>
            </w:rPr>
            <w:t>总则</w:t>
          </w:r>
          <w:r>
            <w:rPr>
              <w:b/>
              <w:sz w:val="28"/>
              <w:szCs w:val="28"/>
            </w:rPr>
            <w:tab/>
          </w:r>
          <w:r>
            <w:rPr>
              <w:b/>
              <w:sz w:val="28"/>
              <w:szCs w:val="28"/>
            </w:rPr>
            <w:fldChar w:fldCharType="begin"/>
          </w:r>
          <w:r>
            <w:rPr>
              <w:b/>
              <w:sz w:val="28"/>
              <w:szCs w:val="28"/>
            </w:rPr>
            <w:instrText xml:space="preserve"> PAGEREF _Toc27959 \h </w:instrText>
          </w:r>
          <w:r>
            <w:rPr>
              <w:b/>
              <w:sz w:val="28"/>
              <w:szCs w:val="28"/>
            </w:rPr>
            <w:fldChar w:fldCharType="separate"/>
          </w:r>
          <w:r>
            <w:rPr>
              <w:b/>
              <w:sz w:val="28"/>
              <w:szCs w:val="28"/>
            </w:rPr>
            <w:t>5</w:t>
          </w:r>
          <w:r>
            <w:rPr>
              <w:b/>
              <w:sz w:val="28"/>
              <w:szCs w:val="28"/>
            </w:rPr>
            <w:fldChar w:fldCharType="end"/>
          </w:r>
          <w:r>
            <w:rPr>
              <w:b/>
              <w:sz w:val="28"/>
              <w:szCs w:val="28"/>
            </w:rPr>
            <w:fldChar w:fldCharType="end"/>
          </w:r>
        </w:p>
        <w:p w14:paraId="686B60B5">
          <w:pPr>
            <w:pStyle w:val="16"/>
            <w:tabs>
              <w:tab w:val="right" w:leader="dot" w:pos="8306"/>
            </w:tabs>
            <w:ind w:left="440"/>
            <w:rPr>
              <w:sz w:val="28"/>
              <w:szCs w:val="28"/>
            </w:rPr>
          </w:pPr>
          <w:r>
            <w:fldChar w:fldCharType="begin"/>
          </w:r>
          <w:r>
            <w:instrText xml:space="preserve"> HYPERLINK \l "_Toc7283" </w:instrText>
          </w:r>
          <w:r>
            <w:fldChar w:fldCharType="separate"/>
          </w:r>
          <w:r>
            <w:rPr>
              <w:rFonts w:hint="eastAsia"/>
              <w:sz w:val="28"/>
              <w:szCs w:val="28"/>
            </w:rPr>
            <w:t>第一条</w:t>
          </w:r>
          <w:r>
            <w:rPr>
              <w:rFonts w:hint="eastAsia"/>
              <w:sz w:val="28"/>
              <w:szCs w:val="28"/>
              <w:lang w:val="en-US" w:eastAsia="zh-CN"/>
            </w:rPr>
            <w:t xml:space="preserve"> </w:t>
          </w:r>
          <w:r>
            <w:rPr>
              <w:rFonts w:hint="eastAsia"/>
              <w:sz w:val="28"/>
              <w:szCs w:val="28"/>
            </w:rPr>
            <w:t>规划制定</w:t>
          </w:r>
          <w:r>
            <w:rPr>
              <w:sz w:val="28"/>
              <w:szCs w:val="28"/>
            </w:rPr>
            <w:tab/>
          </w:r>
          <w:r>
            <w:rPr>
              <w:sz w:val="28"/>
              <w:szCs w:val="28"/>
            </w:rPr>
            <w:fldChar w:fldCharType="begin"/>
          </w:r>
          <w:r>
            <w:rPr>
              <w:sz w:val="28"/>
              <w:szCs w:val="28"/>
            </w:rPr>
            <w:instrText xml:space="preserve"> PAGEREF _Toc7283 \h </w:instrText>
          </w:r>
          <w:r>
            <w:rPr>
              <w:sz w:val="28"/>
              <w:szCs w:val="28"/>
            </w:rPr>
            <w:fldChar w:fldCharType="separate"/>
          </w:r>
          <w:r>
            <w:rPr>
              <w:sz w:val="28"/>
              <w:szCs w:val="28"/>
            </w:rPr>
            <w:t>5</w:t>
          </w:r>
          <w:r>
            <w:rPr>
              <w:sz w:val="28"/>
              <w:szCs w:val="28"/>
            </w:rPr>
            <w:fldChar w:fldCharType="end"/>
          </w:r>
          <w:r>
            <w:rPr>
              <w:sz w:val="28"/>
              <w:szCs w:val="28"/>
            </w:rPr>
            <w:fldChar w:fldCharType="end"/>
          </w:r>
        </w:p>
        <w:p w14:paraId="76E83719">
          <w:pPr>
            <w:pStyle w:val="16"/>
            <w:tabs>
              <w:tab w:val="right" w:leader="dot" w:pos="8306"/>
            </w:tabs>
            <w:ind w:left="440"/>
            <w:rPr>
              <w:sz w:val="28"/>
              <w:szCs w:val="28"/>
            </w:rPr>
          </w:pPr>
          <w:r>
            <w:fldChar w:fldCharType="begin"/>
          </w:r>
          <w:r>
            <w:instrText xml:space="preserve"> HYPERLINK \l "_Toc19946" </w:instrText>
          </w:r>
          <w:r>
            <w:fldChar w:fldCharType="separate"/>
          </w:r>
          <w:r>
            <w:rPr>
              <w:rFonts w:hint="eastAsia"/>
              <w:sz w:val="28"/>
              <w:szCs w:val="28"/>
            </w:rPr>
            <w:t>第二条</w:t>
          </w:r>
          <w:r>
            <w:rPr>
              <w:rFonts w:hint="eastAsia"/>
              <w:sz w:val="28"/>
              <w:szCs w:val="28"/>
              <w:lang w:val="en-US" w:eastAsia="zh-CN"/>
            </w:rPr>
            <w:t xml:space="preserve"> </w:t>
          </w:r>
          <w:r>
            <w:rPr>
              <w:rFonts w:hint="eastAsia"/>
              <w:sz w:val="28"/>
              <w:szCs w:val="28"/>
            </w:rPr>
            <w:t>规划编制导向</w:t>
          </w:r>
          <w:r>
            <w:rPr>
              <w:sz w:val="28"/>
              <w:szCs w:val="28"/>
            </w:rPr>
            <w:tab/>
          </w:r>
          <w:r>
            <w:rPr>
              <w:sz w:val="28"/>
              <w:szCs w:val="28"/>
            </w:rPr>
            <w:fldChar w:fldCharType="begin"/>
          </w:r>
          <w:r>
            <w:rPr>
              <w:sz w:val="28"/>
              <w:szCs w:val="28"/>
            </w:rPr>
            <w:instrText xml:space="preserve"> PAGEREF _Toc19946 \h </w:instrText>
          </w:r>
          <w:r>
            <w:rPr>
              <w:sz w:val="28"/>
              <w:szCs w:val="28"/>
            </w:rPr>
            <w:fldChar w:fldCharType="separate"/>
          </w:r>
          <w:r>
            <w:rPr>
              <w:sz w:val="28"/>
              <w:szCs w:val="28"/>
            </w:rPr>
            <w:t>5</w:t>
          </w:r>
          <w:r>
            <w:rPr>
              <w:sz w:val="28"/>
              <w:szCs w:val="28"/>
            </w:rPr>
            <w:fldChar w:fldCharType="end"/>
          </w:r>
          <w:r>
            <w:rPr>
              <w:sz w:val="28"/>
              <w:szCs w:val="28"/>
            </w:rPr>
            <w:fldChar w:fldCharType="end"/>
          </w:r>
        </w:p>
        <w:p w14:paraId="255AF244">
          <w:pPr>
            <w:pStyle w:val="16"/>
            <w:tabs>
              <w:tab w:val="right" w:leader="dot" w:pos="8306"/>
            </w:tabs>
            <w:ind w:left="440"/>
            <w:rPr>
              <w:sz w:val="28"/>
              <w:szCs w:val="28"/>
            </w:rPr>
          </w:pPr>
          <w:r>
            <w:fldChar w:fldCharType="begin"/>
          </w:r>
          <w:r>
            <w:instrText xml:space="preserve"> HYPERLINK \l "_Toc9264" </w:instrText>
          </w:r>
          <w:r>
            <w:fldChar w:fldCharType="separate"/>
          </w:r>
          <w:r>
            <w:rPr>
              <w:rFonts w:hint="eastAsia"/>
              <w:sz w:val="28"/>
              <w:szCs w:val="28"/>
            </w:rPr>
            <w:t>第三条</w:t>
          </w:r>
          <w:r>
            <w:rPr>
              <w:rFonts w:hint="eastAsia"/>
              <w:sz w:val="28"/>
              <w:szCs w:val="28"/>
              <w:lang w:val="en-US" w:eastAsia="zh-CN"/>
            </w:rPr>
            <w:t xml:space="preserve"> </w:t>
          </w:r>
          <w:r>
            <w:rPr>
              <w:rFonts w:hint="eastAsia"/>
              <w:sz w:val="28"/>
              <w:szCs w:val="28"/>
            </w:rPr>
            <w:t>规划依据</w:t>
          </w:r>
          <w:r>
            <w:rPr>
              <w:sz w:val="28"/>
              <w:szCs w:val="28"/>
            </w:rPr>
            <w:tab/>
          </w:r>
          <w:r>
            <w:rPr>
              <w:sz w:val="28"/>
              <w:szCs w:val="28"/>
            </w:rPr>
            <w:fldChar w:fldCharType="begin"/>
          </w:r>
          <w:r>
            <w:rPr>
              <w:sz w:val="28"/>
              <w:szCs w:val="28"/>
            </w:rPr>
            <w:instrText xml:space="preserve"> PAGEREF _Toc9264 \h </w:instrText>
          </w:r>
          <w:r>
            <w:rPr>
              <w:sz w:val="28"/>
              <w:szCs w:val="28"/>
            </w:rPr>
            <w:fldChar w:fldCharType="separate"/>
          </w:r>
          <w:r>
            <w:rPr>
              <w:sz w:val="28"/>
              <w:szCs w:val="28"/>
            </w:rPr>
            <w:t>5</w:t>
          </w:r>
          <w:r>
            <w:rPr>
              <w:sz w:val="28"/>
              <w:szCs w:val="28"/>
            </w:rPr>
            <w:fldChar w:fldCharType="end"/>
          </w:r>
          <w:r>
            <w:rPr>
              <w:sz w:val="28"/>
              <w:szCs w:val="28"/>
            </w:rPr>
            <w:fldChar w:fldCharType="end"/>
          </w:r>
        </w:p>
        <w:p w14:paraId="2F30BF2D">
          <w:pPr>
            <w:pStyle w:val="16"/>
            <w:tabs>
              <w:tab w:val="right" w:leader="dot" w:pos="8306"/>
            </w:tabs>
            <w:ind w:left="440"/>
            <w:rPr>
              <w:sz w:val="28"/>
              <w:szCs w:val="28"/>
            </w:rPr>
          </w:pPr>
          <w:r>
            <w:fldChar w:fldCharType="begin"/>
          </w:r>
          <w:r>
            <w:instrText xml:space="preserve"> HYPERLINK \l "_Toc10445" </w:instrText>
          </w:r>
          <w:r>
            <w:fldChar w:fldCharType="separate"/>
          </w:r>
          <w:r>
            <w:rPr>
              <w:rFonts w:hint="eastAsia"/>
              <w:sz w:val="28"/>
              <w:szCs w:val="28"/>
            </w:rPr>
            <w:t>第四条</w:t>
          </w:r>
          <w:r>
            <w:rPr>
              <w:rFonts w:hint="eastAsia"/>
              <w:sz w:val="28"/>
              <w:szCs w:val="28"/>
              <w:lang w:val="en-US" w:eastAsia="zh-CN"/>
            </w:rPr>
            <w:t xml:space="preserve"> </w:t>
          </w:r>
          <w:r>
            <w:rPr>
              <w:rFonts w:hint="eastAsia"/>
              <w:sz w:val="28"/>
              <w:szCs w:val="28"/>
            </w:rPr>
            <w:t>规划原则</w:t>
          </w:r>
          <w:r>
            <w:rPr>
              <w:sz w:val="28"/>
              <w:szCs w:val="28"/>
            </w:rPr>
            <w:tab/>
          </w:r>
          <w:r>
            <w:rPr>
              <w:sz w:val="28"/>
              <w:szCs w:val="28"/>
            </w:rPr>
            <w:fldChar w:fldCharType="begin"/>
          </w:r>
          <w:r>
            <w:rPr>
              <w:sz w:val="28"/>
              <w:szCs w:val="28"/>
            </w:rPr>
            <w:instrText xml:space="preserve"> PAGEREF _Toc10445 \h </w:instrText>
          </w:r>
          <w:r>
            <w:rPr>
              <w:sz w:val="28"/>
              <w:szCs w:val="28"/>
            </w:rPr>
            <w:fldChar w:fldCharType="separate"/>
          </w:r>
          <w:r>
            <w:rPr>
              <w:sz w:val="28"/>
              <w:szCs w:val="28"/>
            </w:rPr>
            <w:t>7</w:t>
          </w:r>
          <w:r>
            <w:rPr>
              <w:sz w:val="28"/>
              <w:szCs w:val="28"/>
            </w:rPr>
            <w:fldChar w:fldCharType="end"/>
          </w:r>
          <w:r>
            <w:rPr>
              <w:sz w:val="28"/>
              <w:szCs w:val="28"/>
            </w:rPr>
            <w:fldChar w:fldCharType="end"/>
          </w:r>
        </w:p>
        <w:p w14:paraId="5DC27A21">
          <w:pPr>
            <w:pStyle w:val="16"/>
            <w:tabs>
              <w:tab w:val="right" w:leader="dot" w:pos="8306"/>
            </w:tabs>
            <w:ind w:left="440"/>
            <w:rPr>
              <w:sz w:val="28"/>
              <w:szCs w:val="28"/>
            </w:rPr>
          </w:pPr>
          <w:r>
            <w:fldChar w:fldCharType="begin"/>
          </w:r>
          <w:r>
            <w:instrText xml:space="preserve"> HYPERLINK \l "_Toc28250" </w:instrText>
          </w:r>
          <w:r>
            <w:fldChar w:fldCharType="separate"/>
          </w:r>
          <w:r>
            <w:rPr>
              <w:rFonts w:hint="eastAsia"/>
              <w:sz w:val="28"/>
              <w:szCs w:val="28"/>
            </w:rPr>
            <w:t>第五条</w:t>
          </w:r>
          <w:r>
            <w:rPr>
              <w:rFonts w:hint="eastAsia"/>
              <w:sz w:val="28"/>
              <w:szCs w:val="28"/>
              <w:lang w:val="en-US" w:eastAsia="zh-CN"/>
            </w:rPr>
            <w:t xml:space="preserve"> </w:t>
          </w:r>
          <w:r>
            <w:rPr>
              <w:rFonts w:hint="eastAsia"/>
              <w:sz w:val="28"/>
              <w:szCs w:val="28"/>
            </w:rPr>
            <w:t>总结研判</w:t>
          </w:r>
          <w:r>
            <w:rPr>
              <w:sz w:val="28"/>
              <w:szCs w:val="28"/>
            </w:rPr>
            <w:tab/>
          </w:r>
          <w:r>
            <w:rPr>
              <w:sz w:val="28"/>
              <w:szCs w:val="28"/>
            </w:rPr>
            <w:fldChar w:fldCharType="begin"/>
          </w:r>
          <w:r>
            <w:rPr>
              <w:sz w:val="28"/>
              <w:szCs w:val="28"/>
            </w:rPr>
            <w:instrText xml:space="preserve"> PAGEREF _Toc28250 \h </w:instrText>
          </w:r>
          <w:r>
            <w:rPr>
              <w:sz w:val="28"/>
              <w:szCs w:val="28"/>
            </w:rPr>
            <w:fldChar w:fldCharType="separate"/>
          </w:r>
          <w:r>
            <w:rPr>
              <w:sz w:val="28"/>
              <w:szCs w:val="28"/>
            </w:rPr>
            <w:t>8</w:t>
          </w:r>
          <w:r>
            <w:rPr>
              <w:sz w:val="28"/>
              <w:szCs w:val="28"/>
            </w:rPr>
            <w:fldChar w:fldCharType="end"/>
          </w:r>
          <w:r>
            <w:rPr>
              <w:sz w:val="28"/>
              <w:szCs w:val="28"/>
            </w:rPr>
            <w:fldChar w:fldCharType="end"/>
          </w:r>
        </w:p>
        <w:p w14:paraId="542DF80D">
          <w:pPr>
            <w:pStyle w:val="16"/>
            <w:tabs>
              <w:tab w:val="right" w:leader="dot" w:pos="8306"/>
            </w:tabs>
            <w:ind w:left="440"/>
            <w:rPr>
              <w:sz w:val="28"/>
              <w:szCs w:val="28"/>
            </w:rPr>
          </w:pPr>
          <w:r>
            <w:fldChar w:fldCharType="begin"/>
          </w:r>
          <w:r>
            <w:instrText xml:space="preserve"> HYPERLINK \l "_Toc9848" </w:instrText>
          </w:r>
          <w:r>
            <w:fldChar w:fldCharType="separate"/>
          </w:r>
          <w:r>
            <w:rPr>
              <w:rFonts w:hint="eastAsia"/>
              <w:sz w:val="28"/>
              <w:szCs w:val="28"/>
            </w:rPr>
            <w:t>第六条</w:t>
          </w:r>
          <w:r>
            <w:rPr>
              <w:rFonts w:hint="eastAsia"/>
              <w:sz w:val="28"/>
              <w:szCs w:val="28"/>
              <w:lang w:val="en-US" w:eastAsia="zh-CN"/>
            </w:rPr>
            <w:t xml:space="preserve"> </w:t>
          </w:r>
          <w:r>
            <w:rPr>
              <w:rFonts w:hint="eastAsia"/>
              <w:sz w:val="28"/>
              <w:szCs w:val="28"/>
            </w:rPr>
            <w:t>规划期限</w:t>
          </w:r>
          <w:r>
            <w:rPr>
              <w:sz w:val="28"/>
              <w:szCs w:val="28"/>
            </w:rPr>
            <w:tab/>
          </w:r>
          <w:r>
            <w:rPr>
              <w:sz w:val="28"/>
              <w:szCs w:val="28"/>
            </w:rPr>
            <w:fldChar w:fldCharType="begin"/>
          </w:r>
          <w:r>
            <w:rPr>
              <w:sz w:val="28"/>
              <w:szCs w:val="28"/>
            </w:rPr>
            <w:instrText xml:space="preserve"> PAGEREF _Toc9848 \h </w:instrText>
          </w:r>
          <w:r>
            <w:rPr>
              <w:sz w:val="28"/>
              <w:szCs w:val="28"/>
            </w:rPr>
            <w:fldChar w:fldCharType="separate"/>
          </w:r>
          <w:r>
            <w:rPr>
              <w:sz w:val="28"/>
              <w:szCs w:val="28"/>
            </w:rPr>
            <w:t>8</w:t>
          </w:r>
          <w:r>
            <w:rPr>
              <w:sz w:val="28"/>
              <w:szCs w:val="28"/>
            </w:rPr>
            <w:fldChar w:fldCharType="end"/>
          </w:r>
          <w:r>
            <w:rPr>
              <w:sz w:val="28"/>
              <w:szCs w:val="28"/>
            </w:rPr>
            <w:fldChar w:fldCharType="end"/>
          </w:r>
        </w:p>
        <w:p w14:paraId="128BE42B">
          <w:pPr>
            <w:pStyle w:val="16"/>
            <w:tabs>
              <w:tab w:val="right" w:leader="dot" w:pos="8306"/>
            </w:tabs>
            <w:ind w:left="440"/>
            <w:rPr>
              <w:sz w:val="28"/>
              <w:szCs w:val="28"/>
            </w:rPr>
          </w:pPr>
          <w:r>
            <w:fldChar w:fldCharType="begin"/>
          </w:r>
          <w:r>
            <w:instrText xml:space="preserve"> HYPERLINK \l "_Toc6912" </w:instrText>
          </w:r>
          <w:r>
            <w:fldChar w:fldCharType="separate"/>
          </w:r>
          <w:r>
            <w:rPr>
              <w:rFonts w:hint="eastAsia"/>
              <w:sz w:val="28"/>
              <w:szCs w:val="28"/>
            </w:rPr>
            <w:t>第七条</w:t>
          </w:r>
          <w:r>
            <w:rPr>
              <w:rFonts w:hint="eastAsia"/>
              <w:sz w:val="28"/>
              <w:szCs w:val="28"/>
              <w:lang w:val="en-US" w:eastAsia="zh-CN"/>
            </w:rPr>
            <w:t xml:space="preserve"> </w:t>
          </w:r>
          <w:r>
            <w:rPr>
              <w:rFonts w:hint="eastAsia"/>
              <w:sz w:val="28"/>
              <w:szCs w:val="28"/>
            </w:rPr>
            <w:t>规划范围</w:t>
          </w:r>
          <w:r>
            <w:rPr>
              <w:sz w:val="28"/>
              <w:szCs w:val="28"/>
            </w:rPr>
            <w:tab/>
          </w:r>
          <w:r>
            <w:rPr>
              <w:sz w:val="28"/>
              <w:szCs w:val="28"/>
            </w:rPr>
            <w:fldChar w:fldCharType="begin"/>
          </w:r>
          <w:r>
            <w:rPr>
              <w:sz w:val="28"/>
              <w:szCs w:val="28"/>
            </w:rPr>
            <w:instrText xml:space="preserve"> PAGEREF _Toc6912 \h </w:instrText>
          </w:r>
          <w:r>
            <w:rPr>
              <w:sz w:val="28"/>
              <w:szCs w:val="28"/>
            </w:rPr>
            <w:fldChar w:fldCharType="separate"/>
          </w:r>
          <w:r>
            <w:rPr>
              <w:sz w:val="28"/>
              <w:szCs w:val="28"/>
            </w:rPr>
            <w:t>8</w:t>
          </w:r>
          <w:r>
            <w:rPr>
              <w:sz w:val="28"/>
              <w:szCs w:val="28"/>
            </w:rPr>
            <w:fldChar w:fldCharType="end"/>
          </w:r>
          <w:r>
            <w:rPr>
              <w:sz w:val="28"/>
              <w:szCs w:val="28"/>
            </w:rPr>
            <w:fldChar w:fldCharType="end"/>
          </w:r>
        </w:p>
        <w:p w14:paraId="5F7565F1">
          <w:pPr>
            <w:pStyle w:val="15"/>
            <w:tabs>
              <w:tab w:val="right" w:leader="dot" w:pos="8306"/>
            </w:tabs>
            <w:rPr>
              <w:b/>
              <w:sz w:val="28"/>
              <w:szCs w:val="28"/>
            </w:rPr>
          </w:pPr>
          <w:r>
            <w:fldChar w:fldCharType="begin"/>
          </w:r>
          <w:r>
            <w:instrText xml:space="preserve"> HYPERLINK \l "_Toc302" </w:instrText>
          </w:r>
          <w:r>
            <w:fldChar w:fldCharType="separate"/>
          </w:r>
          <w:r>
            <w:rPr>
              <w:rFonts w:hint="eastAsia"/>
              <w:b/>
              <w:sz w:val="28"/>
              <w:szCs w:val="28"/>
            </w:rPr>
            <w:t>第二章</w:t>
          </w:r>
          <w:r>
            <w:rPr>
              <w:rFonts w:hint="eastAsia"/>
              <w:b/>
              <w:sz w:val="28"/>
              <w:szCs w:val="28"/>
              <w:lang w:val="en-US" w:eastAsia="zh-CN"/>
            </w:rPr>
            <w:t xml:space="preserve"> </w:t>
          </w:r>
          <w:r>
            <w:rPr>
              <w:b/>
              <w:sz w:val="28"/>
              <w:szCs w:val="28"/>
            </w:rPr>
            <w:t>消防发展目标</w:t>
          </w:r>
          <w:r>
            <w:rPr>
              <w:b/>
              <w:sz w:val="28"/>
              <w:szCs w:val="28"/>
            </w:rPr>
            <w:tab/>
          </w:r>
          <w:r>
            <w:rPr>
              <w:b/>
              <w:sz w:val="28"/>
              <w:szCs w:val="28"/>
            </w:rPr>
            <w:fldChar w:fldCharType="begin"/>
          </w:r>
          <w:r>
            <w:rPr>
              <w:b/>
              <w:sz w:val="28"/>
              <w:szCs w:val="28"/>
            </w:rPr>
            <w:instrText xml:space="preserve"> PAGEREF _Toc302 \h </w:instrText>
          </w:r>
          <w:r>
            <w:rPr>
              <w:b/>
              <w:sz w:val="28"/>
              <w:szCs w:val="28"/>
            </w:rPr>
            <w:fldChar w:fldCharType="separate"/>
          </w:r>
          <w:r>
            <w:rPr>
              <w:b/>
              <w:sz w:val="28"/>
              <w:szCs w:val="28"/>
            </w:rPr>
            <w:t>10</w:t>
          </w:r>
          <w:r>
            <w:rPr>
              <w:b/>
              <w:sz w:val="28"/>
              <w:szCs w:val="28"/>
            </w:rPr>
            <w:fldChar w:fldCharType="end"/>
          </w:r>
          <w:r>
            <w:rPr>
              <w:b/>
              <w:sz w:val="28"/>
              <w:szCs w:val="28"/>
            </w:rPr>
            <w:fldChar w:fldCharType="end"/>
          </w:r>
        </w:p>
        <w:p w14:paraId="72B646A7">
          <w:pPr>
            <w:pStyle w:val="16"/>
            <w:tabs>
              <w:tab w:val="right" w:leader="dot" w:pos="8306"/>
            </w:tabs>
            <w:ind w:left="440"/>
            <w:rPr>
              <w:sz w:val="28"/>
              <w:szCs w:val="28"/>
            </w:rPr>
          </w:pPr>
          <w:r>
            <w:fldChar w:fldCharType="begin"/>
          </w:r>
          <w:r>
            <w:instrText xml:space="preserve"> HYPERLINK \l "_Toc29702" </w:instrText>
          </w:r>
          <w:r>
            <w:fldChar w:fldCharType="separate"/>
          </w:r>
          <w:r>
            <w:rPr>
              <w:rFonts w:hint="eastAsia"/>
              <w:sz w:val="28"/>
              <w:szCs w:val="28"/>
            </w:rPr>
            <w:t>第八条</w:t>
          </w:r>
          <w:r>
            <w:rPr>
              <w:rFonts w:hint="eastAsia"/>
              <w:sz w:val="28"/>
              <w:szCs w:val="28"/>
              <w:lang w:val="en-US" w:eastAsia="zh-CN"/>
            </w:rPr>
            <w:t xml:space="preserve"> </w:t>
          </w:r>
          <w:r>
            <w:rPr>
              <w:rFonts w:hint="eastAsia"/>
              <w:sz w:val="28"/>
              <w:szCs w:val="28"/>
            </w:rPr>
            <w:t>总体目标</w:t>
          </w:r>
          <w:r>
            <w:rPr>
              <w:sz w:val="28"/>
              <w:szCs w:val="28"/>
            </w:rPr>
            <w:tab/>
          </w:r>
          <w:r>
            <w:rPr>
              <w:sz w:val="28"/>
              <w:szCs w:val="28"/>
            </w:rPr>
            <w:fldChar w:fldCharType="begin"/>
          </w:r>
          <w:r>
            <w:rPr>
              <w:sz w:val="28"/>
              <w:szCs w:val="28"/>
            </w:rPr>
            <w:instrText xml:space="preserve"> PAGEREF _Toc29702 \h </w:instrText>
          </w:r>
          <w:r>
            <w:rPr>
              <w:sz w:val="28"/>
              <w:szCs w:val="28"/>
            </w:rPr>
            <w:fldChar w:fldCharType="separate"/>
          </w:r>
          <w:r>
            <w:rPr>
              <w:sz w:val="28"/>
              <w:szCs w:val="28"/>
            </w:rPr>
            <w:t>10</w:t>
          </w:r>
          <w:r>
            <w:rPr>
              <w:sz w:val="28"/>
              <w:szCs w:val="28"/>
            </w:rPr>
            <w:fldChar w:fldCharType="end"/>
          </w:r>
          <w:r>
            <w:rPr>
              <w:sz w:val="28"/>
              <w:szCs w:val="28"/>
            </w:rPr>
            <w:fldChar w:fldCharType="end"/>
          </w:r>
        </w:p>
        <w:p w14:paraId="4BD76992">
          <w:pPr>
            <w:pStyle w:val="16"/>
            <w:tabs>
              <w:tab w:val="right" w:leader="dot" w:pos="8306"/>
            </w:tabs>
            <w:ind w:left="440"/>
            <w:rPr>
              <w:sz w:val="28"/>
              <w:szCs w:val="28"/>
            </w:rPr>
          </w:pPr>
          <w:r>
            <w:fldChar w:fldCharType="begin"/>
          </w:r>
          <w:r>
            <w:instrText xml:space="preserve"> HYPERLINK \l "_Toc6469" </w:instrText>
          </w:r>
          <w:r>
            <w:fldChar w:fldCharType="separate"/>
          </w:r>
          <w:r>
            <w:rPr>
              <w:rFonts w:hint="eastAsia"/>
              <w:sz w:val="28"/>
              <w:szCs w:val="28"/>
            </w:rPr>
            <w:t>第九条</w:t>
          </w:r>
          <w:r>
            <w:rPr>
              <w:rFonts w:hint="eastAsia"/>
              <w:sz w:val="28"/>
              <w:szCs w:val="28"/>
              <w:lang w:val="en-US" w:eastAsia="zh-CN"/>
            </w:rPr>
            <w:t xml:space="preserve"> </w:t>
          </w:r>
          <w:r>
            <w:rPr>
              <w:rFonts w:hint="eastAsia"/>
              <w:sz w:val="28"/>
              <w:szCs w:val="28"/>
            </w:rPr>
            <w:t>近期目标</w:t>
          </w:r>
          <w:r>
            <w:rPr>
              <w:sz w:val="28"/>
              <w:szCs w:val="28"/>
            </w:rPr>
            <w:tab/>
          </w:r>
          <w:r>
            <w:rPr>
              <w:sz w:val="28"/>
              <w:szCs w:val="28"/>
            </w:rPr>
            <w:fldChar w:fldCharType="begin"/>
          </w:r>
          <w:r>
            <w:rPr>
              <w:sz w:val="28"/>
              <w:szCs w:val="28"/>
            </w:rPr>
            <w:instrText xml:space="preserve"> PAGEREF _Toc6469 \h </w:instrText>
          </w:r>
          <w:r>
            <w:rPr>
              <w:sz w:val="28"/>
              <w:szCs w:val="28"/>
            </w:rPr>
            <w:fldChar w:fldCharType="separate"/>
          </w:r>
          <w:r>
            <w:rPr>
              <w:sz w:val="28"/>
              <w:szCs w:val="28"/>
            </w:rPr>
            <w:t>10</w:t>
          </w:r>
          <w:r>
            <w:rPr>
              <w:sz w:val="28"/>
              <w:szCs w:val="28"/>
            </w:rPr>
            <w:fldChar w:fldCharType="end"/>
          </w:r>
          <w:r>
            <w:rPr>
              <w:sz w:val="28"/>
              <w:szCs w:val="28"/>
            </w:rPr>
            <w:fldChar w:fldCharType="end"/>
          </w:r>
        </w:p>
        <w:p w14:paraId="577EDB86">
          <w:pPr>
            <w:pStyle w:val="16"/>
            <w:tabs>
              <w:tab w:val="right" w:leader="dot" w:pos="8306"/>
            </w:tabs>
            <w:ind w:left="440"/>
            <w:rPr>
              <w:sz w:val="28"/>
              <w:szCs w:val="28"/>
            </w:rPr>
          </w:pPr>
          <w:r>
            <w:fldChar w:fldCharType="begin"/>
          </w:r>
          <w:r>
            <w:instrText xml:space="preserve"> HYPERLINK \l "_Toc9825" </w:instrText>
          </w:r>
          <w:r>
            <w:fldChar w:fldCharType="separate"/>
          </w:r>
          <w:r>
            <w:rPr>
              <w:rFonts w:hint="eastAsia"/>
              <w:sz w:val="28"/>
              <w:szCs w:val="28"/>
            </w:rPr>
            <w:t>第十条</w:t>
          </w:r>
          <w:r>
            <w:rPr>
              <w:rFonts w:hint="eastAsia"/>
              <w:sz w:val="28"/>
              <w:szCs w:val="28"/>
              <w:lang w:val="en-US" w:eastAsia="zh-CN"/>
            </w:rPr>
            <w:t xml:space="preserve"> </w:t>
          </w:r>
          <w:r>
            <w:rPr>
              <w:rFonts w:hint="eastAsia"/>
              <w:sz w:val="28"/>
              <w:szCs w:val="28"/>
            </w:rPr>
            <w:t>远期目标</w:t>
          </w:r>
          <w:r>
            <w:rPr>
              <w:sz w:val="28"/>
              <w:szCs w:val="28"/>
            </w:rPr>
            <w:tab/>
          </w:r>
          <w:r>
            <w:rPr>
              <w:sz w:val="28"/>
              <w:szCs w:val="28"/>
            </w:rPr>
            <w:fldChar w:fldCharType="begin"/>
          </w:r>
          <w:r>
            <w:rPr>
              <w:sz w:val="28"/>
              <w:szCs w:val="28"/>
            </w:rPr>
            <w:instrText xml:space="preserve"> PAGEREF _Toc9825 \h </w:instrText>
          </w:r>
          <w:r>
            <w:rPr>
              <w:sz w:val="28"/>
              <w:szCs w:val="28"/>
            </w:rPr>
            <w:fldChar w:fldCharType="separate"/>
          </w:r>
          <w:r>
            <w:rPr>
              <w:sz w:val="28"/>
              <w:szCs w:val="28"/>
            </w:rPr>
            <w:t>12</w:t>
          </w:r>
          <w:r>
            <w:rPr>
              <w:sz w:val="28"/>
              <w:szCs w:val="28"/>
            </w:rPr>
            <w:fldChar w:fldCharType="end"/>
          </w:r>
          <w:r>
            <w:rPr>
              <w:sz w:val="28"/>
              <w:szCs w:val="28"/>
            </w:rPr>
            <w:fldChar w:fldCharType="end"/>
          </w:r>
        </w:p>
        <w:p w14:paraId="0143353D">
          <w:pPr>
            <w:pStyle w:val="15"/>
            <w:tabs>
              <w:tab w:val="right" w:leader="dot" w:pos="8306"/>
            </w:tabs>
            <w:rPr>
              <w:b/>
              <w:sz w:val="28"/>
              <w:szCs w:val="28"/>
            </w:rPr>
          </w:pPr>
          <w:r>
            <w:fldChar w:fldCharType="begin"/>
          </w:r>
          <w:r>
            <w:instrText xml:space="preserve"> HYPERLINK \l "_Toc26099" </w:instrText>
          </w:r>
          <w:r>
            <w:fldChar w:fldCharType="separate"/>
          </w:r>
          <w:r>
            <w:rPr>
              <w:rFonts w:hint="eastAsia"/>
              <w:b/>
              <w:sz w:val="28"/>
              <w:szCs w:val="28"/>
            </w:rPr>
            <w:t>第三章</w:t>
          </w:r>
          <w:r>
            <w:rPr>
              <w:rFonts w:hint="eastAsia"/>
              <w:b/>
              <w:sz w:val="28"/>
              <w:szCs w:val="28"/>
              <w:lang w:val="en-US" w:eastAsia="zh-CN"/>
            </w:rPr>
            <w:t xml:space="preserve"> </w:t>
          </w:r>
          <w:r>
            <w:rPr>
              <w:b/>
              <w:sz w:val="28"/>
              <w:szCs w:val="28"/>
            </w:rPr>
            <w:t>区域联防联动及重大设施共建共享</w:t>
          </w:r>
          <w:r>
            <w:rPr>
              <w:b/>
              <w:sz w:val="28"/>
              <w:szCs w:val="28"/>
            </w:rPr>
            <w:tab/>
          </w:r>
          <w:r>
            <w:rPr>
              <w:b/>
              <w:sz w:val="28"/>
              <w:szCs w:val="28"/>
            </w:rPr>
            <w:fldChar w:fldCharType="begin"/>
          </w:r>
          <w:r>
            <w:rPr>
              <w:b/>
              <w:sz w:val="28"/>
              <w:szCs w:val="28"/>
            </w:rPr>
            <w:instrText xml:space="preserve"> PAGEREF _Toc26099 \h </w:instrText>
          </w:r>
          <w:r>
            <w:rPr>
              <w:b/>
              <w:sz w:val="28"/>
              <w:szCs w:val="28"/>
            </w:rPr>
            <w:fldChar w:fldCharType="separate"/>
          </w:r>
          <w:r>
            <w:rPr>
              <w:b/>
              <w:sz w:val="28"/>
              <w:szCs w:val="28"/>
            </w:rPr>
            <w:t>13</w:t>
          </w:r>
          <w:r>
            <w:rPr>
              <w:b/>
              <w:sz w:val="28"/>
              <w:szCs w:val="28"/>
            </w:rPr>
            <w:fldChar w:fldCharType="end"/>
          </w:r>
          <w:r>
            <w:rPr>
              <w:b/>
              <w:sz w:val="28"/>
              <w:szCs w:val="28"/>
            </w:rPr>
            <w:fldChar w:fldCharType="end"/>
          </w:r>
        </w:p>
        <w:p w14:paraId="0991FA68">
          <w:pPr>
            <w:pStyle w:val="16"/>
            <w:tabs>
              <w:tab w:val="right" w:leader="dot" w:pos="8306"/>
            </w:tabs>
            <w:ind w:left="440"/>
            <w:rPr>
              <w:sz w:val="28"/>
              <w:szCs w:val="28"/>
            </w:rPr>
          </w:pPr>
          <w:r>
            <w:fldChar w:fldCharType="begin"/>
          </w:r>
          <w:r>
            <w:instrText xml:space="preserve"> HYPERLINK \l "_Toc6716" </w:instrText>
          </w:r>
          <w:r>
            <w:fldChar w:fldCharType="separate"/>
          </w:r>
          <w:r>
            <w:rPr>
              <w:rFonts w:hint="eastAsia"/>
              <w:sz w:val="28"/>
              <w:szCs w:val="28"/>
            </w:rPr>
            <w:t>第十一条危化火灾联防联动机制</w:t>
          </w:r>
          <w:r>
            <w:rPr>
              <w:sz w:val="28"/>
              <w:szCs w:val="28"/>
            </w:rPr>
            <w:tab/>
          </w:r>
          <w:r>
            <w:rPr>
              <w:sz w:val="28"/>
              <w:szCs w:val="28"/>
            </w:rPr>
            <w:fldChar w:fldCharType="begin"/>
          </w:r>
          <w:r>
            <w:rPr>
              <w:sz w:val="28"/>
              <w:szCs w:val="28"/>
            </w:rPr>
            <w:instrText xml:space="preserve"> PAGEREF _Toc6716 \h </w:instrText>
          </w:r>
          <w:r>
            <w:rPr>
              <w:sz w:val="28"/>
              <w:szCs w:val="28"/>
            </w:rPr>
            <w:fldChar w:fldCharType="separate"/>
          </w:r>
          <w:r>
            <w:rPr>
              <w:sz w:val="28"/>
              <w:szCs w:val="28"/>
            </w:rPr>
            <w:t>13</w:t>
          </w:r>
          <w:r>
            <w:rPr>
              <w:sz w:val="28"/>
              <w:szCs w:val="28"/>
            </w:rPr>
            <w:fldChar w:fldCharType="end"/>
          </w:r>
          <w:r>
            <w:rPr>
              <w:sz w:val="28"/>
              <w:szCs w:val="28"/>
            </w:rPr>
            <w:fldChar w:fldCharType="end"/>
          </w:r>
        </w:p>
        <w:p w14:paraId="2532BE8B">
          <w:pPr>
            <w:pStyle w:val="16"/>
            <w:tabs>
              <w:tab w:val="right" w:leader="dot" w:pos="8306"/>
            </w:tabs>
            <w:ind w:left="440"/>
            <w:rPr>
              <w:sz w:val="28"/>
              <w:szCs w:val="28"/>
            </w:rPr>
          </w:pPr>
          <w:r>
            <w:fldChar w:fldCharType="begin"/>
          </w:r>
          <w:r>
            <w:instrText xml:space="preserve"> HYPERLINK \l "_Toc27991" </w:instrText>
          </w:r>
          <w:r>
            <w:fldChar w:fldCharType="separate"/>
          </w:r>
          <w:r>
            <w:rPr>
              <w:rFonts w:hint="eastAsia"/>
              <w:sz w:val="28"/>
              <w:szCs w:val="28"/>
            </w:rPr>
            <w:t>第十二条应急救援基地</w:t>
          </w:r>
          <w:r>
            <w:rPr>
              <w:sz w:val="28"/>
              <w:szCs w:val="28"/>
            </w:rPr>
            <w:tab/>
          </w:r>
          <w:r>
            <w:rPr>
              <w:sz w:val="28"/>
              <w:szCs w:val="28"/>
            </w:rPr>
            <w:fldChar w:fldCharType="begin"/>
          </w:r>
          <w:r>
            <w:rPr>
              <w:sz w:val="28"/>
              <w:szCs w:val="28"/>
            </w:rPr>
            <w:instrText xml:space="preserve"> PAGEREF _Toc27991 \h </w:instrText>
          </w:r>
          <w:r>
            <w:rPr>
              <w:sz w:val="28"/>
              <w:szCs w:val="28"/>
            </w:rPr>
            <w:fldChar w:fldCharType="separate"/>
          </w:r>
          <w:r>
            <w:rPr>
              <w:sz w:val="28"/>
              <w:szCs w:val="28"/>
            </w:rPr>
            <w:t>14</w:t>
          </w:r>
          <w:r>
            <w:rPr>
              <w:sz w:val="28"/>
              <w:szCs w:val="28"/>
            </w:rPr>
            <w:fldChar w:fldCharType="end"/>
          </w:r>
          <w:r>
            <w:rPr>
              <w:sz w:val="28"/>
              <w:szCs w:val="28"/>
            </w:rPr>
            <w:fldChar w:fldCharType="end"/>
          </w:r>
        </w:p>
        <w:p w14:paraId="509B9AF1">
          <w:pPr>
            <w:pStyle w:val="16"/>
            <w:tabs>
              <w:tab w:val="right" w:leader="dot" w:pos="8306"/>
            </w:tabs>
            <w:ind w:left="440"/>
            <w:rPr>
              <w:sz w:val="28"/>
              <w:szCs w:val="28"/>
            </w:rPr>
          </w:pPr>
          <w:r>
            <w:fldChar w:fldCharType="begin"/>
          </w:r>
          <w:r>
            <w:instrText xml:space="preserve"> HYPERLINK \l "_Toc2384" </w:instrText>
          </w:r>
          <w:r>
            <w:fldChar w:fldCharType="separate"/>
          </w:r>
          <w:r>
            <w:rPr>
              <w:rFonts w:hint="eastAsia"/>
              <w:sz w:val="28"/>
              <w:szCs w:val="28"/>
            </w:rPr>
            <w:t>第十三条物资储备体系</w:t>
          </w:r>
          <w:r>
            <w:rPr>
              <w:sz w:val="28"/>
              <w:szCs w:val="28"/>
            </w:rPr>
            <w:tab/>
          </w:r>
          <w:r>
            <w:rPr>
              <w:sz w:val="28"/>
              <w:szCs w:val="28"/>
            </w:rPr>
            <w:fldChar w:fldCharType="begin"/>
          </w:r>
          <w:r>
            <w:rPr>
              <w:sz w:val="28"/>
              <w:szCs w:val="28"/>
            </w:rPr>
            <w:instrText xml:space="preserve"> PAGEREF _Toc2384 \h </w:instrText>
          </w:r>
          <w:r>
            <w:rPr>
              <w:sz w:val="28"/>
              <w:szCs w:val="28"/>
            </w:rPr>
            <w:fldChar w:fldCharType="separate"/>
          </w:r>
          <w:r>
            <w:rPr>
              <w:sz w:val="28"/>
              <w:szCs w:val="28"/>
            </w:rPr>
            <w:t>15</w:t>
          </w:r>
          <w:r>
            <w:rPr>
              <w:sz w:val="28"/>
              <w:szCs w:val="28"/>
            </w:rPr>
            <w:fldChar w:fldCharType="end"/>
          </w:r>
          <w:r>
            <w:rPr>
              <w:sz w:val="28"/>
              <w:szCs w:val="28"/>
            </w:rPr>
            <w:fldChar w:fldCharType="end"/>
          </w:r>
        </w:p>
        <w:p w14:paraId="16EFB026">
          <w:pPr>
            <w:pStyle w:val="16"/>
            <w:tabs>
              <w:tab w:val="right" w:leader="dot" w:pos="8306"/>
            </w:tabs>
            <w:ind w:left="440"/>
            <w:rPr>
              <w:sz w:val="28"/>
              <w:szCs w:val="28"/>
            </w:rPr>
          </w:pPr>
          <w:r>
            <w:fldChar w:fldCharType="begin"/>
          </w:r>
          <w:r>
            <w:instrText xml:space="preserve"> HYPERLINK \l "_Toc1528" </w:instrText>
          </w:r>
          <w:r>
            <w:fldChar w:fldCharType="separate"/>
          </w:r>
          <w:r>
            <w:rPr>
              <w:rFonts w:hint="eastAsia"/>
              <w:sz w:val="28"/>
              <w:szCs w:val="28"/>
            </w:rPr>
            <w:t>第十四条消防指挥中心</w:t>
          </w:r>
          <w:r>
            <w:rPr>
              <w:sz w:val="28"/>
              <w:szCs w:val="28"/>
            </w:rPr>
            <w:tab/>
          </w:r>
          <w:r>
            <w:rPr>
              <w:sz w:val="28"/>
              <w:szCs w:val="28"/>
            </w:rPr>
            <w:fldChar w:fldCharType="begin"/>
          </w:r>
          <w:r>
            <w:rPr>
              <w:sz w:val="28"/>
              <w:szCs w:val="28"/>
            </w:rPr>
            <w:instrText xml:space="preserve"> PAGEREF _Toc1528 \h </w:instrText>
          </w:r>
          <w:r>
            <w:rPr>
              <w:sz w:val="28"/>
              <w:szCs w:val="28"/>
            </w:rPr>
            <w:fldChar w:fldCharType="separate"/>
          </w:r>
          <w:r>
            <w:rPr>
              <w:sz w:val="28"/>
              <w:szCs w:val="28"/>
            </w:rPr>
            <w:t>15</w:t>
          </w:r>
          <w:r>
            <w:rPr>
              <w:sz w:val="28"/>
              <w:szCs w:val="28"/>
            </w:rPr>
            <w:fldChar w:fldCharType="end"/>
          </w:r>
          <w:r>
            <w:rPr>
              <w:sz w:val="28"/>
              <w:szCs w:val="28"/>
            </w:rPr>
            <w:fldChar w:fldCharType="end"/>
          </w:r>
        </w:p>
        <w:p w14:paraId="78953386">
          <w:pPr>
            <w:pStyle w:val="15"/>
            <w:tabs>
              <w:tab w:val="right" w:leader="dot" w:pos="8306"/>
            </w:tabs>
            <w:rPr>
              <w:b/>
              <w:sz w:val="28"/>
              <w:szCs w:val="28"/>
            </w:rPr>
          </w:pPr>
          <w:r>
            <w:fldChar w:fldCharType="begin"/>
          </w:r>
          <w:r>
            <w:instrText xml:space="preserve"> HYPERLINK \l "_Toc11509" </w:instrText>
          </w:r>
          <w:r>
            <w:fldChar w:fldCharType="separate"/>
          </w:r>
          <w:r>
            <w:rPr>
              <w:rFonts w:hint="eastAsia"/>
              <w:b/>
              <w:sz w:val="28"/>
              <w:szCs w:val="28"/>
            </w:rPr>
            <w:t>第四章化工</w:t>
          </w:r>
          <w:r>
            <w:rPr>
              <w:b/>
              <w:sz w:val="28"/>
              <w:szCs w:val="28"/>
            </w:rPr>
            <w:t>园区消防安全布局规划</w:t>
          </w:r>
          <w:r>
            <w:rPr>
              <w:b/>
              <w:sz w:val="28"/>
              <w:szCs w:val="28"/>
            </w:rPr>
            <w:tab/>
          </w:r>
          <w:r>
            <w:rPr>
              <w:b/>
              <w:sz w:val="28"/>
              <w:szCs w:val="28"/>
            </w:rPr>
            <w:fldChar w:fldCharType="begin"/>
          </w:r>
          <w:r>
            <w:rPr>
              <w:b/>
              <w:sz w:val="28"/>
              <w:szCs w:val="28"/>
            </w:rPr>
            <w:instrText xml:space="preserve"> PAGEREF _Toc11509 \h </w:instrText>
          </w:r>
          <w:r>
            <w:rPr>
              <w:b/>
              <w:sz w:val="28"/>
              <w:szCs w:val="28"/>
            </w:rPr>
            <w:fldChar w:fldCharType="separate"/>
          </w:r>
          <w:r>
            <w:rPr>
              <w:b/>
              <w:sz w:val="28"/>
              <w:szCs w:val="28"/>
            </w:rPr>
            <w:t>15</w:t>
          </w:r>
          <w:r>
            <w:rPr>
              <w:b/>
              <w:sz w:val="28"/>
              <w:szCs w:val="28"/>
            </w:rPr>
            <w:fldChar w:fldCharType="end"/>
          </w:r>
          <w:r>
            <w:rPr>
              <w:b/>
              <w:sz w:val="28"/>
              <w:szCs w:val="28"/>
            </w:rPr>
            <w:fldChar w:fldCharType="end"/>
          </w:r>
        </w:p>
        <w:p w14:paraId="04DC01FB">
          <w:pPr>
            <w:pStyle w:val="16"/>
            <w:tabs>
              <w:tab w:val="right" w:leader="dot" w:pos="8306"/>
            </w:tabs>
            <w:ind w:left="440"/>
            <w:rPr>
              <w:sz w:val="28"/>
              <w:szCs w:val="28"/>
            </w:rPr>
          </w:pPr>
          <w:r>
            <w:fldChar w:fldCharType="begin"/>
          </w:r>
          <w:r>
            <w:instrText xml:space="preserve"> HYPERLINK \l "_Toc29970" </w:instrText>
          </w:r>
          <w:r>
            <w:fldChar w:fldCharType="separate"/>
          </w:r>
          <w:r>
            <w:rPr>
              <w:rFonts w:hint="eastAsia"/>
              <w:sz w:val="28"/>
              <w:szCs w:val="28"/>
            </w:rPr>
            <w:t>第十五条</w:t>
          </w:r>
          <w:r>
            <w:rPr>
              <w:rFonts w:hint="eastAsia"/>
              <w:sz w:val="28"/>
              <w:szCs w:val="28"/>
              <w:lang w:val="en-US" w:eastAsia="zh-CN"/>
            </w:rPr>
            <w:t xml:space="preserve"> </w:t>
          </w:r>
          <w:r>
            <w:rPr>
              <w:rFonts w:hint="eastAsia"/>
              <w:sz w:val="28"/>
              <w:szCs w:val="28"/>
            </w:rPr>
            <w:t>消防安全布局及总体建设要求</w:t>
          </w:r>
          <w:r>
            <w:rPr>
              <w:sz w:val="28"/>
              <w:szCs w:val="28"/>
            </w:rPr>
            <w:tab/>
          </w:r>
          <w:r>
            <w:rPr>
              <w:sz w:val="28"/>
              <w:szCs w:val="28"/>
            </w:rPr>
            <w:fldChar w:fldCharType="begin"/>
          </w:r>
          <w:r>
            <w:rPr>
              <w:sz w:val="28"/>
              <w:szCs w:val="28"/>
            </w:rPr>
            <w:instrText xml:space="preserve"> PAGEREF _Toc29970 \h </w:instrText>
          </w:r>
          <w:r>
            <w:rPr>
              <w:sz w:val="28"/>
              <w:szCs w:val="28"/>
            </w:rPr>
            <w:fldChar w:fldCharType="separate"/>
          </w:r>
          <w:r>
            <w:rPr>
              <w:sz w:val="28"/>
              <w:szCs w:val="28"/>
            </w:rPr>
            <w:t>15</w:t>
          </w:r>
          <w:r>
            <w:rPr>
              <w:sz w:val="28"/>
              <w:szCs w:val="28"/>
            </w:rPr>
            <w:fldChar w:fldCharType="end"/>
          </w:r>
          <w:r>
            <w:rPr>
              <w:sz w:val="28"/>
              <w:szCs w:val="28"/>
            </w:rPr>
            <w:fldChar w:fldCharType="end"/>
          </w:r>
        </w:p>
        <w:p w14:paraId="1D1B7A0E">
          <w:pPr>
            <w:pStyle w:val="16"/>
            <w:tabs>
              <w:tab w:val="right" w:leader="dot" w:pos="8306"/>
            </w:tabs>
            <w:ind w:left="440"/>
            <w:rPr>
              <w:sz w:val="28"/>
              <w:szCs w:val="28"/>
            </w:rPr>
          </w:pPr>
          <w:r>
            <w:fldChar w:fldCharType="begin"/>
          </w:r>
          <w:r>
            <w:instrText xml:space="preserve"> HYPERLINK \l "_Toc27057" </w:instrText>
          </w:r>
          <w:r>
            <w:fldChar w:fldCharType="separate"/>
          </w:r>
          <w:r>
            <w:rPr>
              <w:rFonts w:hint="eastAsia"/>
              <w:sz w:val="28"/>
              <w:szCs w:val="28"/>
            </w:rPr>
            <w:t>第十六条</w:t>
          </w:r>
          <w:r>
            <w:rPr>
              <w:rFonts w:hint="eastAsia"/>
              <w:sz w:val="28"/>
              <w:szCs w:val="28"/>
              <w:lang w:val="en-US" w:eastAsia="zh-CN"/>
            </w:rPr>
            <w:t xml:space="preserve"> </w:t>
          </w:r>
          <w:r>
            <w:rPr>
              <w:rFonts w:hint="eastAsia"/>
              <w:sz w:val="28"/>
              <w:szCs w:val="28"/>
            </w:rPr>
            <w:t>化工园区消防重点区域划分</w:t>
          </w:r>
          <w:r>
            <w:rPr>
              <w:sz w:val="28"/>
              <w:szCs w:val="28"/>
            </w:rPr>
            <w:tab/>
          </w:r>
          <w:r>
            <w:rPr>
              <w:sz w:val="28"/>
              <w:szCs w:val="28"/>
            </w:rPr>
            <w:fldChar w:fldCharType="begin"/>
          </w:r>
          <w:r>
            <w:rPr>
              <w:sz w:val="28"/>
              <w:szCs w:val="28"/>
            </w:rPr>
            <w:instrText xml:space="preserve"> PAGEREF _Toc27057 \h </w:instrText>
          </w:r>
          <w:r>
            <w:rPr>
              <w:sz w:val="28"/>
              <w:szCs w:val="28"/>
            </w:rPr>
            <w:fldChar w:fldCharType="separate"/>
          </w:r>
          <w:r>
            <w:rPr>
              <w:sz w:val="28"/>
              <w:szCs w:val="28"/>
            </w:rPr>
            <w:t>16</w:t>
          </w:r>
          <w:r>
            <w:rPr>
              <w:sz w:val="28"/>
              <w:szCs w:val="28"/>
            </w:rPr>
            <w:fldChar w:fldCharType="end"/>
          </w:r>
          <w:r>
            <w:rPr>
              <w:sz w:val="28"/>
              <w:szCs w:val="28"/>
            </w:rPr>
            <w:fldChar w:fldCharType="end"/>
          </w:r>
        </w:p>
        <w:p w14:paraId="0D45B2B3">
          <w:pPr>
            <w:pStyle w:val="16"/>
            <w:tabs>
              <w:tab w:val="right" w:leader="dot" w:pos="8306"/>
            </w:tabs>
            <w:ind w:left="440"/>
            <w:rPr>
              <w:sz w:val="28"/>
              <w:szCs w:val="28"/>
            </w:rPr>
          </w:pPr>
          <w:r>
            <w:fldChar w:fldCharType="begin"/>
          </w:r>
          <w:r>
            <w:instrText xml:space="preserve"> HYPERLINK \l "_Toc22627" </w:instrText>
          </w:r>
          <w:r>
            <w:fldChar w:fldCharType="separate"/>
          </w:r>
          <w:r>
            <w:rPr>
              <w:rFonts w:hint="eastAsia"/>
              <w:sz w:val="28"/>
              <w:szCs w:val="28"/>
            </w:rPr>
            <w:t>第十七条</w:t>
          </w:r>
          <w:r>
            <w:rPr>
              <w:rFonts w:hint="eastAsia"/>
              <w:sz w:val="28"/>
              <w:szCs w:val="28"/>
              <w:lang w:val="en-US" w:eastAsia="zh-CN"/>
            </w:rPr>
            <w:t xml:space="preserve"> </w:t>
          </w:r>
          <w:r>
            <w:rPr>
              <w:rFonts w:hint="eastAsia"/>
              <w:sz w:val="28"/>
              <w:szCs w:val="28"/>
            </w:rPr>
            <w:t>相邻商业、居住等生活区的消防安全布局</w:t>
          </w:r>
          <w:r>
            <w:rPr>
              <w:sz w:val="28"/>
              <w:szCs w:val="28"/>
            </w:rPr>
            <w:tab/>
          </w:r>
          <w:r>
            <w:rPr>
              <w:sz w:val="28"/>
              <w:szCs w:val="28"/>
            </w:rPr>
            <w:fldChar w:fldCharType="begin"/>
          </w:r>
          <w:r>
            <w:rPr>
              <w:sz w:val="28"/>
              <w:szCs w:val="28"/>
            </w:rPr>
            <w:instrText xml:space="preserve"> PAGEREF _Toc22627 \h </w:instrText>
          </w:r>
          <w:r>
            <w:rPr>
              <w:sz w:val="28"/>
              <w:szCs w:val="28"/>
            </w:rPr>
            <w:fldChar w:fldCharType="separate"/>
          </w:r>
          <w:r>
            <w:rPr>
              <w:sz w:val="28"/>
              <w:szCs w:val="28"/>
            </w:rPr>
            <w:t>16</w:t>
          </w:r>
          <w:r>
            <w:rPr>
              <w:sz w:val="28"/>
              <w:szCs w:val="28"/>
            </w:rPr>
            <w:fldChar w:fldCharType="end"/>
          </w:r>
          <w:r>
            <w:rPr>
              <w:sz w:val="28"/>
              <w:szCs w:val="28"/>
            </w:rPr>
            <w:fldChar w:fldCharType="end"/>
          </w:r>
        </w:p>
        <w:p w14:paraId="5E222288">
          <w:pPr>
            <w:pStyle w:val="16"/>
            <w:tabs>
              <w:tab w:val="right" w:leader="dot" w:pos="8306"/>
            </w:tabs>
            <w:ind w:left="440"/>
            <w:rPr>
              <w:sz w:val="28"/>
              <w:szCs w:val="28"/>
            </w:rPr>
          </w:pPr>
          <w:r>
            <w:fldChar w:fldCharType="begin"/>
          </w:r>
          <w:r>
            <w:instrText xml:space="preserve"> HYPERLINK \l "_Toc19540" </w:instrText>
          </w:r>
          <w:r>
            <w:fldChar w:fldCharType="separate"/>
          </w:r>
          <w:r>
            <w:rPr>
              <w:rFonts w:hint="eastAsia"/>
              <w:sz w:val="28"/>
              <w:szCs w:val="28"/>
            </w:rPr>
            <w:t>第十八条</w:t>
          </w:r>
          <w:r>
            <w:rPr>
              <w:rFonts w:hint="eastAsia"/>
              <w:sz w:val="28"/>
              <w:szCs w:val="28"/>
              <w:lang w:val="en-US" w:eastAsia="zh-CN"/>
            </w:rPr>
            <w:t xml:space="preserve"> </w:t>
          </w:r>
          <w:r>
            <w:rPr>
              <w:rFonts w:hint="eastAsia"/>
              <w:sz w:val="28"/>
              <w:szCs w:val="28"/>
            </w:rPr>
            <w:t>避难疏散场地及防火隔离带</w:t>
          </w:r>
          <w:r>
            <w:rPr>
              <w:sz w:val="28"/>
              <w:szCs w:val="28"/>
            </w:rPr>
            <w:tab/>
          </w:r>
          <w:r>
            <w:rPr>
              <w:sz w:val="28"/>
              <w:szCs w:val="28"/>
            </w:rPr>
            <w:fldChar w:fldCharType="begin"/>
          </w:r>
          <w:r>
            <w:rPr>
              <w:sz w:val="28"/>
              <w:szCs w:val="28"/>
            </w:rPr>
            <w:instrText xml:space="preserve"> PAGEREF _Toc19540 \h </w:instrText>
          </w:r>
          <w:r>
            <w:rPr>
              <w:sz w:val="28"/>
              <w:szCs w:val="28"/>
            </w:rPr>
            <w:fldChar w:fldCharType="separate"/>
          </w:r>
          <w:r>
            <w:rPr>
              <w:sz w:val="28"/>
              <w:szCs w:val="28"/>
            </w:rPr>
            <w:t>17</w:t>
          </w:r>
          <w:r>
            <w:rPr>
              <w:sz w:val="28"/>
              <w:szCs w:val="28"/>
            </w:rPr>
            <w:fldChar w:fldCharType="end"/>
          </w:r>
          <w:r>
            <w:rPr>
              <w:sz w:val="28"/>
              <w:szCs w:val="28"/>
            </w:rPr>
            <w:fldChar w:fldCharType="end"/>
          </w:r>
        </w:p>
        <w:p w14:paraId="3BCD9A83">
          <w:pPr>
            <w:pStyle w:val="16"/>
            <w:tabs>
              <w:tab w:val="right" w:leader="dot" w:pos="8306"/>
            </w:tabs>
            <w:ind w:left="440"/>
            <w:rPr>
              <w:sz w:val="28"/>
              <w:szCs w:val="28"/>
            </w:rPr>
          </w:pPr>
          <w:r>
            <w:fldChar w:fldCharType="begin"/>
          </w:r>
          <w:r>
            <w:instrText xml:space="preserve"> HYPERLINK \l "_Toc32604" </w:instrText>
          </w:r>
          <w:r>
            <w:fldChar w:fldCharType="separate"/>
          </w:r>
          <w:r>
            <w:rPr>
              <w:rFonts w:hint="eastAsia"/>
              <w:sz w:val="28"/>
              <w:szCs w:val="28"/>
            </w:rPr>
            <w:t>第十九条</w:t>
          </w:r>
          <w:r>
            <w:rPr>
              <w:rFonts w:hint="eastAsia"/>
              <w:sz w:val="28"/>
              <w:szCs w:val="28"/>
              <w:lang w:val="en-US" w:eastAsia="zh-CN"/>
            </w:rPr>
            <w:t xml:space="preserve"> </w:t>
          </w:r>
          <w:r>
            <w:rPr>
              <w:rFonts w:hint="eastAsia"/>
              <w:sz w:val="28"/>
              <w:szCs w:val="28"/>
            </w:rPr>
            <w:t>抗震与人防工程消防安全布局</w:t>
          </w:r>
          <w:r>
            <w:rPr>
              <w:sz w:val="28"/>
              <w:szCs w:val="28"/>
            </w:rPr>
            <w:tab/>
          </w:r>
          <w:r>
            <w:rPr>
              <w:sz w:val="28"/>
              <w:szCs w:val="28"/>
            </w:rPr>
            <w:fldChar w:fldCharType="begin"/>
          </w:r>
          <w:r>
            <w:rPr>
              <w:sz w:val="28"/>
              <w:szCs w:val="28"/>
            </w:rPr>
            <w:instrText xml:space="preserve"> PAGEREF _Toc32604 \h </w:instrText>
          </w:r>
          <w:r>
            <w:rPr>
              <w:sz w:val="28"/>
              <w:szCs w:val="28"/>
            </w:rPr>
            <w:fldChar w:fldCharType="separate"/>
          </w:r>
          <w:r>
            <w:rPr>
              <w:sz w:val="28"/>
              <w:szCs w:val="28"/>
            </w:rPr>
            <w:t>17</w:t>
          </w:r>
          <w:r>
            <w:rPr>
              <w:sz w:val="28"/>
              <w:szCs w:val="28"/>
            </w:rPr>
            <w:fldChar w:fldCharType="end"/>
          </w:r>
          <w:r>
            <w:rPr>
              <w:sz w:val="28"/>
              <w:szCs w:val="28"/>
            </w:rPr>
            <w:fldChar w:fldCharType="end"/>
          </w:r>
        </w:p>
        <w:p w14:paraId="2E75E14E">
          <w:pPr>
            <w:pStyle w:val="15"/>
            <w:tabs>
              <w:tab w:val="right" w:leader="dot" w:pos="8306"/>
            </w:tabs>
            <w:rPr>
              <w:b/>
              <w:sz w:val="28"/>
              <w:szCs w:val="28"/>
            </w:rPr>
          </w:pPr>
          <w:r>
            <w:fldChar w:fldCharType="begin"/>
          </w:r>
          <w:r>
            <w:instrText xml:space="preserve"> HYPERLINK \l "_Toc3298" </w:instrText>
          </w:r>
          <w:r>
            <w:fldChar w:fldCharType="separate"/>
          </w:r>
          <w:r>
            <w:rPr>
              <w:rFonts w:hint="eastAsia"/>
              <w:b/>
              <w:sz w:val="28"/>
              <w:szCs w:val="28"/>
            </w:rPr>
            <w:t>第五章</w:t>
          </w:r>
          <w:r>
            <w:rPr>
              <w:rFonts w:hint="eastAsia"/>
              <w:b/>
              <w:sz w:val="28"/>
              <w:szCs w:val="28"/>
              <w:lang w:val="en-US" w:eastAsia="zh-CN"/>
            </w:rPr>
            <w:t xml:space="preserve"> </w:t>
          </w:r>
          <w:r>
            <w:rPr>
              <w:rFonts w:hint="eastAsia"/>
              <w:b/>
              <w:sz w:val="28"/>
              <w:szCs w:val="28"/>
            </w:rPr>
            <w:t>消防站（队）规划</w:t>
          </w:r>
          <w:r>
            <w:rPr>
              <w:b/>
              <w:sz w:val="28"/>
              <w:szCs w:val="28"/>
            </w:rPr>
            <w:tab/>
          </w:r>
          <w:r>
            <w:rPr>
              <w:b/>
              <w:sz w:val="28"/>
              <w:szCs w:val="28"/>
            </w:rPr>
            <w:fldChar w:fldCharType="begin"/>
          </w:r>
          <w:r>
            <w:rPr>
              <w:b/>
              <w:sz w:val="28"/>
              <w:szCs w:val="28"/>
            </w:rPr>
            <w:instrText xml:space="preserve"> PAGEREF _Toc3298 \h </w:instrText>
          </w:r>
          <w:r>
            <w:rPr>
              <w:b/>
              <w:sz w:val="28"/>
              <w:szCs w:val="28"/>
            </w:rPr>
            <w:fldChar w:fldCharType="separate"/>
          </w:r>
          <w:r>
            <w:rPr>
              <w:b/>
              <w:sz w:val="28"/>
              <w:szCs w:val="28"/>
            </w:rPr>
            <w:t>18</w:t>
          </w:r>
          <w:r>
            <w:rPr>
              <w:b/>
              <w:sz w:val="28"/>
              <w:szCs w:val="28"/>
            </w:rPr>
            <w:fldChar w:fldCharType="end"/>
          </w:r>
          <w:r>
            <w:rPr>
              <w:b/>
              <w:sz w:val="28"/>
              <w:szCs w:val="28"/>
            </w:rPr>
            <w:fldChar w:fldCharType="end"/>
          </w:r>
        </w:p>
        <w:p w14:paraId="60FB6A31">
          <w:pPr>
            <w:pStyle w:val="16"/>
            <w:tabs>
              <w:tab w:val="right" w:leader="dot" w:pos="8306"/>
            </w:tabs>
            <w:ind w:left="440"/>
            <w:rPr>
              <w:sz w:val="28"/>
              <w:szCs w:val="28"/>
            </w:rPr>
          </w:pPr>
          <w:r>
            <w:fldChar w:fldCharType="begin"/>
          </w:r>
          <w:r>
            <w:instrText xml:space="preserve"> HYPERLINK \l "_Toc14049" </w:instrText>
          </w:r>
          <w:r>
            <w:fldChar w:fldCharType="separate"/>
          </w:r>
          <w:r>
            <w:rPr>
              <w:rFonts w:hint="eastAsia"/>
              <w:sz w:val="28"/>
              <w:szCs w:val="28"/>
            </w:rPr>
            <w:t>第二十条</w:t>
          </w:r>
          <w:r>
            <w:rPr>
              <w:rFonts w:hint="eastAsia"/>
              <w:sz w:val="28"/>
              <w:szCs w:val="28"/>
              <w:lang w:val="en-US" w:eastAsia="zh-CN"/>
            </w:rPr>
            <w:t xml:space="preserve"> </w:t>
          </w:r>
          <w:r>
            <w:rPr>
              <w:rFonts w:hint="eastAsia"/>
              <w:sz w:val="28"/>
              <w:szCs w:val="28"/>
            </w:rPr>
            <w:t>消防站设置原则及选址原则</w:t>
          </w:r>
          <w:r>
            <w:rPr>
              <w:sz w:val="28"/>
              <w:szCs w:val="28"/>
            </w:rPr>
            <w:tab/>
          </w:r>
          <w:r>
            <w:rPr>
              <w:sz w:val="28"/>
              <w:szCs w:val="28"/>
            </w:rPr>
            <w:fldChar w:fldCharType="begin"/>
          </w:r>
          <w:r>
            <w:rPr>
              <w:sz w:val="28"/>
              <w:szCs w:val="28"/>
            </w:rPr>
            <w:instrText xml:space="preserve"> PAGEREF _Toc14049 \h </w:instrText>
          </w:r>
          <w:r>
            <w:rPr>
              <w:sz w:val="28"/>
              <w:szCs w:val="28"/>
            </w:rPr>
            <w:fldChar w:fldCharType="separate"/>
          </w:r>
          <w:r>
            <w:rPr>
              <w:sz w:val="28"/>
              <w:szCs w:val="28"/>
            </w:rPr>
            <w:t>18</w:t>
          </w:r>
          <w:r>
            <w:rPr>
              <w:sz w:val="28"/>
              <w:szCs w:val="28"/>
            </w:rPr>
            <w:fldChar w:fldCharType="end"/>
          </w:r>
          <w:r>
            <w:rPr>
              <w:sz w:val="28"/>
              <w:szCs w:val="28"/>
            </w:rPr>
            <w:fldChar w:fldCharType="end"/>
          </w:r>
        </w:p>
        <w:p w14:paraId="46FF55B3">
          <w:pPr>
            <w:pStyle w:val="16"/>
            <w:tabs>
              <w:tab w:val="right" w:leader="dot" w:pos="8306"/>
            </w:tabs>
            <w:ind w:left="440"/>
            <w:rPr>
              <w:sz w:val="28"/>
              <w:szCs w:val="28"/>
            </w:rPr>
          </w:pPr>
          <w:r>
            <w:fldChar w:fldCharType="begin"/>
          </w:r>
          <w:r>
            <w:instrText xml:space="preserve"> HYPERLINK \l "_Toc11738" </w:instrText>
          </w:r>
          <w:r>
            <w:fldChar w:fldCharType="separate"/>
          </w:r>
          <w:r>
            <w:rPr>
              <w:rFonts w:hint="eastAsia"/>
              <w:sz w:val="28"/>
              <w:szCs w:val="28"/>
            </w:rPr>
            <w:t>第二十一条</w:t>
          </w:r>
          <w:r>
            <w:rPr>
              <w:rFonts w:hint="eastAsia"/>
              <w:sz w:val="28"/>
              <w:szCs w:val="28"/>
              <w:lang w:val="en-US" w:eastAsia="zh-CN"/>
            </w:rPr>
            <w:t xml:space="preserve"> </w:t>
          </w:r>
          <w:r>
            <w:rPr>
              <w:rFonts w:hint="eastAsia"/>
              <w:sz w:val="28"/>
              <w:szCs w:val="28"/>
            </w:rPr>
            <w:t>化工区消防站设置标准及选址原则</w:t>
          </w:r>
          <w:r>
            <w:rPr>
              <w:sz w:val="28"/>
              <w:szCs w:val="28"/>
            </w:rPr>
            <w:tab/>
          </w:r>
          <w:r>
            <w:rPr>
              <w:sz w:val="28"/>
              <w:szCs w:val="28"/>
            </w:rPr>
            <w:fldChar w:fldCharType="begin"/>
          </w:r>
          <w:r>
            <w:rPr>
              <w:sz w:val="28"/>
              <w:szCs w:val="28"/>
            </w:rPr>
            <w:instrText xml:space="preserve"> PAGEREF _Toc11738 \h </w:instrText>
          </w:r>
          <w:r>
            <w:rPr>
              <w:sz w:val="28"/>
              <w:szCs w:val="28"/>
            </w:rPr>
            <w:fldChar w:fldCharType="separate"/>
          </w:r>
          <w:r>
            <w:rPr>
              <w:sz w:val="28"/>
              <w:szCs w:val="28"/>
            </w:rPr>
            <w:t>20</w:t>
          </w:r>
          <w:r>
            <w:rPr>
              <w:sz w:val="28"/>
              <w:szCs w:val="28"/>
            </w:rPr>
            <w:fldChar w:fldCharType="end"/>
          </w:r>
          <w:r>
            <w:rPr>
              <w:sz w:val="28"/>
              <w:szCs w:val="28"/>
            </w:rPr>
            <w:fldChar w:fldCharType="end"/>
          </w:r>
        </w:p>
        <w:p w14:paraId="66640B56">
          <w:pPr>
            <w:pStyle w:val="16"/>
            <w:tabs>
              <w:tab w:val="right" w:leader="dot" w:pos="8306"/>
            </w:tabs>
            <w:ind w:left="440"/>
            <w:rPr>
              <w:sz w:val="28"/>
              <w:szCs w:val="28"/>
            </w:rPr>
          </w:pPr>
          <w:r>
            <w:fldChar w:fldCharType="begin"/>
          </w:r>
          <w:r>
            <w:instrText xml:space="preserve"> HYPERLINK \l "_Toc25598" </w:instrText>
          </w:r>
          <w:r>
            <w:fldChar w:fldCharType="separate"/>
          </w:r>
          <w:r>
            <w:rPr>
              <w:rFonts w:hint="eastAsia"/>
              <w:sz w:val="28"/>
              <w:szCs w:val="28"/>
            </w:rPr>
            <w:t>第二十二条</w:t>
          </w:r>
          <w:r>
            <w:rPr>
              <w:rFonts w:hint="eastAsia"/>
              <w:sz w:val="28"/>
              <w:szCs w:val="28"/>
              <w:lang w:val="en-US" w:eastAsia="zh-CN"/>
            </w:rPr>
            <w:t xml:space="preserve"> </w:t>
          </w:r>
          <w:r>
            <w:rPr>
              <w:rFonts w:hint="eastAsia"/>
              <w:sz w:val="28"/>
              <w:szCs w:val="28"/>
            </w:rPr>
            <w:t>消防站布局及责任区规划</w:t>
          </w:r>
          <w:r>
            <w:rPr>
              <w:sz w:val="28"/>
              <w:szCs w:val="28"/>
            </w:rPr>
            <w:tab/>
          </w:r>
          <w:r>
            <w:rPr>
              <w:sz w:val="28"/>
              <w:szCs w:val="28"/>
            </w:rPr>
            <w:fldChar w:fldCharType="begin"/>
          </w:r>
          <w:r>
            <w:rPr>
              <w:sz w:val="28"/>
              <w:szCs w:val="28"/>
            </w:rPr>
            <w:instrText xml:space="preserve"> PAGEREF _Toc25598 \h </w:instrText>
          </w:r>
          <w:r>
            <w:rPr>
              <w:sz w:val="28"/>
              <w:szCs w:val="28"/>
            </w:rPr>
            <w:fldChar w:fldCharType="separate"/>
          </w:r>
          <w:r>
            <w:rPr>
              <w:sz w:val="28"/>
              <w:szCs w:val="28"/>
            </w:rPr>
            <w:t>20</w:t>
          </w:r>
          <w:r>
            <w:rPr>
              <w:sz w:val="28"/>
              <w:szCs w:val="28"/>
            </w:rPr>
            <w:fldChar w:fldCharType="end"/>
          </w:r>
          <w:r>
            <w:rPr>
              <w:sz w:val="28"/>
              <w:szCs w:val="28"/>
            </w:rPr>
            <w:fldChar w:fldCharType="end"/>
          </w:r>
        </w:p>
        <w:p w14:paraId="6AA635C7">
          <w:pPr>
            <w:pStyle w:val="16"/>
            <w:tabs>
              <w:tab w:val="right" w:leader="dot" w:pos="8306"/>
            </w:tabs>
            <w:ind w:left="440"/>
            <w:rPr>
              <w:sz w:val="28"/>
              <w:szCs w:val="28"/>
            </w:rPr>
          </w:pPr>
          <w:r>
            <w:fldChar w:fldCharType="begin"/>
          </w:r>
          <w:r>
            <w:instrText xml:space="preserve"> HYPERLINK \l "_Toc17046" </w:instrText>
          </w:r>
          <w:r>
            <w:fldChar w:fldCharType="separate"/>
          </w:r>
          <w:r>
            <w:rPr>
              <w:rFonts w:hint="eastAsia"/>
              <w:sz w:val="28"/>
              <w:szCs w:val="28"/>
            </w:rPr>
            <w:t>第二十三条</w:t>
          </w:r>
          <w:r>
            <w:rPr>
              <w:rFonts w:hint="eastAsia"/>
              <w:sz w:val="28"/>
              <w:szCs w:val="28"/>
              <w:lang w:val="en-US" w:eastAsia="zh-CN"/>
            </w:rPr>
            <w:t xml:space="preserve"> </w:t>
          </w:r>
          <w:r>
            <w:rPr>
              <w:rFonts w:hint="eastAsia"/>
              <w:sz w:val="28"/>
              <w:szCs w:val="28"/>
            </w:rPr>
            <w:t>多站联动机制</w:t>
          </w:r>
          <w:r>
            <w:rPr>
              <w:sz w:val="28"/>
              <w:szCs w:val="28"/>
            </w:rPr>
            <w:tab/>
          </w:r>
          <w:r>
            <w:rPr>
              <w:sz w:val="28"/>
              <w:szCs w:val="28"/>
            </w:rPr>
            <w:fldChar w:fldCharType="begin"/>
          </w:r>
          <w:r>
            <w:rPr>
              <w:sz w:val="28"/>
              <w:szCs w:val="28"/>
            </w:rPr>
            <w:instrText xml:space="preserve"> PAGEREF _Toc17046 \h </w:instrText>
          </w:r>
          <w:r>
            <w:rPr>
              <w:sz w:val="28"/>
              <w:szCs w:val="28"/>
            </w:rPr>
            <w:fldChar w:fldCharType="separate"/>
          </w:r>
          <w:r>
            <w:rPr>
              <w:sz w:val="28"/>
              <w:szCs w:val="28"/>
            </w:rPr>
            <w:t>22</w:t>
          </w:r>
          <w:r>
            <w:rPr>
              <w:sz w:val="28"/>
              <w:szCs w:val="28"/>
            </w:rPr>
            <w:fldChar w:fldCharType="end"/>
          </w:r>
          <w:r>
            <w:rPr>
              <w:sz w:val="28"/>
              <w:szCs w:val="28"/>
            </w:rPr>
            <w:fldChar w:fldCharType="end"/>
          </w:r>
        </w:p>
        <w:p w14:paraId="3583CC37">
          <w:pPr>
            <w:pStyle w:val="16"/>
            <w:tabs>
              <w:tab w:val="right" w:leader="dot" w:pos="8306"/>
            </w:tabs>
            <w:ind w:left="440"/>
            <w:rPr>
              <w:sz w:val="28"/>
              <w:szCs w:val="28"/>
            </w:rPr>
          </w:pPr>
          <w:r>
            <w:fldChar w:fldCharType="begin"/>
          </w:r>
          <w:r>
            <w:instrText xml:space="preserve"> HYPERLINK \l "_Toc27955" </w:instrText>
          </w:r>
          <w:r>
            <w:fldChar w:fldCharType="separate"/>
          </w:r>
          <w:r>
            <w:rPr>
              <w:rFonts w:hint="eastAsia"/>
              <w:sz w:val="28"/>
              <w:szCs w:val="28"/>
            </w:rPr>
            <w:t>第二十四条</w:t>
          </w:r>
          <w:r>
            <w:rPr>
              <w:rFonts w:hint="eastAsia"/>
              <w:sz w:val="28"/>
              <w:szCs w:val="28"/>
              <w:lang w:val="en-US" w:eastAsia="zh-CN"/>
            </w:rPr>
            <w:t xml:space="preserve"> </w:t>
          </w:r>
          <w:r>
            <w:rPr>
              <w:rFonts w:hint="eastAsia"/>
              <w:sz w:val="28"/>
              <w:szCs w:val="28"/>
            </w:rPr>
            <w:t>救援专业队伍建设</w:t>
          </w:r>
          <w:r>
            <w:rPr>
              <w:sz w:val="28"/>
              <w:szCs w:val="28"/>
            </w:rPr>
            <w:tab/>
          </w:r>
          <w:r>
            <w:rPr>
              <w:sz w:val="28"/>
              <w:szCs w:val="28"/>
            </w:rPr>
            <w:fldChar w:fldCharType="begin"/>
          </w:r>
          <w:r>
            <w:rPr>
              <w:sz w:val="28"/>
              <w:szCs w:val="28"/>
            </w:rPr>
            <w:instrText xml:space="preserve"> PAGEREF _Toc27955 \h </w:instrText>
          </w:r>
          <w:r>
            <w:rPr>
              <w:sz w:val="28"/>
              <w:szCs w:val="28"/>
            </w:rPr>
            <w:fldChar w:fldCharType="separate"/>
          </w:r>
          <w:r>
            <w:rPr>
              <w:sz w:val="28"/>
              <w:szCs w:val="28"/>
            </w:rPr>
            <w:t>23</w:t>
          </w:r>
          <w:r>
            <w:rPr>
              <w:sz w:val="28"/>
              <w:szCs w:val="28"/>
            </w:rPr>
            <w:fldChar w:fldCharType="end"/>
          </w:r>
          <w:r>
            <w:rPr>
              <w:sz w:val="28"/>
              <w:szCs w:val="28"/>
            </w:rPr>
            <w:fldChar w:fldCharType="end"/>
          </w:r>
        </w:p>
        <w:p w14:paraId="036218AA">
          <w:pPr>
            <w:pStyle w:val="15"/>
            <w:tabs>
              <w:tab w:val="right" w:leader="dot" w:pos="8306"/>
            </w:tabs>
            <w:rPr>
              <w:b/>
              <w:sz w:val="28"/>
              <w:szCs w:val="28"/>
            </w:rPr>
          </w:pPr>
          <w:r>
            <w:fldChar w:fldCharType="begin"/>
          </w:r>
          <w:r>
            <w:instrText xml:space="preserve"> HYPERLINK \l "_Toc32221" </w:instrText>
          </w:r>
          <w:r>
            <w:fldChar w:fldCharType="separate"/>
          </w:r>
          <w:r>
            <w:rPr>
              <w:rFonts w:hint="eastAsia"/>
              <w:b/>
              <w:sz w:val="28"/>
              <w:szCs w:val="28"/>
            </w:rPr>
            <w:t>第六章</w:t>
          </w:r>
          <w:r>
            <w:rPr>
              <w:rFonts w:hint="eastAsia"/>
              <w:b/>
              <w:sz w:val="28"/>
              <w:szCs w:val="28"/>
              <w:lang w:val="en-US" w:eastAsia="zh-CN"/>
            </w:rPr>
            <w:t xml:space="preserve"> </w:t>
          </w:r>
          <w:r>
            <w:rPr>
              <w:b/>
              <w:sz w:val="28"/>
              <w:szCs w:val="28"/>
            </w:rPr>
            <w:t>消防装备规划</w:t>
          </w:r>
          <w:r>
            <w:rPr>
              <w:b/>
              <w:sz w:val="28"/>
              <w:szCs w:val="28"/>
            </w:rPr>
            <w:tab/>
          </w:r>
          <w:r>
            <w:rPr>
              <w:b/>
              <w:sz w:val="28"/>
              <w:szCs w:val="28"/>
            </w:rPr>
            <w:fldChar w:fldCharType="begin"/>
          </w:r>
          <w:r>
            <w:rPr>
              <w:b/>
              <w:sz w:val="28"/>
              <w:szCs w:val="28"/>
            </w:rPr>
            <w:instrText xml:space="preserve"> PAGEREF _Toc32221 \h </w:instrText>
          </w:r>
          <w:r>
            <w:rPr>
              <w:b/>
              <w:sz w:val="28"/>
              <w:szCs w:val="28"/>
            </w:rPr>
            <w:fldChar w:fldCharType="separate"/>
          </w:r>
          <w:r>
            <w:rPr>
              <w:b/>
              <w:sz w:val="28"/>
              <w:szCs w:val="28"/>
            </w:rPr>
            <w:t>24</w:t>
          </w:r>
          <w:r>
            <w:rPr>
              <w:b/>
              <w:sz w:val="28"/>
              <w:szCs w:val="28"/>
            </w:rPr>
            <w:fldChar w:fldCharType="end"/>
          </w:r>
          <w:r>
            <w:rPr>
              <w:b/>
              <w:sz w:val="28"/>
              <w:szCs w:val="28"/>
            </w:rPr>
            <w:fldChar w:fldCharType="end"/>
          </w:r>
        </w:p>
        <w:p w14:paraId="519CA9C9">
          <w:pPr>
            <w:pStyle w:val="16"/>
            <w:tabs>
              <w:tab w:val="right" w:leader="dot" w:pos="8306"/>
            </w:tabs>
            <w:ind w:left="440"/>
            <w:rPr>
              <w:sz w:val="28"/>
              <w:szCs w:val="28"/>
            </w:rPr>
          </w:pPr>
          <w:r>
            <w:fldChar w:fldCharType="begin"/>
          </w:r>
          <w:r>
            <w:instrText xml:space="preserve"> HYPERLINK \l "_Toc12109" </w:instrText>
          </w:r>
          <w:r>
            <w:fldChar w:fldCharType="separate"/>
          </w:r>
          <w:r>
            <w:rPr>
              <w:rFonts w:hint="eastAsia"/>
              <w:sz w:val="28"/>
              <w:szCs w:val="28"/>
            </w:rPr>
            <w:t>第二十五条</w:t>
          </w:r>
          <w:r>
            <w:rPr>
              <w:rFonts w:hint="eastAsia"/>
              <w:sz w:val="28"/>
              <w:szCs w:val="28"/>
              <w:lang w:val="en-US" w:eastAsia="zh-CN"/>
            </w:rPr>
            <w:t xml:space="preserve"> </w:t>
          </w:r>
          <w:r>
            <w:rPr>
              <w:rFonts w:hint="eastAsia"/>
              <w:sz w:val="28"/>
              <w:szCs w:val="28"/>
            </w:rPr>
            <w:t>装备配置原则</w:t>
          </w:r>
          <w:r>
            <w:rPr>
              <w:sz w:val="28"/>
              <w:szCs w:val="28"/>
            </w:rPr>
            <w:tab/>
          </w:r>
          <w:r>
            <w:rPr>
              <w:sz w:val="28"/>
              <w:szCs w:val="28"/>
            </w:rPr>
            <w:fldChar w:fldCharType="begin"/>
          </w:r>
          <w:r>
            <w:rPr>
              <w:sz w:val="28"/>
              <w:szCs w:val="28"/>
            </w:rPr>
            <w:instrText xml:space="preserve"> PAGEREF _Toc12109 \h </w:instrText>
          </w:r>
          <w:r>
            <w:rPr>
              <w:sz w:val="28"/>
              <w:szCs w:val="28"/>
            </w:rPr>
            <w:fldChar w:fldCharType="separate"/>
          </w:r>
          <w:r>
            <w:rPr>
              <w:sz w:val="28"/>
              <w:szCs w:val="28"/>
            </w:rPr>
            <w:t>24</w:t>
          </w:r>
          <w:r>
            <w:rPr>
              <w:sz w:val="28"/>
              <w:szCs w:val="28"/>
            </w:rPr>
            <w:fldChar w:fldCharType="end"/>
          </w:r>
          <w:r>
            <w:rPr>
              <w:sz w:val="28"/>
              <w:szCs w:val="28"/>
            </w:rPr>
            <w:fldChar w:fldCharType="end"/>
          </w:r>
        </w:p>
        <w:p w14:paraId="5DDEF33D">
          <w:pPr>
            <w:pStyle w:val="16"/>
            <w:tabs>
              <w:tab w:val="right" w:leader="dot" w:pos="8306"/>
            </w:tabs>
            <w:ind w:left="440"/>
            <w:rPr>
              <w:sz w:val="28"/>
              <w:szCs w:val="28"/>
            </w:rPr>
          </w:pPr>
          <w:r>
            <w:fldChar w:fldCharType="begin"/>
          </w:r>
          <w:r>
            <w:instrText xml:space="preserve"> HYPERLINK \l "_Toc29153" </w:instrText>
          </w:r>
          <w:r>
            <w:fldChar w:fldCharType="separate"/>
          </w:r>
          <w:r>
            <w:rPr>
              <w:rFonts w:hint="eastAsia"/>
              <w:sz w:val="28"/>
              <w:szCs w:val="28"/>
            </w:rPr>
            <w:t>第二十六条</w:t>
          </w:r>
          <w:r>
            <w:rPr>
              <w:rFonts w:hint="eastAsia"/>
              <w:sz w:val="28"/>
              <w:szCs w:val="28"/>
              <w:lang w:val="en-US" w:eastAsia="zh-CN"/>
            </w:rPr>
            <w:t xml:space="preserve"> </w:t>
          </w:r>
          <w:r>
            <w:rPr>
              <w:rFonts w:hint="eastAsia"/>
              <w:sz w:val="28"/>
              <w:szCs w:val="28"/>
            </w:rPr>
            <w:t>装备配置标准</w:t>
          </w:r>
          <w:r>
            <w:rPr>
              <w:sz w:val="28"/>
              <w:szCs w:val="28"/>
            </w:rPr>
            <w:tab/>
          </w:r>
          <w:r>
            <w:rPr>
              <w:sz w:val="28"/>
              <w:szCs w:val="28"/>
            </w:rPr>
            <w:fldChar w:fldCharType="begin"/>
          </w:r>
          <w:r>
            <w:rPr>
              <w:sz w:val="28"/>
              <w:szCs w:val="28"/>
            </w:rPr>
            <w:instrText xml:space="preserve"> PAGEREF _Toc29153 \h </w:instrText>
          </w:r>
          <w:r>
            <w:rPr>
              <w:sz w:val="28"/>
              <w:szCs w:val="28"/>
            </w:rPr>
            <w:fldChar w:fldCharType="separate"/>
          </w:r>
          <w:r>
            <w:rPr>
              <w:sz w:val="28"/>
              <w:szCs w:val="28"/>
            </w:rPr>
            <w:t>25</w:t>
          </w:r>
          <w:r>
            <w:rPr>
              <w:sz w:val="28"/>
              <w:szCs w:val="28"/>
            </w:rPr>
            <w:fldChar w:fldCharType="end"/>
          </w:r>
          <w:r>
            <w:rPr>
              <w:sz w:val="28"/>
              <w:szCs w:val="28"/>
            </w:rPr>
            <w:fldChar w:fldCharType="end"/>
          </w:r>
        </w:p>
        <w:p w14:paraId="65AA78DF">
          <w:pPr>
            <w:pStyle w:val="15"/>
            <w:tabs>
              <w:tab w:val="right" w:leader="dot" w:pos="8306"/>
            </w:tabs>
            <w:rPr>
              <w:b/>
              <w:sz w:val="28"/>
              <w:szCs w:val="28"/>
            </w:rPr>
          </w:pPr>
          <w:r>
            <w:fldChar w:fldCharType="begin"/>
          </w:r>
          <w:r>
            <w:instrText xml:space="preserve"> HYPERLINK \l "_Toc25066" </w:instrText>
          </w:r>
          <w:r>
            <w:fldChar w:fldCharType="separate"/>
          </w:r>
          <w:r>
            <w:rPr>
              <w:rFonts w:hint="eastAsia"/>
              <w:b/>
              <w:sz w:val="28"/>
              <w:szCs w:val="28"/>
            </w:rPr>
            <w:t>第七章</w:t>
          </w:r>
          <w:r>
            <w:rPr>
              <w:rFonts w:hint="eastAsia"/>
              <w:b/>
              <w:sz w:val="28"/>
              <w:szCs w:val="28"/>
              <w:lang w:val="en-US" w:eastAsia="zh-CN"/>
            </w:rPr>
            <w:t xml:space="preserve"> </w:t>
          </w:r>
          <w:r>
            <w:rPr>
              <w:b/>
              <w:sz w:val="28"/>
              <w:szCs w:val="28"/>
            </w:rPr>
            <w:t>消防基础设施规划</w:t>
          </w:r>
          <w:r>
            <w:rPr>
              <w:b/>
              <w:sz w:val="28"/>
              <w:szCs w:val="28"/>
            </w:rPr>
            <w:tab/>
          </w:r>
          <w:r>
            <w:rPr>
              <w:b/>
              <w:sz w:val="28"/>
              <w:szCs w:val="28"/>
            </w:rPr>
            <w:fldChar w:fldCharType="begin"/>
          </w:r>
          <w:r>
            <w:rPr>
              <w:b/>
              <w:sz w:val="28"/>
              <w:szCs w:val="28"/>
            </w:rPr>
            <w:instrText xml:space="preserve"> PAGEREF _Toc25066 \h </w:instrText>
          </w:r>
          <w:r>
            <w:rPr>
              <w:b/>
              <w:sz w:val="28"/>
              <w:szCs w:val="28"/>
            </w:rPr>
            <w:fldChar w:fldCharType="separate"/>
          </w:r>
          <w:r>
            <w:rPr>
              <w:b/>
              <w:sz w:val="28"/>
              <w:szCs w:val="28"/>
            </w:rPr>
            <w:t>25</w:t>
          </w:r>
          <w:r>
            <w:rPr>
              <w:b/>
              <w:sz w:val="28"/>
              <w:szCs w:val="28"/>
            </w:rPr>
            <w:fldChar w:fldCharType="end"/>
          </w:r>
          <w:r>
            <w:rPr>
              <w:b/>
              <w:sz w:val="28"/>
              <w:szCs w:val="28"/>
            </w:rPr>
            <w:fldChar w:fldCharType="end"/>
          </w:r>
        </w:p>
        <w:p w14:paraId="206CB98C">
          <w:pPr>
            <w:pStyle w:val="16"/>
            <w:tabs>
              <w:tab w:val="right" w:leader="dot" w:pos="8306"/>
            </w:tabs>
            <w:ind w:left="440"/>
            <w:rPr>
              <w:sz w:val="28"/>
              <w:szCs w:val="28"/>
            </w:rPr>
          </w:pPr>
          <w:r>
            <w:fldChar w:fldCharType="begin"/>
          </w:r>
          <w:r>
            <w:instrText xml:space="preserve"> HYPERLINK \l "_Toc30006" </w:instrText>
          </w:r>
          <w:r>
            <w:fldChar w:fldCharType="separate"/>
          </w:r>
          <w:r>
            <w:rPr>
              <w:rFonts w:hint="eastAsia"/>
              <w:sz w:val="28"/>
              <w:szCs w:val="28"/>
            </w:rPr>
            <w:t>第二十七条</w:t>
          </w:r>
          <w:r>
            <w:rPr>
              <w:rFonts w:hint="eastAsia"/>
              <w:sz w:val="28"/>
              <w:szCs w:val="28"/>
              <w:lang w:val="en-US" w:eastAsia="zh-CN"/>
            </w:rPr>
            <w:t xml:space="preserve"> </w:t>
          </w:r>
          <w:r>
            <w:rPr>
              <w:rFonts w:hint="eastAsia"/>
              <w:sz w:val="28"/>
              <w:szCs w:val="28"/>
            </w:rPr>
            <w:t>消防通道规划</w:t>
          </w:r>
          <w:r>
            <w:rPr>
              <w:sz w:val="28"/>
              <w:szCs w:val="28"/>
            </w:rPr>
            <w:tab/>
          </w:r>
          <w:r>
            <w:rPr>
              <w:sz w:val="28"/>
              <w:szCs w:val="28"/>
            </w:rPr>
            <w:fldChar w:fldCharType="begin"/>
          </w:r>
          <w:r>
            <w:rPr>
              <w:sz w:val="28"/>
              <w:szCs w:val="28"/>
            </w:rPr>
            <w:instrText xml:space="preserve"> PAGEREF _Toc30006 \h </w:instrText>
          </w:r>
          <w:r>
            <w:rPr>
              <w:sz w:val="28"/>
              <w:szCs w:val="28"/>
            </w:rPr>
            <w:fldChar w:fldCharType="separate"/>
          </w:r>
          <w:r>
            <w:rPr>
              <w:sz w:val="28"/>
              <w:szCs w:val="28"/>
            </w:rPr>
            <w:t>25</w:t>
          </w:r>
          <w:r>
            <w:rPr>
              <w:sz w:val="28"/>
              <w:szCs w:val="28"/>
            </w:rPr>
            <w:fldChar w:fldCharType="end"/>
          </w:r>
          <w:r>
            <w:rPr>
              <w:sz w:val="28"/>
              <w:szCs w:val="28"/>
            </w:rPr>
            <w:fldChar w:fldCharType="end"/>
          </w:r>
        </w:p>
        <w:p w14:paraId="24A57CB8">
          <w:pPr>
            <w:pStyle w:val="16"/>
            <w:tabs>
              <w:tab w:val="right" w:leader="dot" w:pos="8306"/>
            </w:tabs>
            <w:ind w:left="440"/>
            <w:rPr>
              <w:sz w:val="28"/>
              <w:szCs w:val="28"/>
            </w:rPr>
          </w:pPr>
          <w:r>
            <w:fldChar w:fldCharType="begin"/>
          </w:r>
          <w:r>
            <w:instrText xml:space="preserve"> HYPERLINK \l "_Toc12555" </w:instrText>
          </w:r>
          <w:r>
            <w:fldChar w:fldCharType="separate"/>
          </w:r>
          <w:r>
            <w:rPr>
              <w:rFonts w:hint="eastAsia"/>
              <w:sz w:val="28"/>
              <w:szCs w:val="28"/>
            </w:rPr>
            <w:t>第二十八条</w:t>
          </w:r>
          <w:r>
            <w:rPr>
              <w:rFonts w:hint="eastAsia"/>
              <w:sz w:val="28"/>
              <w:szCs w:val="28"/>
              <w:lang w:val="en-US" w:eastAsia="zh-CN"/>
            </w:rPr>
            <w:t xml:space="preserve"> </w:t>
          </w:r>
          <w:r>
            <w:rPr>
              <w:rFonts w:hint="eastAsia"/>
              <w:sz w:val="28"/>
              <w:szCs w:val="28"/>
            </w:rPr>
            <w:t>消防供水规划</w:t>
          </w:r>
          <w:r>
            <w:rPr>
              <w:sz w:val="28"/>
              <w:szCs w:val="28"/>
            </w:rPr>
            <w:tab/>
          </w:r>
          <w:r>
            <w:rPr>
              <w:sz w:val="28"/>
              <w:szCs w:val="28"/>
            </w:rPr>
            <w:fldChar w:fldCharType="begin"/>
          </w:r>
          <w:r>
            <w:rPr>
              <w:sz w:val="28"/>
              <w:szCs w:val="28"/>
            </w:rPr>
            <w:instrText xml:space="preserve"> PAGEREF _Toc12555 \h </w:instrText>
          </w:r>
          <w:r>
            <w:rPr>
              <w:sz w:val="28"/>
              <w:szCs w:val="28"/>
            </w:rPr>
            <w:fldChar w:fldCharType="separate"/>
          </w:r>
          <w:r>
            <w:rPr>
              <w:sz w:val="28"/>
              <w:szCs w:val="28"/>
            </w:rPr>
            <w:t>27</w:t>
          </w:r>
          <w:r>
            <w:rPr>
              <w:sz w:val="28"/>
              <w:szCs w:val="28"/>
            </w:rPr>
            <w:fldChar w:fldCharType="end"/>
          </w:r>
          <w:r>
            <w:rPr>
              <w:sz w:val="28"/>
              <w:szCs w:val="28"/>
            </w:rPr>
            <w:fldChar w:fldCharType="end"/>
          </w:r>
        </w:p>
        <w:p w14:paraId="2009636D">
          <w:pPr>
            <w:pStyle w:val="16"/>
            <w:tabs>
              <w:tab w:val="right" w:leader="dot" w:pos="8306"/>
            </w:tabs>
            <w:ind w:left="440"/>
            <w:rPr>
              <w:sz w:val="28"/>
              <w:szCs w:val="28"/>
            </w:rPr>
          </w:pPr>
          <w:r>
            <w:fldChar w:fldCharType="begin"/>
          </w:r>
          <w:r>
            <w:instrText xml:space="preserve"> HYPERLINK \l "_Toc31887" </w:instrText>
          </w:r>
          <w:r>
            <w:fldChar w:fldCharType="separate"/>
          </w:r>
          <w:r>
            <w:rPr>
              <w:rFonts w:hint="eastAsia"/>
              <w:sz w:val="28"/>
              <w:szCs w:val="28"/>
            </w:rPr>
            <w:t>第二十九条</w:t>
          </w:r>
          <w:r>
            <w:rPr>
              <w:rFonts w:hint="eastAsia"/>
              <w:sz w:val="28"/>
              <w:szCs w:val="28"/>
              <w:lang w:val="en-US" w:eastAsia="zh-CN"/>
            </w:rPr>
            <w:t xml:space="preserve"> </w:t>
          </w:r>
          <w:r>
            <w:rPr>
              <w:rFonts w:hint="eastAsia"/>
              <w:sz w:val="28"/>
              <w:szCs w:val="28"/>
            </w:rPr>
            <w:t>消防供电规划</w:t>
          </w:r>
          <w:r>
            <w:rPr>
              <w:sz w:val="28"/>
              <w:szCs w:val="28"/>
            </w:rPr>
            <w:tab/>
          </w:r>
          <w:r>
            <w:rPr>
              <w:sz w:val="28"/>
              <w:szCs w:val="28"/>
            </w:rPr>
            <w:fldChar w:fldCharType="begin"/>
          </w:r>
          <w:r>
            <w:rPr>
              <w:sz w:val="28"/>
              <w:szCs w:val="28"/>
            </w:rPr>
            <w:instrText xml:space="preserve"> PAGEREF _Toc31887 \h </w:instrText>
          </w:r>
          <w:r>
            <w:rPr>
              <w:sz w:val="28"/>
              <w:szCs w:val="28"/>
            </w:rPr>
            <w:fldChar w:fldCharType="separate"/>
          </w:r>
          <w:r>
            <w:rPr>
              <w:sz w:val="28"/>
              <w:szCs w:val="28"/>
            </w:rPr>
            <w:t>29</w:t>
          </w:r>
          <w:r>
            <w:rPr>
              <w:sz w:val="28"/>
              <w:szCs w:val="28"/>
            </w:rPr>
            <w:fldChar w:fldCharType="end"/>
          </w:r>
          <w:r>
            <w:rPr>
              <w:sz w:val="28"/>
              <w:szCs w:val="28"/>
            </w:rPr>
            <w:fldChar w:fldCharType="end"/>
          </w:r>
        </w:p>
        <w:p w14:paraId="6FABC643">
          <w:pPr>
            <w:pStyle w:val="16"/>
            <w:tabs>
              <w:tab w:val="right" w:leader="dot" w:pos="8306"/>
            </w:tabs>
            <w:ind w:left="440"/>
            <w:rPr>
              <w:sz w:val="28"/>
              <w:szCs w:val="28"/>
            </w:rPr>
          </w:pPr>
          <w:r>
            <w:fldChar w:fldCharType="begin"/>
          </w:r>
          <w:r>
            <w:instrText xml:space="preserve"> HYPERLINK \l "_Toc15470" </w:instrText>
          </w:r>
          <w:r>
            <w:fldChar w:fldCharType="separate"/>
          </w:r>
          <w:r>
            <w:rPr>
              <w:rFonts w:hint="eastAsia"/>
              <w:sz w:val="28"/>
              <w:szCs w:val="28"/>
            </w:rPr>
            <w:t>第三十条</w:t>
          </w:r>
          <w:r>
            <w:rPr>
              <w:rFonts w:hint="eastAsia"/>
              <w:sz w:val="28"/>
              <w:szCs w:val="28"/>
              <w:lang w:val="en-US" w:eastAsia="zh-CN"/>
            </w:rPr>
            <w:t xml:space="preserve"> </w:t>
          </w:r>
          <w:r>
            <w:rPr>
              <w:rFonts w:hint="eastAsia"/>
              <w:sz w:val="28"/>
              <w:szCs w:val="28"/>
            </w:rPr>
            <w:t>事故应急池规划</w:t>
          </w:r>
          <w:r>
            <w:rPr>
              <w:sz w:val="28"/>
              <w:szCs w:val="28"/>
            </w:rPr>
            <w:tab/>
          </w:r>
          <w:r>
            <w:rPr>
              <w:sz w:val="28"/>
              <w:szCs w:val="28"/>
            </w:rPr>
            <w:fldChar w:fldCharType="begin"/>
          </w:r>
          <w:r>
            <w:rPr>
              <w:sz w:val="28"/>
              <w:szCs w:val="28"/>
            </w:rPr>
            <w:instrText xml:space="preserve"> PAGEREF _Toc15470 \h </w:instrText>
          </w:r>
          <w:r>
            <w:rPr>
              <w:sz w:val="28"/>
              <w:szCs w:val="28"/>
            </w:rPr>
            <w:fldChar w:fldCharType="separate"/>
          </w:r>
          <w:r>
            <w:rPr>
              <w:sz w:val="28"/>
              <w:szCs w:val="28"/>
            </w:rPr>
            <w:t>32</w:t>
          </w:r>
          <w:r>
            <w:rPr>
              <w:sz w:val="28"/>
              <w:szCs w:val="28"/>
            </w:rPr>
            <w:fldChar w:fldCharType="end"/>
          </w:r>
          <w:r>
            <w:rPr>
              <w:sz w:val="28"/>
              <w:szCs w:val="28"/>
            </w:rPr>
            <w:fldChar w:fldCharType="end"/>
          </w:r>
        </w:p>
        <w:p w14:paraId="77B10153">
          <w:pPr>
            <w:pStyle w:val="16"/>
            <w:tabs>
              <w:tab w:val="right" w:leader="dot" w:pos="8306"/>
            </w:tabs>
            <w:ind w:left="440"/>
            <w:rPr>
              <w:sz w:val="28"/>
              <w:szCs w:val="28"/>
            </w:rPr>
          </w:pPr>
          <w:r>
            <w:fldChar w:fldCharType="begin"/>
          </w:r>
          <w:r>
            <w:instrText xml:space="preserve"> HYPERLINK \l "_Toc30523" </w:instrText>
          </w:r>
          <w:r>
            <w:fldChar w:fldCharType="separate"/>
          </w:r>
          <w:r>
            <w:rPr>
              <w:rFonts w:hint="eastAsia"/>
              <w:sz w:val="28"/>
              <w:szCs w:val="28"/>
            </w:rPr>
            <w:t>第三十一条</w:t>
          </w:r>
          <w:r>
            <w:rPr>
              <w:rFonts w:hint="eastAsia"/>
              <w:sz w:val="28"/>
              <w:szCs w:val="28"/>
              <w:lang w:val="en-US" w:eastAsia="zh-CN"/>
            </w:rPr>
            <w:t xml:space="preserve"> </w:t>
          </w:r>
          <w:r>
            <w:rPr>
              <w:rFonts w:hint="eastAsia"/>
              <w:sz w:val="28"/>
              <w:szCs w:val="28"/>
            </w:rPr>
            <w:t>消火栓流量及高低范围规划</w:t>
          </w:r>
          <w:r>
            <w:rPr>
              <w:sz w:val="28"/>
              <w:szCs w:val="28"/>
            </w:rPr>
            <w:tab/>
          </w:r>
          <w:r>
            <w:rPr>
              <w:sz w:val="28"/>
              <w:szCs w:val="28"/>
            </w:rPr>
            <w:fldChar w:fldCharType="begin"/>
          </w:r>
          <w:r>
            <w:rPr>
              <w:sz w:val="28"/>
              <w:szCs w:val="28"/>
            </w:rPr>
            <w:instrText xml:space="preserve"> PAGEREF _Toc30523 \h </w:instrText>
          </w:r>
          <w:r>
            <w:rPr>
              <w:sz w:val="28"/>
              <w:szCs w:val="28"/>
            </w:rPr>
            <w:fldChar w:fldCharType="separate"/>
          </w:r>
          <w:r>
            <w:rPr>
              <w:sz w:val="28"/>
              <w:szCs w:val="28"/>
            </w:rPr>
            <w:t>33</w:t>
          </w:r>
          <w:r>
            <w:rPr>
              <w:sz w:val="28"/>
              <w:szCs w:val="28"/>
            </w:rPr>
            <w:fldChar w:fldCharType="end"/>
          </w:r>
          <w:r>
            <w:rPr>
              <w:sz w:val="28"/>
              <w:szCs w:val="28"/>
            </w:rPr>
            <w:fldChar w:fldCharType="end"/>
          </w:r>
        </w:p>
        <w:p w14:paraId="712BD474">
          <w:pPr>
            <w:pStyle w:val="15"/>
            <w:tabs>
              <w:tab w:val="right" w:leader="dot" w:pos="8306"/>
            </w:tabs>
            <w:rPr>
              <w:b/>
              <w:sz w:val="28"/>
              <w:szCs w:val="28"/>
            </w:rPr>
          </w:pPr>
          <w:r>
            <w:fldChar w:fldCharType="begin"/>
          </w:r>
          <w:r>
            <w:instrText xml:space="preserve"> HYPERLINK \l "_Toc29320" </w:instrText>
          </w:r>
          <w:r>
            <w:fldChar w:fldCharType="separate"/>
          </w:r>
          <w:r>
            <w:rPr>
              <w:rFonts w:hint="eastAsia"/>
              <w:b/>
              <w:sz w:val="28"/>
              <w:szCs w:val="28"/>
            </w:rPr>
            <w:t>第八章</w:t>
          </w:r>
          <w:r>
            <w:rPr>
              <w:b/>
              <w:sz w:val="28"/>
              <w:szCs w:val="28"/>
            </w:rPr>
            <w:t>智慧消防建设</w:t>
          </w:r>
          <w:r>
            <w:rPr>
              <w:b/>
              <w:sz w:val="28"/>
              <w:szCs w:val="28"/>
            </w:rPr>
            <w:tab/>
          </w:r>
          <w:r>
            <w:rPr>
              <w:b/>
              <w:sz w:val="28"/>
              <w:szCs w:val="28"/>
            </w:rPr>
            <w:fldChar w:fldCharType="begin"/>
          </w:r>
          <w:r>
            <w:rPr>
              <w:b/>
              <w:sz w:val="28"/>
              <w:szCs w:val="28"/>
            </w:rPr>
            <w:instrText xml:space="preserve"> PAGEREF _Toc29320 \h </w:instrText>
          </w:r>
          <w:r>
            <w:rPr>
              <w:b/>
              <w:sz w:val="28"/>
              <w:szCs w:val="28"/>
            </w:rPr>
            <w:fldChar w:fldCharType="separate"/>
          </w:r>
          <w:r>
            <w:rPr>
              <w:b/>
              <w:sz w:val="28"/>
              <w:szCs w:val="28"/>
            </w:rPr>
            <w:t>34</w:t>
          </w:r>
          <w:r>
            <w:rPr>
              <w:b/>
              <w:sz w:val="28"/>
              <w:szCs w:val="28"/>
            </w:rPr>
            <w:fldChar w:fldCharType="end"/>
          </w:r>
          <w:r>
            <w:rPr>
              <w:b/>
              <w:sz w:val="28"/>
              <w:szCs w:val="28"/>
            </w:rPr>
            <w:fldChar w:fldCharType="end"/>
          </w:r>
        </w:p>
        <w:p w14:paraId="01618710">
          <w:pPr>
            <w:pStyle w:val="16"/>
            <w:tabs>
              <w:tab w:val="right" w:leader="dot" w:pos="8306"/>
            </w:tabs>
            <w:ind w:left="440"/>
            <w:rPr>
              <w:sz w:val="28"/>
              <w:szCs w:val="28"/>
            </w:rPr>
          </w:pPr>
          <w:r>
            <w:fldChar w:fldCharType="begin"/>
          </w:r>
          <w:r>
            <w:instrText xml:space="preserve"> HYPERLINK \l "_Toc27834" </w:instrText>
          </w:r>
          <w:r>
            <w:fldChar w:fldCharType="separate"/>
          </w:r>
          <w:r>
            <w:rPr>
              <w:rFonts w:hint="eastAsia"/>
              <w:sz w:val="28"/>
              <w:szCs w:val="28"/>
            </w:rPr>
            <w:t>第三十二条</w:t>
          </w:r>
          <w:r>
            <w:rPr>
              <w:rFonts w:hint="eastAsia"/>
              <w:sz w:val="28"/>
              <w:szCs w:val="28"/>
              <w:lang w:val="en-US" w:eastAsia="zh-CN"/>
            </w:rPr>
            <w:t xml:space="preserve"> </w:t>
          </w:r>
          <w:r>
            <w:rPr>
              <w:rFonts w:hint="eastAsia"/>
              <w:sz w:val="28"/>
              <w:szCs w:val="28"/>
            </w:rPr>
            <w:t>智慧消防建设规划</w:t>
          </w:r>
          <w:r>
            <w:rPr>
              <w:sz w:val="28"/>
              <w:szCs w:val="28"/>
            </w:rPr>
            <w:tab/>
          </w:r>
          <w:r>
            <w:rPr>
              <w:sz w:val="28"/>
              <w:szCs w:val="28"/>
            </w:rPr>
            <w:fldChar w:fldCharType="begin"/>
          </w:r>
          <w:r>
            <w:rPr>
              <w:sz w:val="28"/>
              <w:szCs w:val="28"/>
            </w:rPr>
            <w:instrText xml:space="preserve"> PAGEREF _Toc27834 \h </w:instrText>
          </w:r>
          <w:r>
            <w:rPr>
              <w:sz w:val="28"/>
              <w:szCs w:val="28"/>
            </w:rPr>
            <w:fldChar w:fldCharType="separate"/>
          </w:r>
          <w:r>
            <w:rPr>
              <w:sz w:val="28"/>
              <w:szCs w:val="28"/>
            </w:rPr>
            <w:t>34</w:t>
          </w:r>
          <w:r>
            <w:rPr>
              <w:sz w:val="28"/>
              <w:szCs w:val="28"/>
            </w:rPr>
            <w:fldChar w:fldCharType="end"/>
          </w:r>
          <w:r>
            <w:rPr>
              <w:sz w:val="28"/>
              <w:szCs w:val="28"/>
            </w:rPr>
            <w:fldChar w:fldCharType="end"/>
          </w:r>
        </w:p>
        <w:p w14:paraId="3023A98A">
          <w:pPr>
            <w:pStyle w:val="15"/>
            <w:tabs>
              <w:tab w:val="right" w:leader="dot" w:pos="8306"/>
            </w:tabs>
            <w:rPr>
              <w:b/>
              <w:sz w:val="28"/>
              <w:szCs w:val="28"/>
            </w:rPr>
          </w:pPr>
          <w:r>
            <w:fldChar w:fldCharType="begin"/>
          </w:r>
          <w:r>
            <w:instrText xml:space="preserve"> HYPERLINK \l "_Toc11333" </w:instrText>
          </w:r>
          <w:r>
            <w:fldChar w:fldCharType="separate"/>
          </w:r>
          <w:r>
            <w:rPr>
              <w:rFonts w:hint="eastAsia"/>
              <w:b/>
              <w:sz w:val="28"/>
              <w:szCs w:val="28"/>
            </w:rPr>
            <w:t>第九章</w:t>
          </w:r>
          <w:r>
            <w:rPr>
              <w:rFonts w:hint="eastAsia"/>
              <w:b/>
              <w:sz w:val="28"/>
              <w:szCs w:val="28"/>
              <w:lang w:val="en-US" w:eastAsia="zh-CN"/>
            </w:rPr>
            <w:t xml:space="preserve"> </w:t>
          </w:r>
          <w:r>
            <w:rPr>
              <w:b/>
              <w:sz w:val="28"/>
              <w:szCs w:val="28"/>
            </w:rPr>
            <w:t>消防软实力建设</w:t>
          </w:r>
          <w:r>
            <w:rPr>
              <w:b/>
              <w:sz w:val="28"/>
              <w:szCs w:val="28"/>
            </w:rPr>
            <w:tab/>
          </w:r>
          <w:r>
            <w:rPr>
              <w:b/>
              <w:sz w:val="28"/>
              <w:szCs w:val="28"/>
            </w:rPr>
            <w:fldChar w:fldCharType="begin"/>
          </w:r>
          <w:r>
            <w:rPr>
              <w:b/>
              <w:sz w:val="28"/>
              <w:szCs w:val="28"/>
            </w:rPr>
            <w:instrText xml:space="preserve"> PAGEREF _Toc11333 \h </w:instrText>
          </w:r>
          <w:r>
            <w:rPr>
              <w:b/>
              <w:sz w:val="28"/>
              <w:szCs w:val="28"/>
            </w:rPr>
            <w:fldChar w:fldCharType="separate"/>
          </w:r>
          <w:r>
            <w:rPr>
              <w:b/>
              <w:sz w:val="28"/>
              <w:szCs w:val="28"/>
            </w:rPr>
            <w:t>40</w:t>
          </w:r>
          <w:r>
            <w:rPr>
              <w:b/>
              <w:sz w:val="28"/>
              <w:szCs w:val="28"/>
            </w:rPr>
            <w:fldChar w:fldCharType="end"/>
          </w:r>
          <w:r>
            <w:rPr>
              <w:b/>
              <w:sz w:val="28"/>
              <w:szCs w:val="28"/>
            </w:rPr>
            <w:fldChar w:fldCharType="end"/>
          </w:r>
        </w:p>
        <w:p w14:paraId="02DB0D42">
          <w:pPr>
            <w:pStyle w:val="16"/>
            <w:tabs>
              <w:tab w:val="right" w:leader="dot" w:pos="8306"/>
            </w:tabs>
            <w:ind w:left="440"/>
            <w:rPr>
              <w:sz w:val="28"/>
              <w:szCs w:val="28"/>
            </w:rPr>
          </w:pPr>
          <w:r>
            <w:fldChar w:fldCharType="begin"/>
          </w:r>
          <w:r>
            <w:instrText xml:space="preserve"> HYPERLINK \l "_Toc19437" </w:instrText>
          </w:r>
          <w:r>
            <w:fldChar w:fldCharType="separate"/>
          </w:r>
          <w:r>
            <w:rPr>
              <w:rFonts w:hint="eastAsia"/>
              <w:sz w:val="28"/>
              <w:szCs w:val="28"/>
            </w:rPr>
            <w:t>第三十三条</w:t>
          </w:r>
          <w:r>
            <w:rPr>
              <w:rFonts w:hint="eastAsia"/>
              <w:sz w:val="28"/>
              <w:szCs w:val="28"/>
              <w:lang w:val="en-US" w:eastAsia="zh-CN"/>
            </w:rPr>
            <w:t xml:space="preserve"> </w:t>
          </w:r>
          <w:r>
            <w:rPr>
              <w:rFonts w:hint="eastAsia"/>
              <w:sz w:val="28"/>
              <w:szCs w:val="28"/>
            </w:rPr>
            <w:t>消防宣传</w:t>
          </w:r>
          <w:r>
            <w:rPr>
              <w:sz w:val="28"/>
              <w:szCs w:val="28"/>
            </w:rPr>
            <w:tab/>
          </w:r>
          <w:r>
            <w:rPr>
              <w:sz w:val="28"/>
              <w:szCs w:val="28"/>
            </w:rPr>
            <w:fldChar w:fldCharType="begin"/>
          </w:r>
          <w:r>
            <w:rPr>
              <w:sz w:val="28"/>
              <w:szCs w:val="28"/>
            </w:rPr>
            <w:instrText xml:space="preserve"> PAGEREF _Toc19437 \h </w:instrText>
          </w:r>
          <w:r>
            <w:rPr>
              <w:sz w:val="28"/>
              <w:szCs w:val="28"/>
            </w:rPr>
            <w:fldChar w:fldCharType="separate"/>
          </w:r>
          <w:r>
            <w:rPr>
              <w:sz w:val="28"/>
              <w:szCs w:val="28"/>
            </w:rPr>
            <w:t>40</w:t>
          </w:r>
          <w:r>
            <w:rPr>
              <w:sz w:val="28"/>
              <w:szCs w:val="28"/>
            </w:rPr>
            <w:fldChar w:fldCharType="end"/>
          </w:r>
          <w:r>
            <w:rPr>
              <w:sz w:val="28"/>
              <w:szCs w:val="28"/>
            </w:rPr>
            <w:fldChar w:fldCharType="end"/>
          </w:r>
        </w:p>
        <w:p w14:paraId="52DFE22D">
          <w:pPr>
            <w:pStyle w:val="16"/>
            <w:tabs>
              <w:tab w:val="right" w:leader="dot" w:pos="8306"/>
            </w:tabs>
            <w:ind w:left="440"/>
            <w:rPr>
              <w:sz w:val="28"/>
              <w:szCs w:val="28"/>
            </w:rPr>
          </w:pPr>
          <w:r>
            <w:fldChar w:fldCharType="begin"/>
          </w:r>
          <w:r>
            <w:instrText xml:space="preserve"> HYPERLINK \l "_Toc22540" </w:instrText>
          </w:r>
          <w:r>
            <w:fldChar w:fldCharType="separate"/>
          </w:r>
          <w:r>
            <w:rPr>
              <w:rFonts w:hint="eastAsia"/>
              <w:sz w:val="28"/>
              <w:szCs w:val="28"/>
            </w:rPr>
            <w:t>第三十四条</w:t>
          </w:r>
          <w:r>
            <w:rPr>
              <w:rFonts w:hint="eastAsia"/>
              <w:sz w:val="28"/>
              <w:szCs w:val="28"/>
              <w:lang w:val="en-US" w:eastAsia="zh-CN"/>
            </w:rPr>
            <w:t xml:space="preserve"> </w:t>
          </w:r>
          <w:r>
            <w:rPr>
              <w:rFonts w:hint="eastAsia"/>
              <w:sz w:val="28"/>
              <w:szCs w:val="28"/>
            </w:rPr>
            <w:t>消防教育</w:t>
          </w:r>
          <w:r>
            <w:rPr>
              <w:sz w:val="28"/>
              <w:szCs w:val="28"/>
            </w:rPr>
            <w:tab/>
          </w:r>
          <w:r>
            <w:rPr>
              <w:sz w:val="28"/>
              <w:szCs w:val="28"/>
            </w:rPr>
            <w:fldChar w:fldCharType="begin"/>
          </w:r>
          <w:r>
            <w:rPr>
              <w:sz w:val="28"/>
              <w:szCs w:val="28"/>
            </w:rPr>
            <w:instrText xml:space="preserve"> PAGEREF _Toc22540 \h </w:instrText>
          </w:r>
          <w:r>
            <w:rPr>
              <w:sz w:val="28"/>
              <w:szCs w:val="28"/>
            </w:rPr>
            <w:fldChar w:fldCharType="separate"/>
          </w:r>
          <w:r>
            <w:rPr>
              <w:sz w:val="28"/>
              <w:szCs w:val="28"/>
            </w:rPr>
            <w:t>40</w:t>
          </w:r>
          <w:r>
            <w:rPr>
              <w:sz w:val="28"/>
              <w:szCs w:val="28"/>
            </w:rPr>
            <w:fldChar w:fldCharType="end"/>
          </w:r>
          <w:r>
            <w:rPr>
              <w:sz w:val="28"/>
              <w:szCs w:val="28"/>
            </w:rPr>
            <w:fldChar w:fldCharType="end"/>
          </w:r>
        </w:p>
        <w:p w14:paraId="71BFF2F8">
          <w:pPr>
            <w:pStyle w:val="16"/>
            <w:tabs>
              <w:tab w:val="right" w:leader="dot" w:pos="8306"/>
            </w:tabs>
            <w:ind w:left="440"/>
            <w:rPr>
              <w:sz w:val="28"/>
              <w:szCs w:val="28"/>
            </w:rPr>
          </w:pPr>
          <w:r>
            <w:fldChar w:fldCharType="begin"/>
          </w:r>
          <w:r>
            <w:instrText xml:space="preserve"> HYPERLINK \l "_Toc8348" </w:instrText>
          </w:r>
          <w:r>
            <w:fldChar w:fldCharType="separate"/>
          </w:r>
          <w:r>
            <w:rPr>
              <w:rFonts w:hint="eastAsia"/>
              <w:sz w:val="28"/>
              <w:szCs w:val="28"/>
            </w:rPr>
            <w:t>第三十五条</w:t>
          </w:r>
          <w:r>
            <w:rPr>
              <w:rFonts w:hint="eastAsia"/>
              <w:sz w:val="28"/>
              <w:szCs w:val="28"/>
              <w:lang w:val="en-US" w:eastAsia="zh-CN"/>
            </w:rPr>
            <w:t xml:space="preserve"> </w:t>
          </w:r>
          <w:r>
            <w:rPr>
              <w:rFonts w:hint="eastAsia"/>
              <w:sz w:val="28"/>
              <w:szCs w:val="28"/>
            </w:rPr>
            <w:t>消防培训</w:t>
          </w:r>
          <w:r>
            <w:rPr>
              <w:sz w:val="28"/>
              <w:szCs w:val="28"/>
            </w:rPr>
            <w:tab/>
          </w:r>
          <w:r>
            <w:rPr>
              <w:sz w:val="28"/>
              <w:szCs w:val="28"/>
            </w:rPr>
            <w:fldChar w:fldCharType="begin"/>
          </w:r>
          <w:r>
            <w:rPr>
              <w:sz w:val="28"/>
              <w:szCs w:val="28"/>
            </w:rPr>
            <w:instrText xml:space="preserve"> PAGEREF _Toc8348 \h </w:instrText>
          </w:r>
          <w:r>
            <w:rPr>
              <w:sz w:val="28"/>
              <w:szCs w:val="28"/>
            </w:rPr>
            <w:fldChar w:fldCharType="separate"/>
          </w:r>
          <w:r>
            <w:rPr>
              <w:sz w:val="28"/>
              <w:szCs w:val="28"/>
            </w:rPr>
            <w:t>40</w:t>
          </w:r>
          <w:r>
            <w:rPr>
              <w:sz w:val="28"/>
              <w:szCs w:val="28"/>
            </w:rPr>
            <w:fldChar w:fldCharType="end"/>
          </w:r>
          <w:r>
            <w:rPr>
              <w:sz w:val="28"/>
              <w:szCs w:val="28"/>
            </w:rPr>
            <w:fldChar w:fldCharType="end"/>
          </w:r>
        </w:p>
        <w:p w14:paraId="1AA80ADB">
          <w:pPr>
            <w:pStyle w:val="15"/>
            <w:tabs>
              <w:tab w:val="right" w:leader="dot" w:pos="8306"/>
            </w:tabs>
            <w:rPr>
              <w:b/>
              <w:sz w:val="28"/>
              <w:szCs w:val="28"/>
            </w:rPr>
          </w:pPr>
          <w:r>
            <w:fldChar w:fldCharType="begin"/>
          </w:r>
          <w:r>
            <w:instrText xml:space="preserve"> HYPERLINK \l "_Toc13714" </w:instrText>
          </w:r>
          <w:r>
            <w:fldChar w:fldCharType="separate"/>
          </w:r>
          <w:r>
            <w:rPr>
              <w:rFonts w:hint="eastAsia"/>
              <w:b/>
              <w:sz w:val="28"/>
              <w:szCs w:val="28"/>
            </w:rPr>
            <w:t>第十章</w:t>
          </w:r>
          <w:r>
            <w:rPr>
              <w:rFonts w:hint="eastAsia"/>
              <w:b/>
              <w:sz w:val="28"/>
              <w:szCs w:val="28"/>
              <w:lang w:val="en-US" w:eastAsia="zh-CN"/>
            </w:rPr>
            <w:t xml:space="preserve"> </w:t>
          </w:r>
          <w:r>
            <w:rPr>
              <w:b/>
              <w:sz w:val="28"/>
              <w:szCs w:val="28"/>
            </w:rPr>
            <w:t>近期建设规划</w:t>
          </w:r>
          <w:r>
            <w:rPr>
              <w:b/>
              <w:sz w:val="28"/>
              <w:szCs w:val="28"/>
            </w:rPr>
            <w:tab/>
          </w:r>
          <w:r>
            <w:rPr>
              <w:b/>
              <w:sz w:val="28"/>
              <w:szCs w:val="28"/>
            </w:rPr>
            <w:fldChar w:fldCharType="begin"/>
          </w:r>
          <w:r>
            <w:rPr>
              <w:b/>
              <w:sz w:val="28"/>
              <w:szCs w:val="28"/>
            </w:rPr>
            <w:instrText xml:space="preserve"> PAGEREF _Toc13714 \h </w:instrText>
          </w:r>
          <w:r>
            <w:rPr>
              <w:b/>
              <w:sz w:val="28"/>
              <w:szCs w:val="28"/>
            </w:rPr>
            <w:fldChar w:fldCharType="separate"/>
          </w:r>
          <w:r>
            <w:rPr>
              <w:b/>
              <w:sz w:val="28"/>
              <w:szCs w:val="28"/>
            </w:rPr>
            <w:t>41</w:t>
          </w:r>
          <w:r>
            <w:rPr>
              <w:b/>
              <w:sz w:val="28"/>
              <w:szCs w:val="28"/>
            </w:rPr>
            <w:fldChar w:fldCharType="end"/>
          </w:r>
          <w:r>
            <w:rPr>
              <w:b/>
              <w:sz w:val="28"/>
              <w:szCs w:val="28"/>
            </w:rPr>
            <w:fldChar w:fldCharType="end"/>
          </w:r>
        </w:p>
        <w:p w14:paraId="66AF4344">
          <w:pPr>
            <w:pStyle w:val="16"/>
            <w:tabs>
              <w:tab w:val="right" w:leader="dot" w:pos="8306"/>
            </w:tabs>
            <w:ind w:left="440"/>
            <w:rPr>
              <w:b/>
              <w:sz w:val="28"/>
              <w:szCs w:val="28"/>
            </w:rPr>
          </w:pPr>
          <w:r>
            <w:fldChar w:fldCharType="begin"/>
          </w:r>
          <w:r>
            <w:instrText xml:space="preserve"> HYPERLINK \l "_Toc19058" </w:instrText>
          </w:r>
          <w:r>
            <w:fldChar w:fldCharType="separate"/>
          </w:r>
          <w:r>
            <w:rPr>
              <w:rFonts w:hint="eastAsia"/>
              <w:sz w:val="28"/>
              <w:szCs w:val="28"/>
            </w:rPr>
            <w:t>第三十六条</w:t>
          </w:r>
          <w:r>
            <w:rPr>
              <w:rFonts w:hint="eastAsia"/>
              <w:sz w:val="28"/>
              <w:szCs w:val="28"/>
              <w:lang w:val="en-US" w:eastAsia="zh-CN"/>
            </w:rPr>
            <w:t xml:space="preserve"> </w:t>
          </w:r>
          <w:r>
            <w:rPr>
              <w:rFonts w:hint="eastAsia"/>
              <w:sz w:val="28"/>
              <w:szCs w:val="28"/>
            </w:rPr>
            <w:t>消防站及其配套设施近期建设</w:t>
          </w:r>
          <w:r>
            <w:rPr>
              <w:sz w:val="28"/>
              <w:szCs w:val="28"/>
            </w:rPr>
            <w:tab/>
          </w:r>
          <w:r>
            <w:rPr>
              <w:sz w:val="28"/>
              <w:szCs w:val="28"/>
            </w:rPr>
            <w:fldChar w:fldCharType="begin"/>
          </w:r>
          <w:r>
            <w:rPr>
              <w:sz w:val="28"/>
              <w:szCs w:val="28"/>
            </w:rPr>
            <w:instrText xml:space="preserve"> PAGEREF _Toc19058 \h </w:instrText>
          </w:r>
          <w:r>
            <w:rPr>
              <w:sz w:val="28"/>
              <w:szCs w:val="28"/>
            </w:rPr>
            <w:fldChar w:fldCharType="separate"/>
          </w:r>
          <w:r>
            <w:rPr>
              <w:sz w:val="28"/>
              <w:szCs w:val="28"/>
            </w:rPr>
            <w:t>41</w:t>
          </w:r>
          <w:r>
            <w:rPr>
              <w:sz w:val="28"/>
              <w:szCs w:val="28"/>
            </w:rPr>
            <w:fldChar w:fldCharType="end"/>
          </w:r>
          <w:r>
            <w:rPr>
              <w:sz w:val="28"/>
              <w:szCs w:val="28"/>
            </w:rPr>
            <w:fldChar w:fldCharType="end"/>
          </w:r>
        </w:p>
        <w:p w14:paraId="78B97DC7">
          <w:pPr>
            <w:pStyle w:val="15"/>
            <w:tabs>
              <w:tab w:val="right" w:leader="dot" w:pos="8306"/>
            </w:tabs>
            <w:rPr>
              <w:b/>
              <w:sz w:val="28"/>
              <w:szCs w:val="28"/>
            </w:rPr>
          </w:pPr>
          <w:r>
            <w:fldChar w:fldCharType="begin"/>
          </w:r>
          <w:r>
            <w:instrText xml:space="preserve"> HYPERLINK \l "_Toc26785" </w:instrText>
          </w:r>
          <w:r>
            <w:fldChar w:fldCharType="separate"/>
          </w:r>
          <w:r>
            <w:rPr>
              <w:rFonts w:hint="eastAsia"/>
              <w:b/>
              <w:sz w:val="28"/>
              <w:szCs w:val="28"/>
            </w:rPr>
            <w:t>第十一章</w:t>
          </w:r>
          <w:r>
            <w:rPr>
              <w:rFonts w:hint="eastAsia"/>
              <w:b/>
              <w:sz w:val="28"/>
              <w:szCs w:val="28"/>
              <w:lang w:val="en-US" w:eastAsia="zh-CN"/>
            </w:rPr>
            <w:t xml:space="preserve"> </w:t>
          </w:r>
          <w:r>
            <w:rPr>
              <w:b/>
              <w:sz w:val="28"/>
              <w:szCs w:val="28"/>
            </w:rPr>
            <w:t>实施措施及建议</w:t>
          </w:r>
          <w:r>
            <w:rPr>
              <w:b/>
              <w:sz w:val="28"/>
              <w:szCs w:val="28"/>
            </w:rPr>
            <w:tab/>
          </w:r>
          <w:r>
            <w:rPr>
              <w:b/>
              <w:sz w:val="28"/>
              <w:szCs w:val="28"/>
            </w:rPr>
            <w:fldChar w:fldCharType="begin"/>
          </w:r>
          <w:r>
            <w:rPr>
              <w:b/>
              <w:sz w:val="28"/>
              <w:szCs w:val="28"/>
            </w:rPr>
            <w:instrText xml:space="preserve"> PAGEREF _Toc26785 \h </w:instrText>
          </w:r>
          <w:r>
            <w:rPr>
              <w:b/>
              <w:sz w:val="28"/>
              <w:szCs w:val="28"/>
            </w:rPr>
            <w:fldChar w:fldCharType="separate"/>
          </w:r>
          <w:r>
            <w:rPr>
              <w:b/>
              <w:sz w:val="28"/>
              <w:szCs w:val="28"/>
            </w:rPr>
            <w:t>43</w:t>
          </w:r>
          <w:r>
            <w:rPr>
              <w:b/>
              <w:sz w:val="28"/>
              <w:szCs w:val="28"/>
            </w:rPr>
            <w:fldChar w:fldCharType="end"/>
          </w:r>
          <w:r>
            <w:rPr>
              <w:b/>
              <w:sz w:val="28"/>
              <w:szCs w:val="28"/>
            </w:rPr>
            <w:fldChar w:fldCharType="end"/>
          </w:r>
        </w:p>
        <w:p w14:paraId="55B3B496">
          <w:pPr>
            <w:pStyle w:val="16"/>
            <w:tabs>
              <w:tab w:val="right" w:leader="dot" w:pos="8306"/>
            </w:tabs>
            <w:ind w:left="440"/>
            <w:rPr>
              <w:sz w:val="28"/>
              <w:szCs w:val="28"/>
            </w:rPr>
          </w:pPr>
          <w:r>
            <w:fldChar w:fldCharType="begin"/>
          </w:r>
          <w:r>
            <w:instrText xml:space="preserve"> HYPERLINK \l "_Toc9948" </w:instrText>
          </w:r>
          <w:r>
            <w:fldChar w:fldCharType="separate"/>
          </w:r>
          <w:r>
            <w:rPr>
              <w:rFonts w:hint="eastAsia"/>
              <w:sz w:val="28"/>
              <w:szCs w:val="28"/>
            </w:rPr>
            <w:t>第三十七条</w:t>
          </w:r>
          <w:r>
            <w:rPr>
              <w:rFonts w:hint="eastAsia"/>
              <w:sz w:val="28"/>
              <w:szCs w:val="28"/>
              <w:lang w:val="en-US" w:eastAsia="zh-CN"/>
            </w:rPr>
            <w:t xml:space="preserve"> </w:t>
          </w:r>
          <w:r>
            <w:rPr>
              <w:rFonts w:hint="eastAsia"/>
              <w:sz w:val="28"/>
              <w:szCs w:val="28"/>
            </w:rPr>
            <w:t>加强规划引领，合理引导设施共建共享</w:t>
          </w:r>
          <w:r>
            <w:rPr>
              <w:sz w:val="28"/>
              <w:szCs w:val="28"/>
            </w:rPr>
            <w:tab/>
          </w:r>
          <w:r>
            <w:rPr>
              <w:sz w:val="28"/>
              <w:szCs w:val="28"/>
            </w:rPr>
            <w:fldChar w:fldCharType="begin"/>
          </w:r>
          <w:r>
            <w:rPr>
              <w:sz w:val="28"/>
              <w:szCs w:val="28"/>
            </w:rPr>
            <w:instrText xml:space="preserve"> PAGEREF _Toc9948 \h </w:instrText>
          </w:r>
          <w:r>
            <w:rPr>
              <w:sz w:val="28"/>
              <w:szCs w:val="28"/>
            </w:rPr>
            <w:fldChar w:fldCharType="separate"/>
          </w:r>
          <w:r>
            <w:rPr>
              <w:sz w:val="28"/>
              <w:szCs w:val="28"/>
            </w:rPr>
            <w:t>43</w:t>
          </w:r>
          <w:r>
            <w:rPr>
              <w:sz w:val="28"/>
              <w:szCs w:val="28"/>
            </w:rPr>
            <w:fldChar w:fldCharType="end"/>
          </w:r>
          <w:r>
            <w:rPr>
              <w:sz w:val="28"/>
              <w:szCs w:val="28"/>
            </w:rPr>
            <w:fldChar w:fldCharType="end"/>
          </w:r>
        </w:p>
        <w:p w14:paraId="4426E1A8">
          <w:pPr>
            <w:pStyle w:val="16"/>
            <w:tabs>
              <w:tab w:val="right" w:leader="dot" w:pos="8306"/>
            </w:tabs>
            <w:ind w:left="440"/>
            <w:rPr>
              <w:sz w:val="28"/>
              <w:szCs w:val="28"/>
            </w:rPr>
          </w:pPr>
          <w:r>
            <w:fldChar w:fldCharType="begin"/>
          </w:r>
          <w:r>
            <w:instrText xml:space="preserve"> HYPERLINK \l "_Toc1989" </w:instrText>
          </w:r>
          <w:r>
            <w:fldChar w:fldCharType="separate"/>
          </w:r>
          <w:r>
            <w:rPr>
              <w:rFonts w:hint="eastAsia"/>
              <w:sz w:val="28"/>
              <w:szCs w:val="28"/>
            </w:rPr>
            <w:t>第三十八条</w:t>
          </w:r>
          <w:r>
            <w:rPr>
              <w:rFonts w:hint="eastAsia"/>
              <w:sz w:val="28"/>
              <w:szCs w:val="28"/>
              <w:lang w:val="en-US" w:eastAsia="zh-CN"/>
            </w:rPr>
            <w:t xml:space="preserve"> </w:t>
          </w:r>
          <w:r>
            <w:rPr>
              <w:rFonts w:hint="eastAsia"/>
              <w:sz w:val="28"/>
              <w:szCs w:val="28"/>
            </w:rPr>
            <w:t>优化顶层，构建站站联动、园园联动与区域联动的多级应急联防联动机制</w:t>
          </w:r>
          <w:r>
            <w:rPr>
              <w:sz w:val="28"/>
              <w:szCs w:val="28"/>
            </w:rPr>
            <w:tab/>
          </w:r>
          <w:r>
            <w:rPr>
              <w:sz w:val="28"/>
              <w:szCs w:val="28"/>
            </w:rPr>
            <w:fldChar w:fldCharType="begin"/>
          </w:r>
          <w:r>
            <w:rPr>
              <w:sz w:val="28"/>
              <w:szCs w:val="28"/>
            </w:rPr>
            <w:instrText xml:space="preserve"> PAGEREF _Toc1989 \h </w:instrText>
          </w:r>
          <w:r>
            <w:rPr>
              <w:sz w:val="28"/>
              <w:szCs w:val="28"/>
            </w:rPr>
            <w:fldChar w:fldCharType="separate"/>
          </w:r>
          <w:r>
            <w:rPr>
              <w:sz w:val="28"/>
              <w:szCs w:val="28"/>
            </w:rPr>
            <w:t>43</w:t>
          </w:r>
          <w:r>
            <w:rPr>
              <w:sz w:val="28"/>
              <w:szCs w:val="28"/>
            </w:rPr>
            <w:fldChar w:fldCharType="end"/>
          </w:r>
          <w:r>
            <w:rPr>
              <w:sz w:val="28"/>
              <w:szCs w:val="28"/>
            </w:rPr>
            <w:fldChar w:fldCharType="end"/>
          </w:r>
        </w:p>
        <w:p w14:paraId="77D2201C">
          <w:pPr>
            <w:pStyle w:val="16"/>
            <w:tabs>
              <w:tab w:val="right" w:leader="dot" w:pos="8306"/>
            </w:tabs>
            <w:ind w:left="440"/>
            <w:rPr>
              <w:sz w:val="28"/>
              <w:szCs w:val="28"/>
            </w:rPr>
          </w:pPr>
          <w:r>
            <w:fldChar w:fldCharType="begin"/>
          </w:r>
          <w:r>
            <w:instrText xml:space="preserve"> HYPERLINK \l "_Toc15917" </w:instrText>
          </w:r>
          <w:r>
            <w:fldChar w:fldCharType="separate"/>
          </w:r>
          <w:r>
            <w:rPr>
              <w:rFonts w:hint="eastAsia"/>
              <w:sz w:val="28"/>
              <w:szCs w:val="28"/>
            </w:rPr>
            <w:t>第三十九条</w:t>
          </w:r>
          <w:r>
            <w:rPr>
              <w:rFonts w:hint="eastAsia"/>
              <w:sz w:val="28"/>
              <w:szCs w:val="28"/>
              <w:lang w:val="en-US" w:eastAsia="zh-CN"/>
            </w:rPr>
            <w:t xml:space="preserve"> </w:t>
          </w:r>
          <w:r>
            <w:rPr>
              <w:rFonts w:hint="eastAsia"/>
              <w:sz w:val="28"/>
              <w:szCs w:val="28"/>
            </w:rPr>
            <w:t>多管齐下，完善</w:t>
          </w:r>
          <w:r>
            <w:rPr>
              <w:rFonts w:hint="eastAsia"/>
              <w:sz w:val="28"/>
              <w:szCs w:val="28"/>
              <w:lang w:eastAsia="zh-CN"/>
            </w:rPr>
            <w:t>以</w:t>
          </w:r>
          <w:r>
            <w:rPr>
              <w:rFonts w:hint="eastAsia"/>
              <w:sz w:val="28"/>
              <w:szCs w:val="28"/>
            </w:rPr>
            <w:t>杭锦旗消防救援大队为主导的消防安全管理体系</w:t>
          </w:r>
          <w:r>
            <w:rPr>
              <w:sz w:val="28"/>
              <w:szCs w:val="28"/>
            </w:rPr>
            <w:tab/>
          </w:r>
          <w:r>
            <w:rPr>
              <w:sz w:val="28"/>
              <w:szCs w:val="28"/>
            </w:rPr>
            <w:fldChar w:fldCharType="begin"/>
          </w:r>
          <w:r>
            <w:rPr>
              <w:sz w:val="28"/>
              <w:szCs w:val="28"/>
            </w:rPr>
            <w:instrText xml:space="preserve"> PAGEREF _Toc15917 \h </w:instrText>
          </w:r>
          <w:r>
            <w:rPr>
              <w:sz w:val="28"/>
              <w:szCs w:val="28"/>
            </w:rPr>
            <w:fldChar w:fldCharType="separate"/>
          </w:r>
          <w:r>
            <w:rPr>
              <w:sz w:val="28"/>
              <w:szCs w:val="28"/>
            </w:rPr>
            <w:t>43</w:t>
          </w:r>
          <w:r>
            <w:rPr>
              <w:sz w:val="28"/>
              <w:szCs w:val="28"/>
            </w:rPr>
            <w:fldChar w:fldCharType="end"/>
          </w:r>
          <w:r>
            <w:rPr>
              <w:sz w:val="28"/>
              <w:szCs w:val="28"/>
            </w:rPr>
            <w:fldChar w:fldCharType="end"/>
          </w:r>
        </w:p>
        <w:p w14:paraId="64BE68C2">
          <w:pPr>
            <w:pStyle w:val="16"/>
            <w:tabs>
              <w:tab w:val="right" w:leader="dot" w:pos="8306"/>
            </w:tabs>
            <w:ind w:left="440"/>
            <w:rPr>
              <w:sz w:val="28"/>
              <w:szCs w:val="28"/>
            </w:rPr>
          </w:pPr>
          <w:r>
            <w:fldChar w:fldCharType="begin"/>
          </w:r>
          <w:r>
            <w:instrText xml:space="preserve"> HYPERLINK \l "_Toc19392" </w:instrText>
          </w:r>
          <w:r>
            <w:fldChar w:fldCharType="separate"/>
          </w:r>
          <w:r>
            <w:rPr>
              <w:rFonts w:hint="eastAsia"/>
              <w:sz w:val="28"/>
              <w:szCs w:val="28"/>
            </w:rPr>
            <w:t>第四十条</w:t>
          </w:r>
          <w:r>
            <w:rPr>
              <w:rFonts w:hint="eastAsia"/>
              <w:sz w:val="28"/>
              <w:szCs w:val="28"/>
              <w:lang w:val="en-US" w:eastAsia="zh-CN"/>
            </w:rPr>
            <w:t xml:space="preserve"> </w:t>
          </w:r>
          <w:r>
            <w:rPr>
              <w:rFonts w:hint="eastAsia"/>
              <w:sz w:val="28"/>
              <w:szCs w:val="28"/>
            </w:rPr>
            <w:t>加强预案编制和管理，结合化工园区大数据丰富预案演练模式</w:t>
          </w:r>
          <w:r>
            <w:rPr>
              <w:sz w:val="28"/>
              <w:szCs w:val="28"/>
            </w:rPr>
            <w:tab/>
          </w:r>
          <w:r>
            <w:rPr>
              <w:sz w:val="28"/>
              <w:szCs w:val="28"/>
            </w:rPr>
            <w:fldChar w:fldCharType="begin"/>
          </w:r>
          <w:r>
            <w:rPr>
              <w:sz w:val="28"/>
              <w:szCs w:val="28"/>
            </w:rPr>
            <w:instrText xml:space="preserve"> PAGEREF _Toc19392 \h </w:instrText>
          </w:r>
          <w:r>
            <w:rPr>
              <w:sz w:val="28"/>
              <w:szCs w:val="28"/>
            </w:rPr>
            <w:fldChar w:fldCharType="separate"/>
          </w:r>
          <w:r>
            <w:rPr>
              <w:sz w:val="28"/>
              <w:szCs w:val="28"/>
            </w:rPr>
            <w:t>44</w:t>
          </w:r>
          <w:r>
            <w:rPr>
              <w:sz w:val="28"/>
              <w:szCs w:val="28"/>
            </w:rPr>
            <w:fldChar w:fldCharType="end"/>
          </w:r>
          <w:r>
            <w:rPr>
              <w:sz w:val="28"/>
              <w:szCs w:val="28"/>
            </w:rPr>
            <w:fldChar w:fldCharType="end"/>
          </w:r>
        </w:p>
        <w:p w14:paraId="66B82F84">
          <w:pPr>
            <w:pStyle w:val="16"/>
            <w:tabs>
              <w:tab w:val="right" w:leader="dot" w:pos="8306"/>
            </w:tabs>
            <w:ind w:left="440"/>
            <w:rPr>
              <w:sz w:val="28"/>
              <w:szCs w:val="28"/>
            </w:rPr>
          </w:pPr>
          <w:r>
            <w:fldChar w:fldCharType="begin"/>
          </w:r>
          <w:r>
            <w:instrText xml:space="preserve"> HYPERLINK \l "_Toc7185" </w:instrText>
          </w:r>
          <w:r>
            <w:fldChar w:fldCharType="separate"/>
          </w:r>
          <w:r>
            <w:rPr>
              <w:rFonts w:hint="eastAsia"/>
              <w:sz w:val="28"/>
              <w:szCs w:val="28"/>
            </w:rPr>
            <w:t>第四十一条</w:t>
          </w:r>
          <w:r>
            <w:rPr>
              <w:rFonts w:hint="eastAsia"/>
              <w:sz w:val="28"/>
              <w:szCs w:val="28"/>
              <w:lang w:val="en-US" w:eastAsia="zh-CN"/>
            </w:rPr>
            <w:t xml:space="preserve"> </w:t>
          </w:r>
          <w:r>
            <w:rPr>
              <w:rFonts w:hint="eastAsia"/>
              <w:sz w:val="28"/>
              <w:szCs w:val="28"/>
            </w:rPr>
            <w:t>针对化工园区特点与产品特性打造专业危化品救援特勤队伍</w:t>
          </w:r>
          <w:r>
            <w:rPr>
              <w:sz w:val="28"/>
              <w:szCs w:val="28"/>
            </w:rPr>
            <w:tab/>
          </w:r>
          <w:r>
            <w:rPr>
              <w:sz w:val="28"/>
              <w:szCs w:val="28"/>
            </w:rPr>
            <w:fldChar w:fldCharType="begin"/>
          </w:r>
          <w:r>
            <w:rPr>
              <w:sz w:val="28"/>
              <w:szCs w:val="28"/>
            </w:rPr>
            <w:instrText xml:space="preserve"> PAGEREF _Toc7185 \h </w:instrText>
          </w:r>
          <w:r>
            <w:rPr>
              <w:sz w:val="28"/>
              <w:szCs w:val="28"/>
            </w:rPr>
            <w:fldChar w:fldCharType="separate"/>
          </w:r>
          <w:r>
            <w:rPr>
              <w:sz w:val="28"/>
              <w:szCs w:val="28"/>
            </w:rPr>
            <w:t>44</w:t>
          </w:r>
          <w:r>
            <w:rPr>
              <w:sz w:val="28"/>
              <w:szCs w:val="28"/>
            </w:rPr>
            <w:fldChar w:fldCharType="end"/>
          </w:r>
          <w:r>
            <w:rPr>
              <w:sz w:val="28"/>
              <w:szCs w:val="28"/>
            </w:rPr>
            <w:fldChar w:fldCharType="end"/>
          </w:r>
        </w:p>
        <w:p w14:paraId="754166F2">
          <w:pPr>
            <w:pStyle w:val="16"/>
            <w:tabs>
              <w:tab w:val="right" w:leader="dot" w:pos="8306"/>
            </w:tabs>
            <w:ind w:left="440"/>
            <w:rPr>
              <w:sz w:val="28"/>
              <w:szCs w:val="28"/>
            </w:rPr>
          </w:pPr>
          <w:r>
            <w:fldChar w:fldCharType="begin"/>
          </w:r>
          <w:r>
            <w:instrText xml:space="preserve"> HYPERLINK \l "_Toc23980" </w:instrText>
          </w:r>
          <w:r>
            <w:fldChar w:fldCharType="separate"/>
          </w:r>
          <w:r>
            <w:rPr>
              <w:rFonts w:hint="eastAsia"/>
              <w:sz w:val="28"/>
              <w:szCs w:val="28"/>
            </w:rPr>
            <w:t>第四十二条</w:t>
          </w:r>
          <w:r>
            <w:rPr>
              <w:rFonts w:hint="eastAsia"/>
              <w:sz w:val="28"/>
              <w:szCs w:val="28"/>
              <w:lang w:val="en-US" w:eastAsia="zh-CN"/>
            </w:rPr>
            <w:t xml:space="preserve"> </w:t>
          </w:r>
          <w:r>
            <w:rPr>
              <w:rFonts w:hint="eastAsia"/>
              <w:sz w:val="28"/>
              <w:szCs w:val="28"/>
            </w:rPr>
            <w:t>建立化学危险品安全科技支撑及安全生产管控一体化封闭管理体系</w:t>
          </w:r>
          <w:r>
            <w:rPr>
              <w:sz w:val="28"/>
              <w:szCs w:val="28"/>
            </w:rPr>
            <w:tab/>
          </w:r>
          <w:r>
            <w:rPr>
              <w:sz w:val="28"/>
              <w:szCs w:val="28"/>
            </w:rPr>
            <w:fldChar w:fldCharType="begin"/>
          </w:r>
          <w:r>
            <w:rPr>
              <w:sz w:val="28"/>
              <w:szCs w:val="28"/>
            </w:rPr>
            <w:instrText xml:space="preserve"> PAGEREF _Toc23980 \h </w:instrText>
          </w:r>
          <w:r>
            <w:rPr>
              <w:sz w:val="28"/>
              <w:szCs w:val="28"/>
            </w:rPr>
            <w:fldChar w:fldCharType="separate"/>
          </w:r>
          <w:r>
            <w:rPr>
              <w:sz w:val="28"/>
              <w:szCs w:val="28"/>
            </w:rPr>
            <w:t>45</w:t>
          </w:r>
          <w:r>
            <w:rPr>
              <w:sz w:val="28"/>
              <w:szCs w:val="28"/>
            </w:rPr>
            <w:fldChar w:fldCharType="end"/>
          </w:r>
          <w:r>
            <w:rPr>
              <w:sz w:val="28"/>
              <w:szCs w:val="28"/>
            </w:rPr>
            <w:fldChar w:fldCharType="end"/>
          </w:r>
        </w:p>
        <w:p w14:paraId="75621FC6">
          <w:pPr>
            <w:pStyle w:val="16"/>
            <w:tabs>
              <w:tab w:val="right" w:leader="dot" w:pos="8306"/>
            </w:tabs>
            <w:ind w:left="440"/>
            <w:rPr>
              <w:sz w:val="28"/>
              <w:szCs w:val="28"/>
            </w:rPr>
          </w:pPr>
          <w:r>
            <w:fldChar w:fldCharType="begin"/>
          </w:r>
          <w:r>
            <w:instrText xml:space="preserve"> HYPERLINK \l "_Toc26662" </w:instrText>
          </w:r>
          <w:r>
            <w:fldChar w:fldCharType="separate"/>
          </w:r>
          <w:r>
            <w:rPr>
              <w:rFonts w:hint="eastAsia"/>
              <w:sz w:val="28"/>
              <w:szCs w:val="28"/>
            </w:rPr>
            <w:t>第四十三条</w:t>
          </w:r>
          <w:r>
            <w:rPr>
              <w:rFonts w:hint="eastAsia"/>
              <w:sz w:val="28"/>
              <w:szCs w:val="28"/>
              <w:lang w:val="en-US" w:eastAsia="zh-CN"/>
            </w:rPr>
            <w:t xml:space="preserve"> </w:t>
          </w:r>
          <w:r>
            <w:rPr>
              <w:rFonts w:hint="eastAsia"/>
              <w:sz w:val="28"/>
              <w:szCs w:val="28"/>
            </w:rPr>
            <w:t>丰富资金来源，保障化工园区消防建设资金</w:t>
          </w:r>
          <w:r>
            <w:rPr>
              <w:sz w:val="28"/>
              <w:szCs w:val="28"/>
            </w:rPr>
            <w:tab/>
          </w:r>
          <w:r>
            <w:rPr>
              <w:sz w:val="28"/>
              <w:szCs w:val="28"/>
            </w:rPr>
            <w:fldChar w:fldCharType="begin"/>
          </w:r>
          <w:r>
            <w:rPr>
              <w:sz w:val="28"/>
              <w:szCs w:val="28"/>
            </w:rPr>
            <w:instrText xml:space="preserve"> PAGEREF _Toc26662 \h </w:instrText>
          </w:r>
          <w:r>
            <w:rPr>
              <w:sz w:val="28"/>
              <w:szCs w:val="28"/>
            </w:rPr>
            <w:fldChar w:fldCharType="separate"/>
          </w:r>
          <w:r>
            <w:rPr>
              <w:sz w:val="28"/>
              <w:szCs w:val="28"/>
            </w:rPr>
            <w:t>45</w:t>
          </w:r>
          <w:r>
            <w:rPr>
              <w:sz w:val="28"/>
              <w:szCs w:val="28"/>
            </w:rPr>
            <w:fldChar w:fldCharType="end"/>
          </w:r>
          <w:r>
            <w:rPr>
              <w:sz w:val="28"/>
              <w:szCs w:val="28"/>
            </w:rPr>
            <w:fldChar w:fldCharType="end"/>
          </w:r>
        </w:p>
        <w:p w14:paraId="378BE73D">
          <w:pPr>
            <w:pStyle w:val="16"/>
            <w:tabs>
              <w:tab w:val="right" w:leader="dot" w:pos="8306"/>
            </w:tabs>
            <w:ind w:left="440"/>
            <w:rPr>
              <w:sz w:val="28"/>
              <w:szCs w:val="28"/>
            </w:rPr>
          </w:pPr>
          <w:r>
            <w:fldChar w:fldCharType="begin"/>
          </w:r>
          <w:r>
            <w:instrText xml:space="preserve"> HYPERLINK \l "_Toc26124" </w:instrText>
          </w:r>
          <w:r>
            <w:fldChar w:fldCharType="separate"/>
          </w:r>
          <w:r>
            <w:rPr>
              <w:rFonts w:hint="eastAsia"/>
              <w:sz w:val="28"/>
              <w:szCs w:val="28"/>
            </w:rPr>
            <w:t>第四十四条</w:t>
          </w:r>
          <w:r>
            <w:rPr>
              <w:rFonts w:hint="eastAsia"/>
              <w:sz w:val="28"/>
              <w:szCs w:val="28"/>
              <w:lang w:val="en-US" w:eastAsia="zh-CN"/>
            </w:rPr>
            <w:t xml:space="preserve"> </w:t>
          </w:r>
          <w:r>
            <w:rPr>
              <w:rFonts w:hint="eastAsia"/>
              <w:sz w:val="28"/>
              <w:szCs w:val="28"/>
            </w:rPr>
            <w:t>融合互训，健全消防应急救援人才保障</w:t>
          </w:r>
          <w:r>
            <w:rPr>
              <w:sz w:val="28"/>
              <w:szCs w:val="28"/>
            </w:rPr>
            <w:tab/>
          </w:r>
          <w:r>
            <w:rPr>
              <w:sz w:val="28"/>
              <w:szCs w:val="28"/>
            </w:rPr>
            <w:fldChar w:fldCharType="begin"/>
          </w:r>
          <w:r>
            <w:rPr>
              <w:sz w:val="28"/>
              <w:szCs w:val="28"/>
            </w:rPr>
            <w:instrText xml:space="preserve"> PAGEREF _Toc26124 \h </w:instrText>
          </w:r>
          <w:r>
            <w:rPr>
              <w:sz w:val="28"/>
              <w:szCs w:val="28"/>
            </w:rPr>
            <w:fldChar w:fldCharType="separate"/>
          </w:r>
          <w:r>
            <w:rPr>
              <w:sz w:val="28"/>
              <w:szCs w:val="28"/>
            </w:rPr>
            <w:t>45</w:t>
          </w:r>
          <w:r>
            <w:rPr>
              <w:sz w:val="28"/>
              <w:szCs w:val="28"/>
            </w:rPr>
            <w:fldChar w:fldCharType="end"/>
          </w:r>
          <w:r>
            <w:rPr>
              <w:sz w:val="28"/>
              <w:szCs w:val="28"/>
            </w:rPr>
            <w:fldChar w:fldCharType="end"/>
          </w:r>
        </w:p>
        <w:p w14:paraId="093247CE">
          <w:pPr>
            <w:pStyle w:val="16"/>
            <w:tabs>
              <w:tab w:val="right" w:leader="dot" w:pos="8306"/>
            </w:tabs>
            <w:ind w:left="440"/>
            <w:rPr>
              <w:sz w:val="28"/>
              <w:szCs w:val="28"/>
            </w:rPr>
          </w:pPr>
          <w:r>
            <w:fldChar w:fldCharType="begin"/>
          </w:r>
          <w:r>
            <w:instrText xml:space="preserve"> HYPERLINK \l "_Toc13003" </w:instrText>
          </w:r>
          <w:r>
            <w:fldChar w:fldCharType="separate"/>
          </w:r>
          <w:r>
            <w:rPr>
              <w:rFonts w:hint="eastAsia"/>
              <w:sz w:val="28"/>
              <w:szCs w:val="28"/>
            </w:rPr>
            <w:t>第四十五条</w:t>
          </w:r>
          <w:r>
            <w:rPr>
              <w:rFonts w:hint="eastAsia"/>
              <w:sz w:val="28"/>
              <w:szCs w:val="28"/>
              <w:lang w:val="en-US" w:eastAsia="zh-CN"/>
            </w:rPr>
            <w:t xml:space="preserve"> </w:t>
          </w:r>
          <w:r>
            <w:rPr>
              <w:rFonts w:hint="eastAsia"/>
              <w:sz w:val="28"/>
              <w:szCs w:val="28"/>
            </w:rPr>
            <w:t>加强规划评估落实与督查督办</w:t>
          </w:r>
          <w:r>
            <w:rPr>
              <w:sz w:val="28"/>
              <w:szCs w:val="28"/>
            </w:rPr>
            <w:tab/>
          </w:r>
          <w:r>
            <w:rPr>
              <w:sz w:val="28"/>
              <w:szCs w:val="28"/>
            </w:rPr>
            <w:fldChar w:fldCharType="begin"/>
          </w:r>
          <w:r>
            <w:rPr>
              <w:sz w:val="28"/>
              <w:szCs w:val="28"/>
            </w:rPr>
            <w:instrText xml:space="preserve"> PAGEREF _Toc13003 \h </w:instrText>
          </w:r>
          <w:r>
            <w:rPr>
              <w:sz w:val="28"/>
              <w:szCs w:val="28"/>
            </w:rPr>
            <w:fldChar w:fldCharType="separate"/>
          </w:r>
          <w:r>
            <w:rPr>
              <w:sz w:val="28"/>
              <w:szCs w:val="28"/>
            </w:rPr>
            <w:t>46</w:t>
          </w:r>
          <w:r>
            <w:rPr>
              <w:sz w:val="28"/>
              <w:szCs w:val="28"/>
            </w:rPr>
            <w:fldChar w:fldCharType="end"/>
          </w:r>
          <w:r>
            <w:rPr>
              <w:sz w:val="28"/>
              <w:szCs w:val="28"/>
            </w:rPr>
            <w:fldChar w:fldCharType="end"/>
          </w:r>
        </w:p>
        <w:p w14:paraId="602C06D4">
          <w:pPr>
            <w:pStyle w:val="16"/>
            <w:tabs>
              <w:tab w:val="right" w:leader="dot" w:pos="8306"/>
            </w:tabs>
            <w:ind w:left="440"/>
            <w:rPr>
              <w:sz w:val="28"/>
              <w:szCs w:val="28"/>
            </w:rPr>
          </w:pPr>
          <w:r>
            <w:fldChar w:fldCharType="begin"/>
          </w:r>
          <w:r>
            <w:instrText xml:space="preserve"> HYPERLINK \l "_Toc24042" </w:instrText>
          </w:r>
          <w:r>
            <w:fldChar w:fldCharType="separate"/>
          </w:r>
          <w:r>
            <w:rPr>
              <w:rFonts w:hint="eastAsia"/>
              <w:sz w:val="28"/>
              <w:szCs w:val="28"/>
            </w:rPr>
            <w:t>第四十六条</w:t>
          </w:r>
          <w:r>
            <w:rPr>
              <w:rFonts w:hint="eastAsia"/>
              <w:sz w:val="28"/>
              <w:szCs w:val="28"/>
              <w:lang w:val="en-US" w:eastAsia="zh-CN"/>
            </w:rPr>
            <w:t xml:space="preserve"> </w:t>
          </w:r>
          <w:r>
            <w:rPr>
              <w:rFonts w:hint="eastAsia"/>
              <w:sz w:val="28"/>
              <w:szCs w:val="28"/>
            </w:rPr>
            <w:t>完善多部门联动、企业配合的事故后环境恢复与卫生整治工作机制</w:t>
          </w:r>
          <w:r>
            <w:rPr>
              <w:sz w:val="28"/>
              <w:szCs w:val="28"/>
            </w:rPr>
            <w:tab/>
          </w:r>
          <w:r>
            <w:rPr>
              <w:sz w:val="28"/>
              <w:szCs w:val="28"/>
            </w:rPr>
            <w:fldChar w:fldCharType="begin"/>
          </w:r>
          <w:r>
            <w:rPr>
              <w:sz w:val="28"/>
              <w:szCs w:val="28"/>
            </w:rPr>
            <w:instrText xml:space="preserve"> PAGEREF _Toc24042 \h </w:instrText>
          </w:r>
          <w:r>
            <w:rPr>
              <w:sz w:val="28"/>
              <w:szCs w:val="28"/>
            </w:rPr>
            <w:fldChar w:fldCharType="separate"/>
          </w:r>
          <w:r>
            <w:rPr>
              <w:sz w:val="28"/>
              <w:szCs w:val="28"/>
            </w:rPr>
            <w:t>46</w:t>
          </w:r>
          <w:r>
            <w:rPr>
              <w:sz w:val="28"/>
              <w:szCs w:val="28"/>
            </w:rPr>
            <w:fldChar w:fldCharType="end"/>
          </w:r>
          <w:r>
            <w:rPr>
              <w:sz w:val="28"/>
              <w:szCs w:val="28"/>
            </w:rPr>
            <w:fldChar w:fldCharType="end"/>
          </w:r>
        </w:p>
        <w:p w14:paraId="4B52D18C">
          <w:pPr>
            <w:rPr>
              <w:b/>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b/>
              <w:color w:val="000000" w:themeColor="text1"/>
              <w:sz w:val="28"/>
              <w:szCs w:val="28"/>
              <w14:textFill>
                <w14:solidFill>
                  <w14:schemeClr w14:val="tx1"/>
                </w14:solidFill>
              </w14:textFill>
            </w:rPr>
            <w:fldChar w:fldCharType="end"/>
          </w:r>
        </w:p>
      </w:sdtContent>
    </w:sdt>
    <w:p w14:paraId="6942D968">
      <w:pPr>
        <w:rPr>
          <w:b/>
          <w:color w:val="000000" w:themeColor="text1"/>
          <w:sz w:val="21"/>
          <w:szCs w:val="21"/>
          <w14:textFill>
            <w14:solidFill>
              <w14:schemeClr w14:val="tx1"/>
            </w14:solidFill>
          </w14:textFill>
        </w:rPr>
      </w:pPr>
    </w:p>
    <w:p w14:paraId="389DD0B9">
      <w:pPr>
        <w:pStyle w:val="11"/>
        <w:tabs>
          <w:tab w:val="left" w:pos="1774"/>
        </w:tabs>
        <w:spacing w:line="360" w:lineRule="auto"/>
        <w:ind w:left="0" w:firstLine="2891" w:firstLineChars="800"/>
        <w:outlineLvl w:val="0"/>
        <w:rPr>
          <w:rStyle w:val="12"/>
        </w:rPr>
      </w:pPr>
      <w:bookmarkStart w:id="4" w:name="_Toc27959"/>
      <w:r>
        <w:rPr>
          <w:rStyle w:val="12"/>
          <w:rFonts w:hint="eastAsia"/>
        </w:rPr>
        <w:t>第一章</w:t>
      </w:r>
      <w:r>
        <w:rPr>
          <w:rStyle w:val="12"/>
          <w:rFonts w:hint="eastAsia"/>
          <w:lang w:val="en-US" w:eastAsia="zh-CN"/>
        </w:rPr>
        <w:t xml:space="preserve"> </w:t>
      </w:r>
      <w:r>
        <w:rPr>
          <w:rStyle w:val="12"/>
        </w:rPr>
        <w:t>总则</w:t>
      </w:r>
      <w:bookmarkEnd w:id="4"/>
    </w:p>
    <w:p w14:paraId="30ECB120">
      <w:pPr>
        <w:pStyle w:val="11"/>
        <w:tabs>
          <w:tab w:val="left" w:pos="1774"/>
        </w:tabs>
        <w:ind w:left="0" w:firstLine="0"/>
        <w:rPr>
          <w:rStyle w:val="12"/>
          <w:sz w:val="20"/>
          <w:szCs w:val="20"/>
        </w:rPr>
      </w:pPr>
    </w:p>
    <w:p w14:paraId="59E68FBE">
      <w:pPr>
        <w:pStyle w:val="3"/>
        <w:spacing w:line="360" w:lineRule="auto"/>
        <w:ind w:left="0" w:firstLine="602" w:firstLineChars="200"/>
      </w:pPr>
      <w:bookmarkStart w:id="5" w:name="_Toc13575"/>
      <w:bookmarkStart w:id="6" w:name="_Toc7283"/>
      <w:bookmarkStart w:id="7" w:name="_Toc3132"/>
      <w:bookmarkStart w:id="8" w:name="_Toc8950"/>
      <w:bookmarkStart w:id="9" w:name="_Toc19402"/>
      <w:bookmarkStart w:id="10" w:name="_Toc8608"/>
      <w:r>
        <w:rPr>
          <w:rFonts w:hint="eastAsia"/>
        </w:rPr>
        <w:t>第一条</w:t>
      </w:r>
      <w:r>
        <w:rPr>
          <w:rFonts w:hint="eastAsia"/>
          <w:lang w:val="en-US" w:eastAsia="zh-CN"/>
        </w:rPr>
        <w:t xml:space="preserve"> </w:t>
      </w:r>
      <w:r>
        <w:rPr>
          <w:rFonts w:hint="eastAsia"/>
        </w:rPr>
        <w:t>规划制定</w:t>
      </w:r>
      <w:bookmarkEnd w:id="5"/>
      <w:bookmarkEnd w:id="6"/>
      <w:bookmarkEnd w:id="7"/>
      <w:bookmarkEnd w:id="8"/>
      <w:bookmarkEnd w:id="9"/>
      <w:bookmarkEnd w:id="10"/>
    </w:p>
    <w:p w14:paraId="60171DF1">
      <w:pPr>
        <w:spacing w:line="360" w:lineRule="auto"/>
        <w:ind w:firstLine="560" w:firstLineChars="200"/>
        <w:rPr>
          <w:sz w:val="21"/>
          <w:szCs w:val="21"/>
        </w:rPr>
      </w:pPr>
      <w:r>
        <w:rPr>
          <w:rFonts w:hint="eastAsia"/>
          <w:sz w:val="28"/>
          <w:szCs w:val="28"/>
        </w:rPr>
        <w:t>为了提高杭锦经济开发区（独贵塔拉产业园、新能源产业园）（以下简称化工园区）综合抗灾能力及消防服务水平，建设平安园区，预防火灾及次生灾害事故的发生，保证国家财产和人民生命免受危害，特依照《中华人民共和国城乡规划法</w:t>
      </w:r>
      <w:r>
        <w:rPr>
          <w:rFonts w:hint="eastAsia"/>
          <w:sz w:val="28"/>
          <w:szCs w:val="28"/>
          <w:lang w:eastAsia="zh-CN"/>
        </w:rPr>
        <w:t>》《</w:t>
      </w:r>
      <w:r>
        <w:rPr>
          <w:rFonts w:hint="eastAsia"/>
          <w:sz w:val="28"/>
          <w:szCs w:val="28"/>
        </w:rPr>
        <w:t>中华人民共和国消防法》及《城市消防规划规范》等相关法律、法规和技术规范制定本规划。</w:t>
      </w:r>
    </w:p>
    <w:p w14:paraId="52E2296E">
      <w:pPr>
        <w:pStyle w:val="3"/>
        <w:spacing w:line="360" w:lineRule="auto"/>
        <w:ind w:left="0" w:firstLine="602" w:firstLineChars="200"/>
      </w:pPr>
      <w:bookmarkStart w:id="11" w:name="_Toc12876"/>
      <w:bookmarkStart w:id="12" w:name="_Toc24085"/>
      <w:bookmarkStart w:id="13" w:name="_Toc4690"/>
      <w:bookmarkStart w:id="14" w:name="_Toc19946"/>
      <w:bookmarkStart w:id="15" w:name="_Toc30017"/>
      <w:bookmarkStart w:id="16" w:name="_Toc1021"/>
      <w:r>
        <w:rPr>
          <w:rFonts w:hint="eastAsia"/>
        </w:rPr>
        <w:t>第二条</w:t>
      </w:r>
      <w:r>
        <w:rPr>
          <w:rFonts w:hint="eastAsia"/>
          <w:lang w:val="en-US" w:eastAsia="zh-CN"/>
        </w:rPr>
        <w:t xml:space="preserve"> </w:t>
      </w:r>
      <w:r>
        <w:rPr>
          <w:rFonts w:hint="eastAsia"/>
        </w:rPr>
        <w:t>规划编制导向</w:t>
      </w:r>
      <w:bookmarkEnd w:id="11"/>
      <w:bookmarkEnd w:id="12"/>
      <w:bookmarkEnd w:id="13"/>
      <w:bookmarkEnd w:id="14"/>
      <w:bookmarkEnd w:id="15"/>
      <w:bookmarkEnd w:id="16"/>
    </w:p>
    <w:p w14:paraId="61EE81C9">
      <w:pPr>
        <w:spacing w:line="360" w:lineRule="auto"/>
        <w:ind w:firstLine="560" w:firstLineChars="200"/>
        <w:rPr>
          <w:sz w:val="28"/>
          <w:szCs w:val="28"/>
        </w:rPr>
      </w:pPr>
      <w:r>
        <w:rPr>
          <w:rFonts w:hint="eastAsia"/>
          <w:sz w:val="28"/>
          <w:szCs w:val="28"/>
        </w:rPr>
        <w:t>本规划是在《鄂尔多斯杭锦经济开发区总体规划（2021-2035年）》指导下编制的消防专项规划，包括化工园区城市消防安全布局、重大消防站点规划、消防基础设施、消防实力提升建设、近期建设、实施保障措施等内容，各有关部门在编制其他专业规划时，应将本规划相关部分一并纳入考虑。有关行政主管部门应积极配合，各尽其责，密切合作，认真实施。</w:t>
      </w:r>
    </w:p>
    <w:p w14:paraId="305FEC01">
      <w:pPr>
        <w:pStyle w:val="3"/>
        <w:spacing w:line="360" w:lineRule="auto"/>
        <w:ind w:left="0" w:firstLine="602" w:firstLineChars="200"/>
      </w:pPr>
      <w:bookmarkStart w:id="17" w:name="_Toc15866"/>
      <w:bookmarkStart w:id="18" w:name="_Toc9264"/>
      <w:bookmarkStart w:id="19" w:name="_Toc21807"/>
      <w:bookmarkStart w:id="20" w:name="_Toc7313"/>
      <w:bookmarkStart w:id="21" w:name="_Toc11730"/>
      <w:bookmarkStart w:id="22" w:name="_Toc8224"/>
      <w:r>
        <w:rPr>
          <w:rFonts w:hint="eastAsia"/>
        </w:rPr>
        <w:t>第三条</w:t>
      </w:r>
      <w:r>
        <w:rPr>
          <w:rFonts w:hint="eastAsia"/>
          <w:lang w:val="en-US" w:eastAsia="zh-CN"/>
        </w:rPr>
        <w:t xml:space="preserve"> </w:t>
      </w:r>
      <w:r>
        <w:rPr>
          <w:rFonts w:hint="eastAsia"/>
        </w:rPr>
        <w:t>规划依据</w:t>
      </w:r>
      <w:bookmarkEnd w:id="17"/>
      <w:bookmarkEnd w:id="18"/>
      <w:bookmarkEnd w:id="19"/>
      <w:bookmarkEnd w:id="20"/>
      <w:bookmarkEnd w:id="21"/>
      <w:bookmarkEnd w:id="22"/>
    </w:p>
    <w:p w14:paraId="037E1F97">
      <w:pPr>
        <w:spacing w:line="360" w:lineRule="auto"/>
        <w:ind w:firstLine="560" w:firstLineChars="200"/>
        <w:rPr>
          <w:sz w:val="28"/>
          <w:szCs w:val="28"/>
        </w:rPr>
      </w:pPr>
      <w:r>
        <w:rPr>
          <w:rFonts w:hint="eastAsia"/>
          <w:sz w:val="28"/>
          <w:szCs w:val="28"/>
        </w:rPr>
        <w:t>1.《中华人民共和国消防法》（2021年修订）；</w:t>
      </w:r>
    </w:p>
    <w:p w14:paraId="3957BCA8">
      <w:pPr>
        <w:spacing w:line="360" w:lineRule="auto"/>
        <w:ind w:firstLine="560" w:firstLineChars="200"/>
        <w:rPr>
          <w:sz w:val="28"/>
          <w:szCs w:val="28"/>
        </w:rPr>
      </w:pPr>
      <w:r>
        <w:rPr>
          <w:rFonts w:hint="eastAsia"/>
          <w:sz w:val="28"/>
          <w:szCs w:val="28"/>
        </w:rPr>
        <w:t>2.《中华人民共和国城乡规划法》；</w:t>
      </w:r>
    </w:p>
    <w:p w14:paraId="016A4A65">
      <w:pPr>
        <w:spacing w:line="360" w:lineRule="auto"/>
        <w:ind w:firstLine="560" w:firstLineChars="200"/>
        <w:rPr>
          <w:sz w:val="28"/>
          <w:szCs w:val="28"/>
        </w:rPr>
      </w:pPr>
      <w:r>
        <w:rPr>
          <w:rFonts w:hint="eastAsia"/>
          <w:sz w:val="28"/>
          <w:szCs w:val="28"/>
        </w:rPr>
        <w:t>3.《中华人民共和国安全生产法》</w:t>
      </w:r>
      <w:r>
        <w:rPr>
          <w:sz w:val="28"/>
          <w:szCs w:val="28"/>
        </w:rPr>
        <w:t>（2021年修订）</w:t>
      </w:r>
      <w:r>
        <w:rPr>
          <w:rFonts w:hint="eastAsia"/>
          <w:sz w:val="28"/>
          <w:szCs w:val="28"/>
        </w:rPr>
        <w:t>；</w:t>
      </w:r>
    </w:p>
    <w:p w14:paraId="718D1835">
      <w:pPr>
        <w:spacing w:line="360" w:lineRule="auto"/>
        <w:ind w:firstLine="560" w:firstLineChars="200"/>
        <w:rPr>
          <w:sz w:val="28"/>
          <w:szCs w:val="28"/>
        </w:rPr>
      </w:pPr>
      <w:r>
        <w:rPr>
          <w:rFonts w:hint="eastAsia"/>
          <w:sz w:val="28"/>
          <w:szCs w:val="28"/>
        </w:rPr>
        <w:t>4.《城市规划编制办法》；</w:t>
      </w:r>
    </w:p>
    <w:p w14:paraId="67C0C503">
      <w:pPr>
        <w:spacing w:line="360" w:lineRule="auto"/>
        <w:ind w:firstLine="560" w:firstLineChars="200"/>
        <w:rPr>
          <w:sz w:val="28"/>
          <w:szCs w:val="28"/>
        </w:rPr>
      </w:pPr>
      <w:r>
        <w:rPr>
          <w:rFonts w:hint="eastAsia"/>
          <w:sz w:val="28"/>
          <w:szCs w:val="28"/>
        </w:rPr>
        <w:t>5.《城市消防规划规范》（GB51080—2015）；</w:t>
      </w:r>
    </w:p>
    <w:p w14:paraId="42981064">
      <w:pPr>
        <w:spacing w:line="360" w:lineRule="auto"/>
        <w:ind w:firstLine="560" w:firstLineChars="200"/>
        <w:rPr>
          <w:sz w:val="28"/>
          <w:szCs w:val="28"/>
        </w:rPr>
      </w:pPr>
      <w:r>
        <w:rPr>
          <w:rFonts w:hint="eastAsia"/>
          <w:sz w:val="28"/>
          <w:szCs w:val="28"/>
        </w:rPr>
        <w:t>6.《城市消防站建设标准》（建标152-2017）；</w:t>
      </w:r>
    </w:p>
    <w:p w14:paraId="2C8EC990">
      <w:pPr>
        <w:spacing w:line="360" w:lineRule="auto"/>
        <w:ind w:firstLine="560" w:firstLineChars="200"/>
        <w:rPr>
          <w:sz w:val="28"/>
          <w:szCs w:val="28"/>
        </w:rPr>
      </w:pPr>
      <w:r>
        <w:rPr>
          <w:rFonts w:hint="eastAsia"/>
          <w:sz w:val="28"/>
          <w:szCs w:val="28"/>
        </w:rPr>
        <w:t>7.《城市消防站设计规范》（GB51054-2014）；</w:t>
      </w:r>
    </w:p>
    <w:p w14:paraId="19F521F6">
      <w:pPr>
        <w:spacing w:line="360" w:lineRule="auto"/>
        <w:ind w:firstLine="560" w:firstLineChars="200"/>
        <w:rPr>
          <w:sz w:val="28"/>
          <w:szCs w:val="28"/>
        </w:rPr>
      </w:pPr>
      <w:r>
        <w:rPr>
          <w:rFonts w:hint="eastAsia"/>
          <w:sz w:val="28"/>
          <w:szCs w:val="28"/>
        </w:rPr>
        <w:t>8.《城市消防通信指挥系统设计规范》（GB50313-2013）；</w:t>
      </w:r>
    </w:p>
    <w:p w14:paraId="58F38151">
      <w:pPr>
        <w:spacing w:line="360" w:lineRule="auto"/>
        <w:ind w:firstLine="560" w:firstLineChars="200"/>
        <w:rPr>
          <w:w w:val="90"/>
          <w:sz w:val="28"/>
          <w:szCs w:val="28"/>
        </w:rPr>
      </w:pPr>
      <w:r>
        <w:rPr>
          <w:rFonts w:hint="eastAsia"/>
          <w:sz w:val="28"/>
          <w:szCs w:val="28"/>
        </w:rPr>
        <w:t>9.《石油化工企业设计防火标准》</w:t>
      </w:r>
      <w:r>
        <w:rPr>
          <w:rFonts w:hint="eastAsia"/>
          <w:w w:val="90"/>
          <w:sz w:val="28"/>
          <w:szCs w:val="28"/>
        </w:rPr>
        <w:t>（GB50160-2008）（2018年版）；</w:t>
      </w:r>
    </w:p>
    <w:p w14:paraId="531F07B2">
      <w:pPr>
        <w:spacing w:line="360" w:lineRule="auto"/>
        <w:ind w:firstLine="560" w:firstLineChars="200"/>
        <w:rPr>
          <w:sz w:val="28"/>
          <w:szCs w:val="28"/>
        </w:rPr>
      </w:pPr>
      <w:r>
        <w:rPr>
          <w:rFonts w:hint="eastAsia"/>
          <w:sz w:val="28"/>
          <w:szCs w:val="28"/>
        </w:rPr>
        <w:t>10.《防灾避难场所设计规范》（GB51143-2015）；</w:t>
      </w:r>
    </w:p>
    <w:p w14:paraId="0E80E1B9">
      <w:pPr>
        <w:spacing w:line="360" w:lineRule="auto"/>
        <w:ind w:firstLine="560" w:firstLineChars="200"/>
        <w:rPr>
          <w:sz w:val="28"/>
          <w:szCs w:val="28"/>
        </w:rPr>
      </w:pPr>
      <w:r>
        <w:rPr>
          <w:rFonts w:hint="eastAsia"/>
          <w:sz w:val="28"/>
          <w:szCs w:val="28"/>
        </w:rPr>
        <w:t>11.《建筑设计防火规范》（GB50016-2014）（2018年版）；</w:t>
      </w:r>
    </w:p>
    <w:p w14:paraId="426832D2">
      <w:pPr>
        <w:spacing w:line="360" w:lineRule="auto"/>
        <w:ind w:firstLine="560" w:firstLineChars="200"/>
        <w:rPr>
          <w:sz w:val="28"/>
          <w:szCs w:val="28"/>
        </w:rPr>
      </w:pPr>
      <w:r>
        <w:rPr>
          <w:rFonts w:hint="eastAsia"/>
          <w:sz w:val="28"/>
          <w:szCs w:val="28"/>
        </w:rPr>
        <w:t>12.《消防给水及消火栓系统技术规范》（GB50974-2014）；</w:t>
      </w:r>
    </w:p>
    <w:p w14:paraId="5381BBA1">
      <w:pPr>
        <w:spacing w:line="360" w:lineRule="auto"/>
        <w:ind w:firstLine="560" w:firstLineChars="200"/>
        <w:rPr>
          <w:sz w:val="28"/>
          <w:szCs w:val="28"/>
        </w:rPr>
      </w:pPr>
      <w:r>
        <w:rPr>
          <w:rFonts w:hint="eastAsia"/>
          <w:sz w:val="28"/>
          <w:szCs w:val="28"/>
        </w:rPr>
        <w:t>13.《消防设施通用规范》（GB55036-2022）；</w:t>
      </w:r>
    </w:p>
    <w:p w14:paraId="4455B728">
      <w:pPr>
        <w:spacing w:line="360" w:lineRule="auto"/>
        <w:ind w:firstLine="560" w:firstLineChars="200"/>
        <w:rPr>
          <w:sz w:val="28"/>
          <w:szCs w:val="28"/>
        </w:rPr>
      </w:pPr>
      <w:r>
        <w:rPr>
          <w:rFonts w:hint="eastAsia"/>
          <w:sz w:val="28"/>
          <w:szCs w:val="28"/>
        </w:rPr>
        <w:t>14.《建筑防火通用规范》（GB55037-2022）；</w:t>
      </w:r>
    </w:p>
    <w:p w14:paraId="7AFD7DAD">
      <w:pPr>
        <w:spacing w:line="360" w:lineRule="auto"/>
        <w:ind w:firstLine="560" w:firstLineChars="200"/>
        <w:rPr>
          <w:sz w:val="28"/>
          <w:szCs w:val="28"/>
        </w:rPr>
      </w:pPr>
      <w:r>
        <w:rPr>
          <w:rFonts w:hint="eastAsia"/>
          <w:sz w:val="28"/>
          <w:szCs w:val="28"/>
        </w:rPr>
        <w:t>15.</w:t>
      </w:r>
      <w:r>
        <w:rPr>
          <w:rFonts w:ascii="瀹嬩綋" w:hAnsi="瀹嬩綋" w:eastAsia="瀹嬩綋" w:cs="瀹嬩綋"/>
          <w:sz w:val="24"/>
          <w:szCs w:val="24"/>
          <w:lang w:bidi="ar"/>
        </w:rPr>
        <w:t>《</w:t>
      </w:r>
      <w:r>
        <w:rPr>
          <w:rFonts w:hint="eastAsia"/>
          <w:sz w:val="28"/>
          <w:szCs w:val="28"/>
        </w:rPr>
        <w:t>汽车加油加气加氢站技术标准</w:t>
      </w:r>
      <w:r>
        <w:rPr>
          <w:sz w:val="28"/>
          <w:szCs w:val="28"/>
        </w:rPr>
        <w:t>GB50156-2021》</w:t>
      </w:r>
    </w:p>
    <w:p w14:paraId="411CA285">
      <w:pPr>
        <w:spacing w:line="360" w:lineRule="auto"/>
        <w:ind w:firstLine="560" w:firstLineChars="200"/>
        <w:rPr>
          <w:sz w:val="28"/>
          <w:szCs w:val="28"/>
        </w:rPr>
      </w:pPr>
      <w:r>
        <w:rPr>
          <w:rFonts w:hint="eastAsia"/>
          <w:sz w:val="28"/>
          <w:szCs w:val="28"/>
        </w:rPr>
        <w:t>16.《杭锦旗城市总体规划修改（2012-2030）》；</w:t>
      </w:r>
    </w:p>
    <w:p w14:paraId="34F779B9">
      <w:pPr>
        <w:spacing w:line="360" w:lineRule="auto"/>
        <w:ind w:firstLine="560" w:firstLineChars="200"/>
        <w:rPr>
          <w:sz w:val="28"/>
          <w:szCs w:val="28"/>
        </w:rPr>
      </w:pPr>
      <w:r>
        <w:rPr>
          <w:rFonts w:hint="eastAsia"/>
          <w:sz w:val="28"/>
          <w:szCs w:val="28"/>
        </w:rPr>
        <w:t>17.《杭锦旗国土空间总体规划（2021-2035）》；</w:t>
      </w:r>
    </w:p>
    <w:p w14:paraId="0987A226">
      <w:pPr>
        <w:spacing w:line="360" w:lineRule="auto"/>
        <w:ind w:firstLine="560" w:firstLineChars="200"/>
        <w:rPr>
          <w:sz w:val="28"/>
          <w:szCs w:val="28"/>
        </w:rPr>
      </w:pPr>
      <w:r>
        <w:rPr>
          <w:rFonts w:hint="eastAsia"/>
          <w:sz w:val="28"/>
          <w:szCs w:val="28"/>
        </w:rPr>
        <w:t>18.《内蒙古自治区消防条例》</w:t>
      </w:r>
      <w:r>
        <w:rPr>
          <w:rFonts w:hint="eastAsia"/>
          <w:sz w:val="28"/>
          <w:szCs w:val="28"/>
          <w:lang w:eastAsia="zh-CN"/>
        </w:rPr>
        <w:t>（</w:t>
      </w:r>
      <w:r>
        <w:rPr>
          <w:rFonts w:hint="eastAsia"/>
          <w:sz w:val="28"/>
          <w:szCs w:val="28"/>
        </w:rPr>
        <w:t>2022年12月1日起施行</w:t>
      </w:r>
      <w:r>
        <w:rPr>
          <w:rFonts w:hint="eastAsia"/>
          <w:sz w:val="28"/>
          <w:szCs w:val="28"/>
          <w:lang w:eastAsia="zh-CN"/>
        </w:rPr>
        <w:t>）</w:t>
      </w:r>
      <w:r>
        <w:rPr>
          <w:rFonts w:hint="eastAsia"/>
          <w:sz w:val="28"/>
          <w:szCs w:val="28"/>
        </w:rPr>
        <w:t>；</w:t>
      </w:r>
    </w:p>
    <w:p w14:paraId="19229737">
      <w:pPr>
        <w:spacing w:line="360" w:lineRule="auto"/>
        <w:ind w:firstLine="560" w:firstLineChars="200"/>
        <w:rPr>
          <w:rFonts w:eastAsia="仿宋"/>
          <w:sz w:val="28"/>
          <w:szCs w:val="28"/>
        </w:rPr>
      </w:pPr>
      <w:r>
        <w:rPr>
          <w:rFonts w:hint="eastAsia"/>
          <w:sz w:val="28"/>
          <w:szCs w:val="28"/>
        </w:rPr>
        <w:t>19.国务院安委办《化工园区安全整治提升工作方案》经济开发区的总体规划、《化工园区安全整治提升“十有两禁”释义》中关于</w:t>
      </w:r>
      <w:r>
        <w:rPr>
          <w:rFonts w:hint="eastAsia"/>
          <w:sz w:val="28"/>
          <w:szCs w:val="28"/>
          <w:lang w:eastAsia="zh-CN"/>
        </w:rPr>
        <w:t>以</w:t>
      </w:r>
      <w:r>
        <w:rPr>
          <w:rFonts w:hint="eastAsia"/>
          <w:sz w:val="28"/>
          <w:szCs w:val="28"/>
        </w:rPr>
        <w:t>石油化工园区（包括煤化工）为主导产业的化工园区；</w:t>
      </w:r>
    </w:p>
    <w:p w14:paraId="101CBCB2">
      <w:pPr>
        <w:spacing w:line="360" w:lineRule="auto"/>
        <w:ind w:firstLine="560" w:firstLineChars="200"/>
        <w:rPr>
          <w:rFonts w:hint="eastAsia" w:eastAsia="宋体"/>
          <w:sz w:val="28"/>
          <w:szCs w:val="28"/>
          <w:lang w:eastAsia="zh-CN"/>
        </w:rPr>
      </w:pPr>
      <w:r>
        <w:rPr>
          <w:rFonts w:hint="eastAsia"/>
          <w:sz w:val="28"/>
          <w:szCs w:val="28"/>
        </w:rPr>
        <w:t>20.内蒙古自治区人民政府办公厅关于进一步加强消防基础设施的通知</w:t>
      </w:r>
      <w:r>
        <w:rPr>
          <w:rFonts w:hint="eastAsia"/>
          <w:sz w:val="28"/>
          <w:szCs w:val="28"/>
          <w:lang w:eastAsia="zh-CN"/>
        </w:rPr>
        <w:t>（</w:t>
      </w:r>
      <w:r>
        <w:rPr>
          <w:rFonts w:hint="eastAsia"/>
          <w:sz w:val="28"/>
          <w:szCs w:val="28"/>
        </w:rPr>
        <w:t>内政办发【2015】34号</w:t>
      </w:r>
      <w:r>
        <w:rPr>
          <w:rFonts w:hint="eastAsia"/>
          <w:sz w:val="28"/>
          <w:szCs w:val="28"/>
          <w:lang w:eastAsia="zh-CN"/>
        </w:rPr>
        <w:t>）</w:t>
      </w:r>
    </w:p>
    <w:p w14:paraId="228D76CD">
      <w:pPr>
        <w:spacing w:line="360" w:lineRule="auto"/>
        <w:ind w:firstLine="560" w:firstLineChars="200"/>
        <w:rPr>
          <w:sz w:val="28"/>
          <w:szCs w:val="28"/>
        </w:rPr>
      </w:pPr>
      <w:r>
        <w:rPr>
          <w:rFonts w:hint="eastAsia"/>
          <w:sz w:val="28"/>
          <w:szCs w:val="28"/>
        </w:rPr>
        <w:t>21.政府专职消防队建设管理规范</w:t>
      </w:r>
      <w:r>
        <w:rPr>
          <w:rFonts w:hint="eastAsia"/>
          <w:sz w:val="28"/>
          <w:szCs w:val="28"/>
          <w:lang w:eastAsia="zh-CN"/>
        </w:rPr>
        <w:t>（</w:t>
      </w:r>
      <w:r>
        <w:rPr>
          <w:rFonts w:hint="eastAsia"/>
          <w:sz w:val="28"/>
          <w:szCs w:val="28"/>
        </w:rPr>
        <w:t>DB15/T1897-2020</w:t>
      </w:r>
      <w:r>
        <w:rPr>
          <w:rFonts w:hint="eastAsia"/>
          <w:sz w:val="28"/>
          <w:szCs w:val="28"/>
          <w:lang w:eastAsia="zh-CN"/>
        </w:rPr>
        <w:t>）</w:t>
      </w:r>
      <w:r>
        <w:rPr>
          <w:rFonts w:hint="eastAsia"/>
          <w:sz w:val="28"/>
          <w:szCs w:val="28"/>
        </w:rPr>
        <w:t>；</w:t>
      </w:r>
    </w:p>
    <w:p w14:paraId="514C0EE9">
      <w:pPr>
        <w:spacing w:line="360" w:lineRule="auto"/>
        <w:ind w:firstLine="560" w:firstLineChars="200"/>
        <w:rPr>
          <w:sz w:val="28"/>
          <w:szCs w:val="28"/>
        </w:rPr>
      </w:pPr>
      <w:r>
        <w:rPr>
          <w:rFonts w:hint="eastAsia"/>
          <w:sz w:val="28"/>
          <w:szCs w:val="28"/>
        </w:rPr>
        <w:t>22.内蒙古自治区及鄂尔多斯市《安全生产专项整治三年行动方案-消防整治》；</w:t>
      </w:r>
    </w:p>
    <w:p w14:paraId="30B51629">
      <w:pPr>
        <w:spacing w:line="360" w:lineRule="auto"/>
        <w:ind w:firstLine="560" w:firstLineChars="200"/>
        <w:rPr>
          <w:sz w:val="28"/>
          <w:szCs w:val="28"/>
        </w:rPr>
      </w:pPr>
      <w:r>
        <w:rPr>
          <w:rFonts w:hint="eastAsia"/>
          <w:sz w:val="28"/>
          <w:szCs w:val="28"/>
        </w:rPr>
        <w:t>23.2024.4.29内蒙古安委办《关于加强全区化工园区消防安全工作的通知》；</w:t>
      </w:r>
    </w:p>
    <w:p w14:paraId="751332B3">
      <w:pPr>
        <w:spacing w:line="360" w:lineRule="auto"/>
        <w:ind w:firstLine="560" w:firstLineChars="200"/>
        <w:rPr>
          <w:sz w:val="28"/>
          <w:szCs w:val="28"/>
        </w:rPr>
      </w:pPr>
      <w:r>
        <w:rPr>
          <w:rFonts w:hint="eastAsia"/>
          <w:sz w:val="28"/>
          <w:szCs w:val="28"/>
        </w:rPr>
        <w:t>24.《鄂尔多斯杭锦经济开发区总体规划（2021-2035年）》、各专项规划。</w:t>
      </w:r>
    </w:p>
    <w:p w14:paraId="1EAEF0CD">
      <w:pPr>
        <w:pStyle w:val="3"/>
        <w:spacing w:line="360" w:lineRule="auto"/>
        <w:ind w:left="0" w:firstLine="602" w:firstLineChars="200"/>
      </w:pPr>
      <w:bookmarkStart w:id="23" w:name="_Toc2312"/>
      <w:bookmarkStart w:id="24" w:name="_Toc32629"/>
      <w:bookmarkStart w:id="25" w:name="_Toc10445"/>
      <w:bookmarkStart w:id="26" w:name="_Toc15841"/>
      <w:bookmarkStart w:id="27" w:name="_Toc9266"/>
      <w:bookmarkStart w:id="28" w:name="_Toc23347"/>
      <w:r>
        <w:rPr>
          <w:rFonts w:hint="eastAsia"/>
        </w:rPr>
        <w:t>第四条</w:t>
      </w:r>
      <w:r>
        <w:rPr>
          <w:rFonts w:hint="eastAsia"/>
          <w:lang w:val="en-US" w:eastAsia="zh-CN"/>
        </w:rPr>
        <w:t xml:space="preserve"> </w:t>
      </w:r>
      <w:r>
        <w:rPr>
          <w:rFonts w:hint="eastAsia"/>
        </w:rPr>
        <w:t>规划原则</w:t>
      </w:r>
      <w:bookmarkEnd w:id="23"/>
      <w:bookmarkEnd w:id="24"/>
      <w:bookmarkEnd w:id="25"/>
      <w:bookmarkEnd w:id="26"/>
      <w:bookmarkEnd w:id="27"/>
      <w:bookmarkEnd w:id="28"/>
    </w:p>
    <w:p w14:paraId="1C227984">
      <w:pPr>
        <w:pStyle w:val="5"/>
        <w:spacing w:line="360" w:lineRule="auto"/>
        <w:ind w:firstLine="562" w:firstLineChars="200"/>
        <w:rPr>
          <w:b/>
          <w:bCs/>
          <w:sz w:val="28"/>
          <w:szCs w:val="28"/>
        </w:rPr>
      </w:pPr>
      <w:r>
        <w:rPr>
          <w:rFonts w:hint="eastAsia"/>
          <w:b/>
          <w:bCs/>
          <w:sz w:val="28"/>
          <w:szCs w:val="28"/>
        </w:rPr>
        <w:t>1.预防为主，防消结合</w:t>
      </w:r>
    </w:p>
    <w:p w14:paraId="5F6CB3C0">
      <w:pPr>
        <w:spacing w:line="360" w:lineRule="auto"/>
        <w:ind w:firstLine="560" w:firstLineChars="200"/>
        <w:rPr>
          <w:sz w:val="28"/>
          <w:szCs w:val="28"/>
        </w:rPr>
      </w:pPr>
      <w:r>
        <w:rPr>
          <w:rFonts w:hint="eastAsia"/>
          <w:sz w:val="28"/>
          <w:szCs w:val="28"/>
        </w:rPr>
        <w:t>为应对危化产业消防事故规模大、瞬时性强、蔓延速度快等特点，应坚持“预防为主，防消结合”的消防工作方针，要求在规划中将火灾的预防工作放在首位，同时也应把消防组织的建设、监督及管控信息平台的建设和消防站、消防给水、消防通信等消防设施建设置于重要位置，将预防和扑救有机结合。</w:t>
      </w:r>
    </w:p>
    <w:p w14:paraId="4FC768B5">
      <w:pPr>
        <w:pStyle w:val="5"/>
        <w:spacing w:line="360" w:lineRule="auto"/>
        <w:ind w:firstLine="562" w:firstLineChars="200"/>
        <w:rPr>
          <w:b/>
          <w:bCs/>
          <w:sz w:val="28"/>
          <w:szCs w:val="28"/>
        </w:rPr>
      </w:pPr>
      <w:r>
        <w:rPr>
          <w:rFonts w:hint="eastAsia"/>
          <w:b/>
          <w:bCs/>
          <w:sz w:val="28"/>
          <w:szCs w:val="28"/>
        </w:rPr>
        <w:t>2.重点防护，均衡布局</w:t>
      </w:r>
    </w:p>
    <w:p w14:paraId="7857E275">
      <w:pPr>
        <w:spacing w:line="360" w:lineRule="auto"/>
        <w:ind w:firstLine="560" w:firstLineChars="200"/>
        <w:rPr>
          <w:sz w:val="28"/>
          <w:szCs w:val="28"/>
        </w:rPr>
      </w:pPr>
      <w:r>
        <w:rPr>
          <w:rFonts w:hint="eastAsia"/>
          <w:sz w:val="28"/>
          <w:szCs w:val="28"/>
        </w:rPr>
        <w:t>基于化工园区的特殊性，应着眼于杭锦经济开发区内高危区域，明确消防安全重点区域，提出相应防范措施及手段；合理布局消防设施，实现消防力量均衡布局。</w:t>
      </w:r>
    </w:p>
    <w:p w14:paraId="2E997A16">
      <w:pPr>
        <w:pStyle w:val="5"/>
        <w:spacing w:line="360" w:lineRule="auto"/>
        <w:ind w:firstLine="562" w:firstLineChars="200"/>
        <w:rPr>
          <w:b/>
          <w:bCs/>
          <w:sz w:val="28"/>
          <w:szCs w:val="28"/>
        </w:rPr>
      </w:pPr>
      <w:r>
        <w:rPr>
          <w:rFonts w:hint="eastAsia"/>
          <w:b/>
          <w:bCs/>
          <w:sz w:val="28"/>
          <w:szCs w:val="28"/>
        </w:rPr>
        <w:t>3.科学引领，注重实施</w:t>
      </w:r>
    </w:p>
    <w:p w14:paraId="30202976">
      <w:pPr>
        <w:spacing w:line="360" w:lineRule="auto"/>
        <w:ind w:firstLine="560" w:firstLineChars="200"/>
        <w:rPr>
          <w:sz w:val="28"/>
          <w:szCs w:val="28"/>
        </w:rPr>
      </w:pPr>
      <w:r>
        <w:rPr>
          <w:rFonts w:hint="eastAsia"/>
          <w:sz w:val="28"/>
          <w:szCs w:val="28"/>
        </w:rPr>
        <w:t>以具有前瞻性与系统性思想体系统筹考虑化工园区的消防站点规划、消防基础设施规划、消防信息化建设及消防软实力建设等方面，以目标为导向制定切实可行的行动计划，提高规划的科学性和实施性。</w:t>
      </w:r>
      <w:bookmarkStart w:id="29" w:name="_Toc13085"/>
      <w:bookmarkStart w:id="30" w:name="_Toc24457"/>
      <w:bookmarkStart w:id="31" w:name="_Toc32102"/>
      <w:bookmarkStart w:id="32" w:name="_Toc8820"/>
      <w:bookmarkStart w:id="33" w:name="_Toc9618"/>
    </w:p>
    <w:p w14:paraId="605B0EBB">
      <w:pPr>
        <w:spacing w:line="360" w:lineRule="auto"/>
        <w:ind w:firstLine="560" w:firstLineChars="200"/>
        <w:rPr>
          <w:sz w:val="28"/>
          <w:szCs w:val="28"/>
        </w:rPr>
      </w:pPr>
    </w:p>
    <w:p w14:paraId="65F8FD46">
      <w:pPr>
        <w:spacing w:line="360" w:lineRule="auto"/>
        <w:ind w:firstLine="560" w:firstLineChars="200"/>
        <w:rPr>
          <w:sz w:val="28"/>
          <w:szCs w:val="28"/>
        </w:rPr>
      </w:pPr>
    </w:p>
    <w:p w14:paraId="2176B07B">
      <w:pPr>
        <w:spacing w:line="360" w:lineRule="auto"/>
        <w:ind w:firstLine="560" w:firstLineChars="200"/>
        <w:rPr>
          <w:sz w:val="28"/>
          <w:szCs w:val="28"/>
        </w:rPr>
      </w:pPr>
    </w:p>
    <w:p w14:paraId="217EEBB7">
      <w:pPr>
        <w:spacing w:line="360" w:lineRule="auto"/>
        <w:ind w:firstLine="560" w:firstLineChars="200"/>
        <w:rPr>
          <w:sz w:val="28"/>
          <w:szCs w:val="28"/>
        </w:rPr>
      </w:pPr>
    </w:p>
    <w:p w14:paraId="30690DF3">
      <w:pPr>
        <w:spacing w:line="360" w:lineRule="auto"/>
        <w:ind w:firstLine="560" w:firstLineChars="200"/>
        <w:rPr>
          <w:sz w:val="28"/>
          <w:szCs w:val="28"/>
        </w:rPr>
      </w:pPr>
    </w:p>
    <w:p w14:paraId="716C177E">
      <w:pPr>
        <w:pStyle w:val="3"/>
        <w:spacing w:line="360" w:lineRule="auto"/>
        <w:ind w:left="0" w:firstLine="602" w:firstLineChars="200"/>
      </w:pPr>
      <w:bookmarkStart w:id="34" w:name="_Toc28250"/>
      <w:r>
        <w:rPr>
          <w:rFonts w:hint="eastAsia"/>
        </w:rPr>
        <w:t>第五条</w:t>
      </w:r>
      <w:r>
        <w:rPr>
          <w:rFonts w:hint="eastAsia"/>
          <w:lang w:val="en-US" w:eastAsia="zh-CN"/>
        </w:rPr>
        <w:t xml:space="preserve"> </w:t>
      </w:r>
      <w:r>
        <w:rPr>
          <w:rFonts w:hint="eastAsia"/>
        </w:rPr>
        <w:t>总结研判</w:t>
      </w:r>
      <w:bookmarkEnd w:id="34"/>
    </w:p>
    <w:p w14:paraId="5EF1FDF3">
      <w:pPr>
        <w:spacing w:line="360" w:lineRule="auto"/>
        <w:ind w:firstLine="440" w:firstLineChars="200"/>
        <w:rPr>
          <w:sz w:val="28"/>
          <w:szCs w:val="28"/>
        </w:rPr>
      </w:pPr>
      <w:r>
        <w:drawing>
          <wp:anchor distT="0" distB="0" distL="0" distR="0" simplePos="0" relativeHeight="251661312" behindDoc="0" locked="0" layoutInCell="1" allowOverlap="1">
            <wp:simplePos x="0" y="0"/>
            <wp:positionH relativeFrom="page">
              <wp:posOffset>1227455</wp:posOffset>
            </wp:positionH>
            <wp:positionV relativeFrom="paragraph">
              <wp:posOffset>309245</wp:posOffset>
            </wp:positionV>
            <wp:extent cx="5248275" cy="5131435"/>
            <wp:effectExtent l="0" t="0" r="9525" b="12065"/>
            <wp:wrapNone/>
            <wp:docPr id="9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0.png"/>
                    <pic:cNvPicPr>
                      <a:picLocks noChangeAspect="1"/>
                    </pic:cNvPicPr>
                  </pic:nvPicPr>
                  <pic:blipFill>
                    <a:blip r:embed="rId5"/>
                    <a:stretch>
                      <a:fillRect/>
                    </a:stretch>
                  </pic:blipFill>
                  <pic:spPr>
                    <a:xfrm>
                      <a:off x="0" y="0"/>
                      <a:ext cx="5248275" cy="5131435"/>
                    </a:xfrm>
                    <a:prstGeom prst="rect">
                      <a:avLst/>
                    </a:prstGeom>
                  </pic:spPr>
                </pic:pic>
              </a:graphicData>
            </a:graphic>
          </wp:anchor>
        </w:drawing>
      </w:r>
    </w:p>
    <w:p w14:paraId="74491E6A">
      <w:pPr>
        <w:spacing w:line="360" w:lineRule="auto"/>
        <w:ind w:firstLine="560" w:firstLineChars="200"/>
        <w:rPr>
          <w:sz w:val="28"/>
          <w:szCs w:val="28"/>
        </w:rPr>
      </w:pPr>
    </w:p>
    <w:p w14:paraId="303958E2">
      <w:pPr>
        <w:spacing w:line="360" w:lineRule="auto"/>
        <w:ind w:firstLine="560" w:firstLineChars="200"/>
        <w:rPr>
          <w:sz w:val="28"/>
          <w:szCs w:val="28"/>
        </w:rPr>
      </w:pPr>
    </w:p>
    <w:p w14:paraId="73AD5223">
      <w:pPr>
        <w:spacing w:line="360" w:lineRule="auto"/>
        <w:ind w:firstLine="560" w:firstLineChars="200"/>
        <w:rPr>
          <w:sz w:val="28"/>
          <w:szCs w:val="28"/>
        </w:rPr>
      </w:pPr>
    </w:p>
    <w:p w14:paraId="0A10A077">
      <w:pPr>
        <w:spacing w:line="360" w:lineRule="auto"/>
        <w:ind w:firstLine="560" w:firstLineChars="200"/>
        <w:rPr>
          <w:sz w:val="28"/>
          <w:szCs w:val="28"/>
        </w:rPr>
      </w:pPr>
    </w:p>
    <w:p w14:paraId="22E57BE2">
      <w:pPr>
        <w:spacing w:line="360" w:lineRule="auto"/>
        <w:ind w:firstLine="560" w:firstLineChars="200"/>
        <w:rPr>
          <w:sz w:val="28"/>
          <w:szCs w:val="28"/>
        </w:rPr>
      </w:pPr>
    </w:p>
    <w:p w14:paraId="3540336B">
      <w:pPr>
        <w:spacing w:line="360" w:lineRule="auto"/>
        <w:ind w:firstLine="560" w:firstLineChars="200"/>
        <w:rPr>
          <w:sz w:val="28"/>
          <w:szCs w:val="28"/>
        </w:rPr>
      </w:pPr>
    </w:p>
    <w:p w14:paraId="1672EB28">
      <w:pPr>
        <w:spacing w:line="360" w:lineRule="auto"/>
        <w:ind w:firstLine="560" w:firstLineChars="200"/>
        <w:rPr>
          <w:sz w:val="28"/>
          <w:szCs w:val="28"/>
        </w:rPr>
      </w:pPr>
    </w:p>
    <w:p w14:paraId="510EA2F0">
      <w:pPr>
        <w:spacing w:line="360" w:lineRule="auto"/>
        <w:ind w:firstLine="560" w:firstLineChars="200"/>
        <w:rPr>
          <w:sz w:val="28"/>
          <w:szCs w:val="28"/>
        </w:rPr>
      </w:pPr>
    </w:p>
    <w:p w14:paraId="68297C96">
      <w:pPr>
        <w:spacing w:line="360" w:lineRule="auto"/>
        <w:ind w:firstLine="560" w:firstLineChars="200"/>
        <w:rPr>
          <w:sz w:val="28"/>
          <w:szCs w:val="28"/>
        </w:rPr>
      </w:pPr>
    </w:p>
    <w:p w14:paraId="1D0EFB49">
      <w:pPr>
        <w:spacing w:line="360" w:lineRule="auto"/>
        <w:ind w:firstLine="560" w:firstLineChars="200"/>
        <w:rPr>
          <w:sz w:val="28"/>
          <w:szCs w:val="28"/>
        </w:rPr>
      </w:pPr>
    </w:p>
    <w:p w14:paraId="3AF8BC1E">
      <w:pPr>
        <w:spacing w:line="360" w:lineRule="auto"/>
        <w:ind w:firstLine="560" w:firstLineChars="200"/>
        <w:rPr>
          <w:sz w:val="28"/>
          <w:szCs w:val="28"/>
        </w:rPr>
      </w:pPr>
    </w:p>
    <w:p w14:paraId="499A369F">
      <w:pPr>
        <w:spacing w:line="360" w:lineRule="auto"/>
        <w:ind w:firstLine="560" w:firstLineChars="200"/>
        <w:rPr>
          <w:sz w:val="28"/>
          <w:szCs w:val="28"/>
        </w:rPr>
      </w:pPr>
    </w:p>
    <w:p w14:paraId="4AE6E1E0">
      <w:pPr>
        <w:spacing w:line="360" w:lineRule="auto"/>
        <w:ind w:firstLine="560" w:firstLineChars="200"/>
        <w:rPr>
          <w:sz w:val="28"/>
          <w:szCs w:val="28"/>
        </w:rPr>
      </w:pPr>
    </w:p>
    <w:p w14:paraId="1CC4675C">
      <w:pPr>
        <w:spacing w:line="360" w:lineRule="auto"/>
        <w:ind w:firstLine="560" w:firstLineChars="200"/>
        <w:rPr>
          <w:sz w:val="28"/>
          <w:szCs w:val="28"/>
        </w:rPr>
      </w:pPr>
    </w:p>
    <w:p w14:paraId="3F4B56D2">
      <w:pPr>
        <w:pStyle w:val="3"/>
        <w:spacing w:line="360" w:lineRule="auto"/>
        <w:ind w:left="0" w:firstLine="602" w:firstLineChars="200"/>
      </w:pPr>
      <w:bookmarkStart w:id="35" w:name="_Toc9848"/>
      <w:r>
        <w:rPr>
          <w:rFonts w:hint="eastAsia"/>
        </w:rPr>
        <w:t>第六条</w:t>
      </w:r>
      <w:r>
        <w:rPr>
          <w:rFonts w:hint="eastAsia"/>
          <w:lang w:val="en-US" w:eastAsia="zh-CN"/>
        </w:rPr>
        <w:t xml:space="preserve"> </w:t>
      </w:r>
      <w:r>
        <w:rPr>
          <w:rFonts w:hint="eastAsia"/>
        </w:rPr>
        <w:t>规划期限</w:t>
      </w:r>
      <w:bookmarkEnd w:id="29"/>
      <w:bookmarkEnd w:id="30"/>
      <w:bookmarkEnd w:id="31"/>
      <w:bookmarkEnd w:id="32"/>
      <w:bookmarkEnd w:id="33"/>
      <w:bookmarkEnd w:id="35"/>
    </w:p>
    <w:p w14:paraId="13419FC3">
      <w:pPr>
        <w:spacing w:line="360" w:lineRule="auto"/>
        <w:ind w:firstLine="560" w:firstLineChars="200"/>
        <w:rPr>
          <w:sz w:val="21"/>
          <w:szCs w:val="21"/>
        </w:rPr>
      </w:pPr>
      <w:r>
        <w:rPr>
          <w:rFonts w:hint="eastAsia"/>
          <w:sz w:val="28"/>
          <w:szCs w:val="28"/>
        </w:rPr>
        <w:t>本规划的规划期限为：2024—2035年。其中近期为2024—2030年；远期为2031—2035年。</w:t>
      </w:r>
    </w:p>
    <w:p w14:paraId="7BD462EA">
      <w:pPr>
        <w:pStyle w:val="3"/>
        <w:spacing w:line="360" w:lineRule="auto"/>
        <w:ind w:left="0" w:firstLine="602" w:firstLineChars="200"/>
        <w:rPr>
          <w:rFonts w:hint="eastAsia" w:eastAsia="宋体"/>
          <w:lang w:eastAsia="zh-CN"/>
        </w:rPr>
      </w:pPr>
      <w:bookmarkStart w:id="36" w:name="_Toc23828"/>
      <w:bookmarkStart w:id="37" w:name="_Toc18376"/>
      <w:bookmarkStart w:id="38" w:name="_Toc8078"/>
      <w:bookmarkStart w:id="39" w:name="_Toc11895"/>
      <w:bookmarkStart w:id="40" w:name="_Toc6912"/>
      <w:bookmarkStart w:id="41" w:name="_Toc5950"/>
      <w:r>
        <w:rPr>
          <w:rFonts w:hint="eastAsia"/>
        </w:rPr>
        <w:t>第七条</w:t>
      </w:r>
      <w:r>
        <w:rPr>
          <w:rFonts w:hint="eastAsia"/>
          <w:lang w:val="en-US" w:eastAsia="zh-CN"/>
        </w:rPr>
        <w:t xml:space="preserve"> </w:t>
      </w:r>
      <w:r>
        <w:rPr>
          <w:rFonts w:hint="eastAsia"/>
        </w:rPr>
        <w:t>规划范围</w:t>
      </w:r>
      <w:bookmarkEnd w:id="36"/>
      <w:bookmarkEnd w:id="37"/>
      <w:bookmarkEnd w:id="38"/>
      <w:bookmarkEnd w:id="39"/>
      <w:bookmarkEnd w:id="40"/>
      <w:bookmarkEnd w:id="41"/>
    </w:p>
    <w:p w14:paraId="30C4E1A1">
      <w:pPr>
        <w:spacing w:line="360" w:lineRule="auto"/>
        <w:ind w:firstLine="560" w:firstLineChars="200"/>
        <w:rPr>
          <w:sz w:val="28"/>
          <w:szCs w:val="28"/>
        </w:rPr>
      </w:pPr>
      <w:r>
        <w:rPr>
          <w:rFonts w:hint="eastAsia"/>
          <w:sz w:val="28"/>
          <w:szCs w:val="28"/>
        </w:rPr>
        <w:t>规划至2035年，杭锦经济开发区规划总面积5138.11公顷，其中杭锦经济开发区城镇开发边界为2282.67公顷。其中：</w:t>
      </w:r>
    </w:p>
    <w:p w14:paraId="35A4B9F9">
      <w:pPr>
        <w:spacing w:line="360" w:lineRule="auto"/>
        <w:ind w:firstLine="560" w:firstLineChars="200"/>
        <w:rPr>
          <w:sz w:val="28"/>
          <w:szCs w:val="28"/>
        </w:rPr>
      </w:pPr>
      <w:r>
        <w:rPr>
          <w:rFonts w:hint="eastAsia"/>
          <w:sz w:val="28"/>
          <w:szCs w:val="28"/>
        </w:rPr>
        <w:t>独贵塔拉产业园北项目区：规划2035年城镇开发边界内建设用地规模为830.87公顷，规划2050年远景总用地为1416.01公顷。</w:t>
      </w:r>
    </w:p>
    <w:p w14:paraId="63965336">
      <w:pPr>
        <w:spacing w:line="360" w:lineRule="auto"/>
        <w:ind w:firstLine="560" w:firstLineChars="200"/>
        <w:rPr>
          <w:sz w:val="28"/>
          <w:szCs w:val="28"/>
        </w:rPr>
      </w:pPr>
      <w:r>
        <w:rPr>
          <w:rFonts w:hint="eastAsia"/>
          <w:sz w:val="28"/>
          <w:szCs w:val="28"/>
        </w:rPr>
        <w:t>独贵塔拉产业园南项目区：规划2035年城镇开发边界内建设用地规模为924.12公顷，规划2050年远景总用地为1206.41公顷。</w:t>
      </w:r>
    </w:p>
    <w:p w14:paraId="3D458A23">
      <w:pPr>
        <w:spacing w:line="360" w:lineRule="auto"/>
        <w:ind w:firstLine="560" w:firstLineChars="200"/>
        <w:rPr>
          <w:rFonts w:hint="eastAsia"/>
          <w:sz w:val="28"/>
          <w:szCs w:val="28"/>
        </w:rPr>
      </w:pPr>
      <w:r>
        <w:rPr>
          <w:rFonts w:hint="eastAsia"/>
          <w:sz w:val="28"/>
          <w:szCs w:val="28"/>
        </w:rPr>
        <w:t>新能源产业园：规划2035年城镇开发边界内建设用地规模为527.68公顷，规划2050年远景总用地为828.60公顷。</w:t>
      </w:r>
      <w:bookmarkStart w:id="42" w:name="_Toc13916"/>
      <w:bookmarkStart w:id="43" w:name="_Toc2569"/>
      <w:bookmarkStart w:id="44" w:name="_Toc10912"/>
      <w:bookmarkStart w:id="45" w:name="_Toc16661"/>
      <w:bookmarkStart w:id="46" w:name="_Toc17939"/>
      <w:bookmarkStart w:id="47" w:name="_Toc7585"/>
      <w:bookmarkStart w:id="48" w:name="_Toc4035"/>
      <w:bookmarkStart w:id="49" w:name="_Toc17295"/>
      <w:bookmarkStart w:id="50" w:name="_Toc13555"/>
      <w:bookmarkStart w:id="51" w:name="_Toc20826"/>
      <w:bookmarkStart w:id="52" w:name="_Toc1157"/>
    </w:p>
    <w:p w14:paraId="754EDB1D">
      <w:pPr>
        <w:spacing w:line="360" w:lineRule="auto"/>
        <w:ind w:firstLine="560" w:firstLineChars="200"/>
        <w:rPr>
          <w:rFonts w:hint="eastAsia"/>
          <w:sz w:val="28"/>
          <w:szCs w:val="28"/>
        </w:rPr>
      </w:pPr>
    </w:p>
    <w:p w14:paraId="2231F1D1">
      <w:pPr>
        <w:spacing w:line="360" w:lineRule="auto"/>
        <w:ind w:firstLine="560" w:firstLineChars="200"/>
        <w:rPr>
          <w:sz w:val="28"/>
          <w:szCs w:val="28"/>
        </w:rPr>
      </w:pPr>
    </w:p>
    <w:p w14:paraId="1B7F84DF">
      <w:pPr>
        <w:spacing w:line="360" w:lineRule="auto"/>
        <w:ind w:firstLine="440" w:firstLineChars="200"/>
        <w:rPr>
          <w:sz w:val="21"/>
          <w:szCs w:val="21"/>
        </w:rPr>
      </w:pPr>
      <w:r>
        <w:rPr>
          <w:rFonts w:hint="eastAsia"/>
        </w:rPr>
        <w:drawing>
          <wp:inline distT="0" distB="0" distL="114300" distR="114300">
            <wp:extent cx="5249545" cy="3850640"/>
            <wp:effectExtent l="0" t="0" r="8255" b="16510"/>
            <wp:docPr id="15" name="图片 15" descr="1-开发区区位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开发区区位图-1"/>
                    <pic:cNvPicPr>
                      <a:picLocks noChangeAspect="1"/>
                    </pic:cNvPicPr>
                  </pic:nvPicPr>
                  <pic:blipFill>
                    <a:blip r:embed="rId6"/>
                    <a:stretch>
                      <a:fillRect/>
                    </a:stretch>
                  </pic:blipFill>
                  <pic:spPr>
                    <a:xfrm>
                      <a:off x="0" y="0"/>
                      <a:ext cx="5249545" cy="3850640"/>
                    </a:xfrm>
                    <a:prstGeom prst="rect">
                      <a:avLst/>
                    </a:prstGeom>
                  </pic:spPr>
                </pic:pic>
              </a:graphicData>
            </a:graphic>
          </wp:inline>
        </w:drawing>
      </w:r>
    </w:p>
    <w:p w14:paraId="4AF7164B">
      <w:pPr>
        <w:spacing w:line="360" w:lineRule="auto"/>
        <w:ind w:firstLine="2530" w:firstLineChars="700"/>
        <w:rPr>
          <w:rStyle w:val="12"/>
        </w:rPr>
      </w:pPr>
      <w:bookmarkStart w:id="53" w:name="_Toc25720"/>
      <w:bookmarkStart w:id="54" w:name="_Toc7403"/>
    </w:p>
    <w:p w14:paraId="3902CE77">
      <w:pPr>
        <w:spacing w:line="360" w:lineRule="auto"/>
        <w:rPr>
          <w:rStyle w:val="12"/>
        </w:rPr>
      </w:pPr>
    </w:p>
    <w:p w14:paraId="40BF4777">
      <w:pPr>
        <w:spacing w:line="360" w:lineRule="auto"/>
        <w:ind w:firstLine="2168" w:firstLineChars="600"/>
        <w:rPr>
          <w:rStyle w:val="12"/>
        </w:rPr>
      </w:pPr>
    </w:p>
    <w:p w14:paraId="18D3917E">
      <w:pPr>
        <w:spacing w:line="360" w:lineRule="auto"/>
        <w:rPr>
          <w:rStyle w:val="12"/>
        </w:rPr>
      </w:pPr>
    </w:p>
    <w:p w14:paraId="54447853">
      <w:pPr>
        <w:spacing w:line="360" w:lineRule="auto"/>
        <w:ind w:firstLine="2530" w:firstLineChars="700"/>
        <w:outlineLvl w:val="0"/>
        <w:rPr>
          <w:rStyle w:val="12"/>
        </w:rPr>
      </w:pPr>
      <w:bookmarkStart w:id="55" w:name="_Toc302"/>
      <w:r>
        <w:rPr>
          <w:rStyle w:val="12"/>
          <w:rFonts w:hint="eastAsia"/>
        </w:rPr>
        <w:t>第二章</w:t>
      </w:r>
      <w:r>
        <w:rPr>
          <w:rStyle w:val="12"/>
          <w:rFonts w:hint="eastAsia"/>
          <w:lang w:val="en-US" w:eastAsia="zh-CN"/>
        </w:rPr>
        <w:t xml:space="preserve"> </w:t>
      </w:r>
      <w:r>
        <w:rPr>
          <w:rStyle w:val="12"/>
        </w:rPr>
        <w:t>消防发展目标</w:t>
      </w:r>
      <w:bookmarkEnd w:id="42"/>
      <w:bookmarkEnd w:id="43"/>
      <w:bookmarkEnd w:id="55"/>
    </w:p>
    <w:p w14:paraId="43FCEABC">
      <w:pPr>
        <w:ind w:left="3420"/>
        <w:rPr>
          <w:rStyle w:val="12"/>
          <w:sz w:val="21"/>
          <w:szCs w:val="21"/>
        </w:rPr>
      </w:pPr>
    </w:p>
    <w:bookmarkEnd w:id="44"/>
    <w:bookmarkEnd w:id="45"/>
    <w:bookmarkEnd w:id="46"/>
    <w:bookmarkEnd w:id="47"/>
    <w:bookmarkEnd w:id="48"/>
    <w:bookmarkEnd w:id="49"/>
    <w:bookmarkEnd w:id="50"/>
    <w:bookmarkEnd w:id="51"/>
    <w:bookmarkEnd w:id="52"/>
    <w:bookmarkEnd w:id="53"/>
    <w:bookmarkEnd w:id="54"/>
    <w:p w14:paraId="5AA155D8">
      <w:pPr>
        <w:pStyle w:val="3"/>
        <w:spacing w:line="360" w:lineRule="auto"/>
        <w:ind w:left="0" w:firstLine="602" w:firstLineChars="200"/>
      </w:pPr>
      <w:bookmarkStart w:id="56" w:name="_Toc2571"/>
      <w:bookmarkStart w:id="57" w:name="_Toc7841"/>
      <w:bookmarkStart w:id="58" w:name="_Toc20935"/>
      <w:bookmarkStart w:id="59" w:name="_Toc32146"/>
      <w:bookmarkStart w:id="60" w:name="_Toc30085"/>
      <w:bookmarkStart w:id="61" w:name="_Toc29702"/>
      <w:r>
        <w:rPr>
          <w:rFonts w:hint="eastAsia"/>
        </w:rPr>
        <w:t>第八条</w:t>
      </w:r>
      <w:r>
        <w:rPr>
          <w:rFonts w:hint="eastAsia"/>
          <w:lang w:val="en-US" w:eastAsia="zh-CN"/>
        </w:rPr>
        <w:t xml:space="preserve"> </w:t>
      </w:r>
      <w:r>
        <w:rPr>
          <w:rFonts w:hint="eastAsia"/>
        </w:rPr>
        <w:t>总体目标</w:t>
      </w:r>
      <w:bookmarkEnd w:id="56"/>
      <w:bookmarkEnd w:id="57"/>
      <w:bookmarkEnd w:id="58"/>
      <w:bookmarkEnd w:id="59"/>
      <w:bookmarkEnd w:id="60"/>
      <w:bookmarkEnd w:id="61"/>
    </w:p>
    <w:p w14:paraId="4909F144">
      <w:pPr>
        <w:spacing w:line="360" w:lineRule="auto"/>
        <w:ind w:firstLine="560" w:firstLineChars="200"/>
        <w:rPr>
          <w:sz w:val="28"/>
          <w:szCs w:val="28"/>
        </w:rPr>
      </w:pPr>
      <w:r>
        <w:rPr>
          <w:rFonts w:hint="eastAsia"/>
          <w:sz w:val="28"/>
          <w:szCs w:val="28"/>
        </w:rPr>
        <w:t>按照“预防为主、防消结合”的方针和“政府统一领导、部门依法监管、单位（企业）全面负责、公民积极参与”的原则，立足化工园区特性，构建高韧性的消防安全体系。火灾预防方面，企事业单位的安全保障能力和政府相关部门的安全监管能力同步提高，并建立起信息共享的应急管理一体化监控制度。</w:t>
      </w:r>
    </w:p>
    <w:p w14:paraId="6AA9CC39">
      <w:pPr>
        <w:spacing w:line="360" w:lineRule="auto"/>
        <w:ind w:firstLine="560" w:firstLineChars="200"/>
        <w:rPr>
          <w:sz w:val="21"/>
          <w:szCs w:val="21"/>
        </w:rPr>
      </w:pPr>
      <w:r>
        <w:rPr>
          <w:rFonts w:hint="eastAsia"/>
          <w:sz w:val="28"/>
          <w:szCs w:val="28"/>
        </w:rPr>
        <w:t>消防力量方面，具有独立应对一般火灾、较大火灾的灭火救援能力，同时具有第一时间阻止重大火灾、特别重大火灾蔓延的能力。</w:t>
      </w:r>
    </w:p>
    <w:p w14:paraId="31979FDB">
      <w:pPr>
        <w:pStyle w:val="3"/>
        <w:spacing w:line="360" w:lineRule="auto"/>
        <w:ind w:left="0" w:firstLine="602" w:firstLineChars="200"/>
      </w:pPr>
      <w:bookmarkStart w:id="62" w:name="_Toc20512"/>
      <w:bookmarkStart w:id="63" w:name="_Toc23730"/>
      <w:bookmarkStart w:id="64" w:name="_Toc5580"/>
      <w:bookmarkStart w:id="65" w:name="_Toc14267"/>
      <w:bookmarkStart w:id="66" w:name="_Toc6469"/>
      <w:bookmarkStart w:id="67" w:name="_Toc13716"/>
      <w:r>
        <w:rPr>
          <w:rFonts w:hint="eastAsia"/>
        </w:rPr>
        <w:t>第九条</w:t>
      </w:r>
      <w:r>
        <w:rPr>
          <w:rFonts w:hint="eastAsia"/>
          <w:lang w:val="en-US" w:eastAsia="zh-CN"/>
        </w:rPr>
        <w:t xml:space="preserve"> </w:t>
      </w:r>
      <w:r>
        <w:rPr>
          <w:rFonts w:hint="eastAsia"/>
        </w:rPr>
        <w:t>近期目标</w:t>
      </w:r>
      <w:bookmarkEnd w:id="62"/>
      <w:bookmarkEnd w:id="63"/>
      <w:bookmarkEnd w:id="64"/>
      <w:bookmarkEnd w:id="65"/>
      <w:bookmarkEnd w:id="66"/>
      <w:bookmarkEnd w:id="67"/>
    </w:p>
    <w:p w14:paraId="2DD6A2D9">
      <w:pPr>
        <w:spacing w:line="360" w:lineRule="auto"/>
        <w:ind w:firstLine="560" w:firstLineChars="200"/>
        <w:rPr>
          <w:sz w:val="28"/>
          <w:szCs w:val="28"/>
        </w:rPr>
      </w:pPr>
      <w:r>
        <w:rPr>
          <w:rFonts w:hint="eastAsia"/>
          <w:sz w:val="28"/>
          <w:szCs w:val="28"/>
        </w:rPr>
        <w:t>近期应以摸清化工园区重大灾害隐患点和灾害风险基本情况、补充消防基础设施欠账为主。重点配置针对危化企业的救援力量和设施，完善危化企业专职队建设。加快已建未用及需近期建设的消防站的建设工作；加强消防水源、消防通信等市政公共消防设施建设；提高防火灭火、灾害监测预警、统计核查和信息服务能力。具体指标如下：</w:t>
      </w:r>
    </w:p>
    <w:p w14:paraId="746728FA">
      <w:pPr>
        <w:pStyle w:val="5"/>
        <w:spacing w:line="360" w:lineRule="auto"/>
        <w:ind w:firstLine="562" w:firstLineChars="200"/>
        <w:rPr>
          <w:b/>
          <w:bCs/>
          <w:sz w:val="28"/>
          <w:szCs w:val="28"/>
        </w:rPr>
      </w:pPr>
      <w:r>
        <w:rPr>
          <w:rFonts w:hint="eastAsia"/>
          <w:b/>
          <w:bCs/>
          <w:sz w:val="28"/>
          <w:szCs w:val="28"/>
        </w:rPr>
        <w:t>1.火灾预防能力目标</w:t>
      </w:r>
    </w:p>
    <w:p w14:paraId="2EFE0B04">
      <w:pPr>
        <w:spacing w:line="360" w:lineRule="auto"/>
        <w:ind w:firstLine="560" w:firstLineChars="200"/>
        <w:rPr>
          <w:sz w:val="28"/>
          <w:szCs w:val="28"/>
        </w:rPr>
      </w:pPr>
      <w:r>
        <w:rPr>
          <w:rFonts w:hint="eastAsia"/>
          <w:sz w:val="28"/>
          <w:szCs w:val="28"/>
        </w:rPr>
        <w:t>初步建立化工园区火灾远程监控系统，实现重要火灾危险源、消防安全重点单位、重要建筑等80%纳入火灾自动报警系统，80%纳入城市火灾远程监控系统，有效监控消防安全重点隐患；实现区域居民消防知识普及率达到100%。</w:t>
      </w:r>
    </w:p>
    <w:p w14:paraId="203D92AF">
      <w:pPr>
        <w:pStyle w:val="5"/>
        <w:spacing w:line="360" w:lineRule="auto"/>
        <w:ind w:firstLine="562" w:firstLineChars="200"/>
        <w:rPr>
          <w:b/>
          <w:bCs/>
          <w:sz w:val="28"/>
          <w:szCs w:val="28"/>
        </w:rPr>
      </w:pPr>
      <w:r>
        <w:rPr>
          <w:rFonts w:hint="eastAsia"/>
          <w:b/>
          <w:bCs/>
          <w:sz w:val="28"/>
          <w:szCs w:val="28"/>
        </w:rPr>
        <w:t>2.火灾扑救能力目标</w:t>
      </w:r>
    </w:p>
    <w:p w14:paraId="439EF35A">
      <w:pPr>
        <w:spacing w:line="360" w:lineRule="auto"/>
        <w:ind w:firstLine="560" w:firstLineChars="200"/>
        <w:rPr>
          <w:sz w:val="28"/>
          <w:szCs w:val="28"/>
        </w:rPr>
      </w:pPr>
      <w:r>
        <w:rPr>
          <w:rFonts w:hint="eastAsia"/>
          <w:sz w:val="28"/>
          <w:szCs w:val="28"/>
        </w:rPr>
        <w:t>规划范围内现有消防站3座，规划期内将升级1座成为特勤站</w:t>
      </w:r>
      <w:r>
        <w:rPr>
          <w:rFonts w:hint="eastAsia"/>
          <w:sz w:val="28"/>
          <w:szCs w:val="28"/>
          <w:lang w:eastAsia="zh-CN"/>
        </w:rPr>
        <w:t>。</w:t>
      </w:r>
      <w:r>
        <w:rPr>
          <w:rFonts w:hint="eastAsia"/>
          <w:sz w:val="28"/>
          <w:szCs w:val="28"/>
        </w:rPr>
        <w:t>消火栓建设达到国家标准，新建消火栓与市政管网同步规划建设率达到100%。另外，在范围内新增消防水鹤若干。</w:t>
      </w:r>
    </w:p>
    <w:p w14:paraId="35ECA104">
      <w:pPr>
        <w:pStyle w:val="5"/>
        <w:spacing w:line="360" w:lineRule="auto"/>
        <w:ind w:firstLine="562" w:firstLineChars="200"/>
        <w:rPr>
          <w:b/>
          <w:bCs/>
          <w:sz w:val="28"/>
          <w:szCs w:val="28"/>
        </w:rPr>
      </w:pPr>
      <w:r>
        <w:rPr>
          <w:rFonts w:hint="eastAsia"/>
          <w:b/>
          <w:bCs/>
          <w:sz w:val="28"/>
          <w:szCs w:val="28"/>
        </w:rPr>
        <w:t>3.抢险救援能力目标</w:t>
      </w:r>
    </w:p>
    <w:p w14:paraId="72A9138B">
      <w:pPr>
        <w:spacing w:line="360" w:lineRule="auto"/>
        <w:ind w:firstLine="560" w:firstLineChars="200"/>
        <w:rPr>
          <w:sz w:val="28"/>
          <w:szCs w:val="28"/>
        </w:rPr>
      </w:pPr>
      <w:r>
        <w:rPr>
          <w:rFonts w:hint="eastAsia"/>
          <w:sz w:val="28"/>
          <w:szCs w:val="28"/>
        </w:rPr>
        <w:t>基本建成区域消防应急救援联动体系；火灾报警和指挥通信系统建设责任区覆盖率达到85%；火灾发生12小时内受灾群众基本生活得到初步救助，救灾物资储备可同时保证4万受灾人口的基本生活救助。</w:t>
      </w:r>
    </w:p>
    <w:p w14:paraId="5C700867">
      <w:pPr>
        <w:pStyle w:val="5"/>
        <w:spacing w:line="360" w:lineRule="auto"/>
        <w:ind w:firstLine="562" w:firstLineChars="200"/>
        <w:rPr>
          <w:b/>
          <w:bCs/>
          <w:sz w:val="28"/>
          <w:szCs w:val="28"/>
        </w:rPr>
      </w:pPr>
      <w:r>
        <w:rPr>
          <w:rFonts w:hint="eastAsia"/>
          <w:b/>
          <w:bCs/>
          <w:sz w:val="28"/>
          <w:szCs w:val="28"/>
        </w:rPr>
        <w:t>4.消防装备设施建设目标</w:t>
      </w:r>
    </w:p>
    <w:p w14:paraId="76809CA1">
      <w:pPr>
        <w:spacing w:line="360" w:lineRule="auto"/>
        <w:ind w:firstLine="560" w:firstLineChars="200"/>
        <w:rPr>
          <w:sz w:val="28"/>
          <w:szCs w:val="28"/>
        </w:rPr>
      </w:pPr>
      <w:r>
        <w:rPr>
          <w:rFonts w:hint="eastAsia"/>
          <w:sz w:val="28"/>
          <w:szCs w:val="28"/>
        </w:rPr>
        <w:t>所有政府专职消防救援队消防车辆配备达到特勤消防站标准，抢险救援装备、个人防护器材配备率不低于80%。</w:t>
      </w:r>
    </w:p>
    <w:p w14:paraId="41394EAC">
      <w:pPr>
        <w:pStyle w:val="5"/>
        <w:spacing w:line="360" w:lineRule="auto"/>
        <w:ind w:firstLine="562" w:firstLineChars="200"/>
        <w:rPr>
          <w:b/>
          <w:bCs/>
          <w:sz w:val="28"/>
          <w:szCs w:val="28"/>
        </w:rPr>
      </w:pPr>
      <w:r>
        <w:rPr>
          <w:rFonts w:hint="eastAsia"/>
          <w:b/>
          <w:bCs/>
          <w:sz w:val="28"/>
          <w:szCs w:val="28"/>
        </w:rPr>
        <w:t>5.消防队伍建设目标</w:t>
      </w:r>
    </w:p>
    <w:p w14:paraId="1C2434EB">
      <w:pPr>
        <w:spacing w:line="360" w:lineRule="auto"/>
        <w:ind w:firstLine="560" w:firstLineChars="200"/>
        <w:rPr>
          <w:sz w:val="28"/>
          <w:szCs w:val="28"/>
        </w:rPr>
      </w:pPr>
      <w:r>
        <w:rPr>
          <w:rFonts w:hint="eastAsia"/>
          <w:sz w:val="28"/>
          <w:szCs w:val="28"/>
        </w:rPr>
        <w:t>生产、储存易燃易爆危险化学品的大型企业、发电厂及物资储备仓库、基地专职消防队配备率不低于90%。（大型企业指的是拥有储量大于3万立方的液化烃罐区、总储量大于60万立方的原油罐区，总储量大于30万立方的成品油罐区或化工液体罐区的企业。）</w:t>
      </w:r>
    </w:p>
    <w:p w14:paraId="3CB50A04">
      <w:pPr>
        <w:pStyle w:val="5"/>
        <w:spacing w:line="360" w:lineRule="auto"/>
        <w:ind w:firstLine="562" w:firstLineChars="200"/>
        <w:rPr>
          <w:b/>
          <w:bCs/>
          <w:sz w:val="28"/>
          <w:szCs w:val="28"/>
        </w:rPr>
      </w:pPr>
      <w:r>
        <w:rPr>
          <w:rFonts w:hint="eastAsia"/>
          <w:b/>
          <w:bCs/>
          <w:sz w:val="28"/>
          <w:szCs w:val="28"/>
        </w:rPr>
        <w:t>6.消防信息化建设目标</w:t>
      </w:r>
    </w:p>
    <w:p w14:paraId="3FE12E0C">
      <w:pPr>
        <w:spacing w:line="360" w:lineRule="auto"/>
        <w:ind w:firstLine="560" w:firstLineChars="200"/>
        <w:rPr>
          <w:rFonts w:hint="eastAsia" w:eastAsia="宋体"/>
          <w:sz w:val="28"/>
          <w:szCs w:val="28"/>
          <w:lang w:eastAsia="zh-CN"/>
        </w:rPr>
      </w:pPr>
      <w:r>
        <w:rPr>
          <w:rFonts w:hint="eastAsia"/>
          <w:sz w:val="28"/>
          <w:szCs w:val="28"/>
        </w:rPr>
        <w:t>近期落实自治区对消防应急管理体系和能力建设的要求，按照区域联防联控、集中统一和开放共享的原则，对接自治区应急管理平台及应急管理部门相关平台，构建数据空间化、应用可视化和决策智能化的现代信息化消防体系，建设化工园区智慧消防平台。从监测预警、监管执法、辅助指挥决策、救援实战、社会动员五个方面升级消防信息系统，建设新时代应急救援指挥通信体系，实现应急救援场景模拟、应急预案编制智能化。</w:t>
      </w:r>
    </w:p>
    <w:p w14:paraId="2E6CFE8B">
      <w:pPr>
        <w:pStyle w:val="3"/>
        <w:spacing w:line="360" w:lineRule="auto"/>
        <w:ind w:left="0" w:firstLine="602" w:firstLineChars="200"/>
      </w:pPr>
      <w:bookmarkStart w:id="68" w:name="_Toc28410"/>
      <w:bookmarkStart w:id="69" w:name="_Toc9624"/>
      <w:bookmarkStart w:id="70" w:name="_Toc9825"/>
      <w:bookmarkStart w:id="71" w:name="_Toc28269"/>
      <w:bookmarkStart w:id="72" w:name="_Toc2874"/>
      <w:bookmarkStart w:id="73" w:name="_Toc4093"/>
      <w:r>
        <w:rPr>
          <w:rFonts w:hint="eastAsia"/>
        </w:rPr>
        <w:t>第十条</w:t>
      </w:r>
      <w:r>
        <w:rPr>
          <w:rFonts w:hint="eastAsia"/>
          <w:lang w:val="en-US" w:eastAsia="zh-CN"/>
        </w:rPr>
        <w:t xml:space="preserve"> </w:t>
      </w:r>
      <w:r>
        <w:rPr>
          <w:rFonts w:hint="eastAsia"/>
        </w:rPr>
        <w:t>远期目标</w:t>
      </w:r>
      <w:bookmarkEnd w:id="68"/>
      <w:bookmarkEnd w:id="69"/>
      <w:bookmarkEnd w:id="70"/>
      <w:bookmarkEnd w:id="71"/>
      <w:bookmarkEnd w:id="72"/>
      <w:bookmarkEnd w:id="73"/>
    </w:p>
    <w:p w14:paraId="2BDC2225">
      <w:pPr>
        <w:spacing w:line="360" w:lineRule="auto"/>
        <w:ind w:firstLine="560" w:firstLineChars="200"/>
        <w:rPr>
          <w:sz w:val="28"/>
          <w:szCs w:val="28"/>
        </w:rPr>
      </w:pPr>
      <w:r>
        <w:rPr>
          <w:rFonts w:hint="eastAsia"/>
          <w:sz w:val="28"/>
          <w:szCs w:val="28"/>
        </w:rPr>
        <w:t>远期将增强化工园区抗御火灾，尤其是抗御重特大火灾的能力，实现消防队伍和装备向多功能化发展，形成功能完善、布局合理、道路畅通、防灾能力强的消防安全布局，以及一体化的消防应急救援体系，消防和应急救援综合实力达到国内先进水平，实现消防队伍和装备向多功能化发展。最终建立宣传教育普及、监督管理有效、基础设施完备、技术装备先进、队伍精干、训练有素、保障有力、多功能化和现代化、适应化工园区发展需要并快速反应的消防安全和综合防灾抗灾体系。具体指标如下：</w:t>
      </w:r>
    </w:p>
    <w:p w14:paraId="02DDE753">
      <w:pPr>
        <w:pStyle w:val="5"/>
        <w:spacing w:line="360" w:lineRule="auto"/>
        <w:ind w:firstLine="562" w:firstLineChars="200"/>
        <w:rPr>
          <w:b/>
          <w:bCs/>
          <w:sz w:val="28"/>
          <w:szCs w:val="28"/>
        </w:rPr>
      </w:pPr>
      <w:r>
        <w:rPr>
          <w:rFonts w:hint="eastAsia"/>
          <w:b/>
          <w:bCs/>
          <w:sz w:val="28"/>
          <w:szCs w:val="28"/>
        </w:rPr>
        <w:t>1.火灾预防能力目标</w:t>
      </w:r>
    </w:p>
    <w:p w14:paraId="401E970F">
      <w:pPr>
        <w:spacing w:line="360" w:lineRule="auto"/>
        <w:ind w:firstLine="560" w:firstLineChars="200"/>
        <w:rPr>
          <w:sz w:val="28"/>
          <w:szCs w:val="28"/>
        </w:rPr>
      </w:pPr>
      <w:r>
        <w:rPr>
          <w:rFonts w:hint="eastAsia"/>
          <w:sz w:val="28"/>
          <w:szCs w:val="28"/>
        </w:rPr>
        <w:t>实现重要火灾危险源、消防安全重点单位、重要建筑等100%设有火灾自动报警系统，100%纳入园区智慧消防平台，有效遏制群死群伤的火灾事故；实现企业员工消防知识普及率达到100%。</w:t>
      </w:r>
    </w:p>
    <w:p w14:paraId="114DCA7F">
      <w:pPr>
        <w:pStyle w:val="5"/>
        <w:spacing w:line="360" w:lineRule="auto"/>
        <w:ind w:firstLine="562" w:firstLineChars="200"/>
        <w:rPr>
          <w:b/>
          <w:bCs/>
          <w:sz w:val="28"/>
          <w:szCs w:val="28"/>
        </w:rPr>
      </w:pPr>
      <w:r>
        <w:rPr>
          <w:rFonts w:hint="eastAsia"/>
          <w:b/>
          <w:bCs/>
          <w:sz w:val="28"/>
          <w:szCs w:val="28"/>
        </w:rPr>
        <w:t>2.火灾扑救能力目标</w:t>
      </w:r>
    </w:p>
    <w:p w14:paraId="193FC36E">
      <w:pPr>
        <w:spacing w:line="360" w:lineRule="auto"/>
        <w:ind w:firstLine="560" w:firstLineChars="200"/>
        <w:rPr>
          <w:sz w:val="28"/>
          <w:szCs w:val="28"/>
        </w:rPr>
      </w:pPr>
      <w:r>
        <w:rPr>
          <w:rFonts w:hint="eastAsia"/>
          <w:sz w:val="28"/>
          <w:szCs w:val="28"/>
        </w:rPr>
        <w:t>消防站总量达5座，3座为现有消防站升级为特勤站，补充新建2座；消火栓建设达到国家标准，新建消火栓与市政管网同步规划建设率达到100%；加强企业消防站（队）、专职消防站（队）、微型消防站等多种形式的消防力量建设。</w:t>
      </w:r>
    </w:p>
    <w:p w14:paraId="5B0F6EED">
      <w:pPr>
        <w:pStyle w:val="5"/>
        <w:spacing w:line="360" w:lineRule="auto"/>
        <w:ind w:firstLine="562" w:firstLineChars="200"/>
        <w:rPr>
          <w:b/>
          <w:bCs/>
          <w:sz w:val="28"/>
          <w:szCs w:val="28"/>
        </w:rPr>
      </w:pPr>
      <w:r>
        <w:rPr>
          <w:rFonts w:hint="eastAsia"/>
          <w:b/>
          <w:bCs/>
          <w:sz w:val="28"/>
          <w:szCs w:val="28"/>
        </w:rPr>
        <w:t>3.抢险救援能力目标</w:t>
      </w:r>
    </w:p>
    <w:p w14:paraId="6421069B">
      <w:pPr>
        <w:spacing w:line="360" w:lineRule="auto"/>
        <w:ind w:firstLine="560" w:firstLineChars="200"/>
        <w:rPr>
          <w:sz w:val="28"/>
          <w:szCs w:val="28"/>
        </w:rPr>
      </w:pPr>
      <w:r>
        <w:rPr>
          <w:rFonts w:hint="eastAsia"/>
          <w:sz w:val="28"/>
          <w:szCs w:val="28"/>
        </w:rPr>
        <w:t>消防应急救援区域联动体系完全建成；火灾报警和指挥通信系统建设责任区覆盖率100%；火灾发生8小时内受灾群众基本生活得到初步救助，救灾物资储备可同时保证8万受灾人口的基本生活救助。</w:t>
      </w:r>
    </w:p>
    <w:p w14:paraId="620E7321">
      <w:pPr>
        <w:pStyle w:val="5"/>
        <w:spacing w:line="360" w:lineRule="auto"/>
        <w:ind w:firstLine="562" w:firstLineChars="200"/>
        <w:rPr>
          <w:b/>
          <w:bCs/>
          <w:sz w:val="28"/>
          <w:szCs w:val="28"/>
        </w:rPr>
      </w:pPr>
      <w:r>
        <w:rPr>
          <w:rFonts w:hint="eastAsia"/>
          <w:b/>
          <w:bCs/>
          <w:sz w:val="28"/>
          <w:szCs w:val="28"/>
        </w:rPr>
        <w:t>4.消防装备设施建设目标</w:t>
      </w:r>
    </w:p>
    <w:p w14:paraId="011AAA5E">
      <w:pPr>
        <w:spacing w:line="360" w:lineRule="auto"/>
        <w:ind w:firstLine="560" w:firstLineChars="200"/>
        <w:rPr>
          <w:sz w:val="28"/>
          <w:szCs w:val="28"/>
        </w:rPr>
      </w:pPr>
      <w:r>
        <w:rPr>
          <w:rFonts w:hint="eastAsia"/>
          <w:sz w:val="28"/>
          <w:szCs w:val="28"/>
        </w:rPr>
        <w:t>企业专职消防队消防车辆配备率达到特勤消防站标准，抢险救援装备、个人防护器材配备率达到100%。</w:t>
      </w:r>
    </w:p>
    <w:p w14:paraId="7916061D">
      <w:pPr>
        <w:pStyle w:val="5"/>
        <w:spacing w:line="360" w:lineRule="auto"/>
        <w:ind w:firstLine="562" w:firstLineChars="200"/>
        <w:rPr>
          <w:b/>
          <w:bCs/>
          <w:sz w:val="28"/>
          <w:szCs w:val="28"/>
        </w:rPr>
      </w:pPr>
      <w:r>
        <w:rPr>
          <w:rFonts w:hint="eastAsia"/>
          <w:b/>
          <w:bCs/>
          <w:sz w:val="28"/>
          <w:szCs w:val="28"/>
        </w:rPr>
        <w:t>5.消防队伍建设目标</w:t>
      </w:r>
    </w:p>
    <w:p w14:paraId="6150DFA3">
      <w:pPr>
        <w:spacing w:line="360" w:lineRule="auto"/>
        <w:ind w:firstLine="560" w:firstLineChars="200"/>
        <w:rPr>
          <w:b/>
          <w:bCs/>
          <w:sz w:val="28"/>
          <w:szCs w:val="28"/>
        </w:rPr>
      </w:pPr>
      <w:r>
        <w:rPr>
          <w:rFonts w:hint="eastAsia"/>
          <w:sz w:val="28"/>
          <w:szCs w:val="28"/>
        </w:rPr>
        <w:t>生产、储存易燃易爆危险化学品的大型企业、发电厂及物资储备仓库、基地专职消防队配备率达到100%。（大型企业指的是拥有储量大于3万立方的液化烃罐区、总储量大于60万立方的原油罐区，总储量大于30万立方的成品油罐区或化工液体罐区的企业）。</w:t>
      </w:r>
    </w:p>
    <w:p w14:paraId="73D702D5">
      <w:pPr>
        <w:pStyle w:val="5"/>
        <w:spacing w:line="360" w:lineRule="auto"/>
        <w:ind w:firstLine="562" w:firstLineChars="200"/>
        <w:rPr>
          <w:b/>
          <w:bCs/>
          <w:sz w:val="28"/>
          <w:szCs w:val="28"/>
        </w:rPr>
      </w:pPr>
      <w:r>
        <w:rPr>
          <w:rFonts w:hint="eastAsia"/>
          <w:b/>
          <w:bCs/>
          <w:sz w:val="28"/>
          <w:szCs w:val="28"/>
        </w:rPr>
        <w:t>6.消防信息化建设目标</w:t>
      </w:r>
    </w:p>
    <w:p w14:paraId="30173817">
      <w:pPr>
        <w:spacing w:line="360" w:lineRule="auto"/>
        <w:ind w:firstLine="560" w:firstLineChars="200"/>
      </w:pPr>
      <w:r>
        <w:rPr>
          <w:rFonts w:hint="eastAsia"/>
          <w:sz w:val="28"/>
          <w:szCs w:val="28"/>
        </w:rPr>
        <w:t>远期完成适应化工园区新形势新任务新要求的智慧消防体系架构搭建与优化；实现智能便捷、高效精准的新型指挥系统及上下贯通、集约开放的灾害监测预警预报平台的推广，实现重点领域信息化建设新突破；应急通信保障队伍、装备、机制和能力建设全面提升，信息化基础工作进一步夯实。</w:t>
      </w:r>
      <w:bookmarkStart w:id="74" w:name="_Toc23985"/>
      <w:bookmarkStart w:id="75" w:name="_Toc20898"/>
      <w:bookmarkStart w:id="76" w:name="_Toc21042"/>
      <w:bookmarkStart w:id="77" w:name="_Toc28383"/>
      <w:bookmarkStart w:id="78" w:name="_Toc8158"/>
      <w:bookmarkStart w:id="79" w:name="_Toc28125"/>
      <w:bookmarkStart w:id="80" w:name="_Toc16668"/>
      <w:bookmarkStart w:id="81" w:name="_Toc9163"/>
      <w:bookmarkStart w:id="82" w:name="_Toc21210"/>
    </w:p>
    <w:p w14:paraId="3BAE90F7">
      <w:pPr>
        <w:pStyle w:val="2"/>
        <w:ind w:left="0" w:firstLine="632" w:firstLineChars="300"/>
        <w:jc w:val="both"/>
        <w:rPr>
          <w:sz w:val="21"/>
          <w:szCs w:val="21"/>
        </w:rPr>
      </w:pPr>
      <w:bookmarkStart w:id="83" w:name="_Toc4283"/>
    </w:p>
    <w:p w14:paraId="6BFB38D5">
      <w:pPr>
        <w:pStyle w:val="2"/>
        <w:spacing w:line="360" w:lineRule="auto"/>
        <w:ind w:left="0" w:firstLine="1084" w:firstLineChars="300"/>
        <w:jc w:val="both"/>
      </w:pPr>
      <w:bookmarkStart w:id="84" w:name="_Toc26099"/>
      <w:r>
        <w:rPr>
          <w:rFonts w:hint="eastAsia"/>
        </w:rPr>
        <w:t>第三章</w:t>
      </w:r>
      <w:r>
        <w:rPr>
          <w:rFonts w:hint="eastAsia"/>
          <w:lang w:val="en-US" w:eastAsia="zh-CN"/>
        </w:rPr>
        <w:t xml:space="preserve"> </w:t>
      </w:r>
      <w:r>
        <w:t>区域联防联动及重大设施共建共享</w:t>
      </w:r>
      <w:bookmarkEnd w:id="74"/>
      <w:bookmarkEnd w:id="75"/>
      <w:bookmarkEnd w:id="76"/>
      <w:bookmarkEnd w:id="77"/>
      <w:bookmarkEnd w:id="78"/>
      <w:bookmarkEnd w:id="79"/>
      <w:bookmarkEnd w:id="80"/>
      <w:bookmarkEnd w:id="81"/>
      <w:bookmarkEnd w:id="82"/>
      <w:bookmarkEnd w:id="83"/>
      <w:bookmarkEnd w:id="84"/>
    </w:p>
    <w:p w14:paraId="527CFE6E">
      <w:pPr>
        <w:pStyle w:val="2"/>
        <w:ind w:left="3420"/>
        <w:jc w:val="both"/>
        <w:rPr>
          <w:sz w:val="21"/>
          <w:szCs w:val="21"/>
        </w:rPr>
      </w:pPr>
    </w:p>
    <w:p w14:paraId="468B70AE">
      <w:pPr>
        <w:pStyle w:val="3"/>
        <w:spacing w:line="360" w:lineRule="auto"/>
        <w:ind w:left="0" w:firstLine="602" w:firstLineChars="200"/>
      </w:pPr>
      <w:bookmarkStart w:id="85" w:name="_Toc11958"/>
      <w:bookmarkStart w:id="86" w:name="_Toc25280"/>
      <w:bookmarkStart w:id="87" w:name="_Toc6716"/>
      <w:bookmarkStart w:id="88" w:name="_Toc25399"/>
      <w:bookmarkStart w:id="89" w:name="_Toc32610"/>
      <w:bookmarkStart w:id="90" w:name="_Toc6691"/>
      <w:r>
        <w:rPr>
          <w:rFonts w:hint="eastAsia"/>
        </w:rPr>
        <w:t>第十一条</w:t>
      </w:r>
      <w:r>
        <w:rPr>
          <w:rFonts w:hint="eastAsia"/>
          <w:lang w:val="en-US" w:eastAsia="zh-CN"/>
        </w:rPr>
        <w:t xml:space="preserve"> </w:t>
      </w:r>
      <w:r>
        <w:rPr>
          <w:rFonts w:hint="eastAsia"/>
        </w:rPr>
        <w:t>危化火灾联防联动机制</w:t>
      </w:r>
      <w:bookmarkEnd w:id="85"/>
      <w:bookmarkEnd w:id="86"/>
      <w:bookmarkEnd w:id="87"/>
      <w:bookmarkEnd w:id="88"/>
      <w:bookmarkEnd w:id="89"/>
      <w:bookmarkEnd w:id="90"/>
    </w:p>
    <w:p w14:paraId="1267E2B8">
      <w:pPr>
        <w:spacing w:line="360" w:lineRule="auto"/>
        <w:ind w:firstLine="560" w:firstLineChars="200"/>
        <w:rPr>
          <w:sz w:val="28"/>
          <w:szCs w:val="28"/>
        </w:rPr>
      </w:pPr>
      <w:r>
        <w:rPr>
          <w:rFonts w:hint="eastAsia"/>
          <w:sz w:val="28"/>
          <w:szCs w:val="28"/>
        </w:rPr>
        <w:t>形成三级危化火灾联防联动机制。</w:t>
      </w:r>
    </w:p>
    <w:p w14:paraId="2264FA5E">
      <w:pPr>
        <w:spacing w:line="360" w:lineRule="auto"/>
        <w:ind w:firstLine="562" w:firstLineChars="200"/>
        <w:rPr>
          <w:sz w:val="28"/>
          <w:szCs w:val="28"/>
        </w:rPr>
      </w:pPr>
      <w:r>
        <w:rPr>
          <w:rFonts w:hint="eastAsia"/>
          <w:b/>
          <w:bCs/>
          <w:sz w:val="28"/>
          <w:szCs w:val="28"/>
        </w:rPr>
        <w:t>化工园区联防联动：</w:t>
      </w:r>
      <w:r>
        <w:rPr>
          <w:rFonts w:hint="eastAsia"/>
          <w:sz w:val="28"/>
          <w:szCs w:val="28"/>
        </w:rPr>
        <w:t>当化工园区发生火灾时，应立刻启动化工园区响应联动机制。辖区消防站应立即上报消防大队，由大队统一调度指挥化工园区及周边的消防队站，并根据火灾情况调配救援力量。</w:t>
      </w:r>
    </w:p>
    <w:p w14:paraId="5427DEE3">
      <w:pPr>
        <w:spacing w:line="360" w:lineRule="auto"/>
        <w:ind w:firstLine="562" w:firstLineChars="200"/>
        <w:rPr>
          <w:sz w:val="28"/>
          <w:szCs w:val="28"/>
        </w:rPr>
      </w:pPr>
      <w:r>
        <w:rPr>
          <w:rFonts w:hint="eastAsia"/>
          <w:b/>
          <w:bCs/>
          <w:sz w:val="28"/>
          <w:szCs w:val="28"/>
        </w:rPr>
        <w:t>市级联防联动：</w:t>
      </w:r>
      <w:r>
        <w:rPr>
          <w:rFonts w:hint="eastAsia"/>
          <w:sz w:val="28"/>
          <w:szCs w:val="28"/>
        </w:rPr>
        <w:t>发生可能造成3人以上死亡或1000万元以上直接财产损失的火灾事故，或由易燃、易爆化学品燃烧引起的火灾，且化工园区消防救援力量难以控制灾情发展时，启动市级响应联动机制。由杭锦旗消防救援大队上报鄂尔多斯市消防救援大队或杭锦旗人民政府，鄂尔多斯市消防救援大队或鄂尔多斯市人民政府根据火灾发展情况统一调度全市消防救援力量进行支援。对于灾后环境恢复与卫生整治，需完善多部门、企业联动工作机制，如环保部门对大气、水体环境进行监测，化工园区内企业严格落实环境恢复与卫生整治措施，有序实现化工园区灾后环境卫生恢复。</w:t>
      </w:r>
    </w:p>
    <w:p w14:paraId="1489F8E6">
      <w:pPr>
        <w:spacing w:line="360" w:lineRule="auto"/>
        <w:ind w:firstLine="562" w:firstLineChars="200"/>
        <w:rPr>
          <w:sz w:val="21"/>
          <w:szCs w:val="21"/>
        </w:rPr>
      </w:pPr>
      <w:r>
        <w:rPr>
          <w:rFonts w:hint="eastAsia"/>
          <w:b/>
          <w:bCs/>
          <w:sz w:val="28"/>
          <w:szCs w:val="28"/>
        </w:rPr>
        <w:t>跨区域联防联动：</w:t>
      </w:r>
      <w:r>
        <w:rPr>
          <w:rFonts w:hint="eastAsia"/>
          <w:sz w:val="28"/>
          <w:szCs w:val="28"/>
        </w:rPr>
        <w:t>发生重大及以上火灾事故或灾害事故，火势蔓延迅猛的火灾，市级救援力量不足以控制灾情发展时，鄂尔多斯市人民政府或鄂尔多斯市消防救援大队全勤指挥部总指挥应立即向自治区人民政府或自治区消防救援大队报告，指挥中心值班人员接到报告后，立即向国务院或应急管理部报告，根据上级命令或灾情发展，由自治区人民政府或自治区消防救援大队下达启动Ⅰ级跨区域增援作战力量调派命令。响应命令下达后，自治区人民政府或自治区消防总队依据本预案</w:t>
      </w:r>
      <w:r>
        <w:rPr>
          <w:rFonts w:hint="eastAsia"/>
          <w:sz w:val="28"/>
          <w:szCs w:val="28"/>
          <w:lang w:eastAsia="zh-CN"/>
        </w:rPr>
        <w:t>制定</w:t>
      </w:r>
      <w:r>
        <w:rPr>
          <w:rFonts w:hint="eastAsia"/>
          <w:sz w:val="28"/>
          <w:szCs w:val="28"/>
        </w:rPr>
        <w:t>跨区域增援力量调派方案。当火灾无法通过战区救援控制时，由自治区人民政府或自治区消防救援大队下达响应升级命令，周边省份消防救援力量进行跨区域灭火应急救援。</w:t>
      </w:r>
    </w:p>
    <w:p w14:paraId="714E974C">
      <w:pPr>
        <w:pStyle w:val="3"/>
        <w:spacing w:line="360" w:lineRule="auto"/>
        <w:ind w:left="0" w:firstLine="602" w:firstLineChars="200"/>
      </w:pPr>
      <w:bookmarkStart w:id="91" w:name="_Toc27991"/>
      <w:bookmarkStart w:id="92" w:name="_Toc1618"/>
      <w:bookmarkStart w:id="93" w:name="_Toc1258"/>
      <w:bookmarkStart w:id="94" w:name="_Toc30840"/>
      <w:bookmarkStart w:id="95" w:name="_Toc3840"/>
      <w:bookmarkStart w:id="96" w:name="_Toc31400"/>
      <w:r>
        <w:rPr>
          <w:rFonts w:hint="eastAsia"/>
        </w:rPr>
        <w:t>第十二条</w:t>
      </w:r>
      <w:r>
        <w:rPr>
          <w:rFonts w:hint="eastAsia"/>
          <w:lang w:val="en-US" w:eastAsia="zh-CN"/>
        </w:rPr>
        <w:t xml:space="preserve"> </w:t>
      </w:r>
      <w:r>
        <w:rPr>
          <w:rFonts w:hint="eastAsia"/>
        </w:rPr>
        <w:t>应急救援基地</w:t>
      </w:r>
      <w:bookmarkEnd w:id="91"/>
      <w:bookmarkEnd w:id="92"/>
      <w:bookmarkEnd w:id="93"/>
      <w:bookmarkEnd w:id="94"/>
      <w:bookmarkEnd w:id="95"/>
      <w:bookmarkEnd w:id="96"/>
    </w:p>
    <w:p w14:paraId="04F59A9D">
      <w:pPr>
        <w:spacing w:line="360" w:lineRule="auto"/>
        <w:ind w:firstLine="560" w:firstLineChars="200"/>
        <w:rPr>
          <w:sz w:val="21"/>
          <w:szCs w:val="21"/>
        </w:rPr>
      </w:pPr>
      <w:r>
        <w:rPr>
          <w:rFonts w:hint="eastAsia"/>
          <w:sz w:val="28"/>
          <w:szCs w:val="28"/>
        </w:rPr>
        <w:t>依据自治区应急管理厅的应急设施统筹安排，化工园区需规划危险化学品救援基地。</w:t>
      </w:r>
    </w:p>
    <w:p w14:paraId="341C40B8">
      <w:pPr>
        <w:pStyle w:val="3"/>
        <w:spacing w:line="360" w:lineRule="auto"/>
        <w:ind w:left="0" w:firstLine="602" w:firstLineChars="200"/>
      </w:pPr>
      <w:bookmarkStart w:id="97" w:name="_Toc14088"/>
      <w:bookmarkStart w:id="98" w:name="_Toc2384"/>
      <w:bookmarkStart w:id="99" w:name="_Toc7736"/>
      <w:bookmarkStart w:id="100" w:name="_Toc18307"/>
      <w:bookmarkStart w:id="101" w:name="_Toc8364"/>
      <w:bookmarkStart w:id="102" w:name="_Toc3702"/>
      <w:r>
        <w:rPr>
          <w:rFonts w:hint="eastAsia"/>
        </w:rPr>
        <w:t>第十三条</w:t>
      </w:r>
      <w:r>
        <w:rPr>
          <w:rFonts w:hint="eastAsia"/>
          <w:lang w:val="en-US" w:eastAsia="zh-CN"/>
        </w:rPr>
        <w:t xml:space="preserve"> </w:t>
      </w:r>
      <w:r>
        <w:rPr>
          <w:rFonts w:hint="eastAsia"/>
        </w:rPr>
        <w:t>物资储备体系</w:t>
      </w:r>
      <w:bookmarkEnd w:id="97"/>
      <w:bookmarkEnd w:id="98"/>
      <w:bookmarkEnd w:id="99"/>
      <w:bookmarkEnd w:id="100"/>
      <w:bookmarkEnd w:id="101"/>
      <w:bookmarkEnd w:id="102"/>
    </w:p>
    <w:p w14:paraId="7D115845">
      <w:pPr>
        <w:spacing w:line="360" w:lineRule="auto"/>
        <w:ind w:firstLine="560" w:firstLineChars="200"/>
        <w:rPr>
          <w:sz w:val="21"/>
          <w:szCs w:val="21"/>
        </w:rPr>
      </w:pPr>
      <w:r>
        <w:rPr>
          <w:rFonts w:hint="eastAsia"/>
          <w:sz w:val="28"/>
          <w:szCs w:val="28"/>
        </w:rPr>
        <w:t>物资储备主要以杭锦旗消防救援大队和杭锦旗应急物资储备仓库为主，用于实施消防车辆、重要消防装备的日常技术性维修、维护、保养以及储备灭火器材和药剂、防护装备、抢险救援器材、油料、装备物资等。</w:t>
      </w:r>
    </w:p>
    <w:p w14:paraId="7686002A">
      <w:pPr>
        <w:pStyle w:val="3"/>
        <w:spacing w:line="360" w:lineRule="auto"/>
        <w:ind w:left="0" w:firstLine="602" w:firstLineChars="200"/>
      </w:pPr>
      <w:bookmarkStart w:id="103" w:name="_Toc20829"/>
      <w:bookmarkStart w:id="104" w:name="_Toc1528"/>
      <w:bookmarkStart w:id="105" w:name="_Toc21261"/>
      <w:bookmarkStart w:id="106" w:name="_Toc27022"/>
      <w:bookmarkStart w:id="107" w:name="_Toc10078"/>
      <w:bookmarkStart w:id="108" w:name="_Toc17872"/>
      <w:r>
        <w:rPr>
          <w:rFonts w:hint="eastAsia"/>
        </w:rPr>
        <w:t>第十四条</w:t>
      </w:r>
      <w:r>
        <w:rPr>
          <w:rFonts w:hint="eastAsia"/>
          <w:lang w:val="en-US" w:eastAsia="zh-CN"/>
        </w:rPr>
        <w:t xml:space="preserve"> </w:t>
      </w:r>
      <w:r>
        <w:rPr>
          <w:rFonts w:hint="eastAsia"/>
        </w:rPr>
        <w:t>消防指挥中心</w:t>
      </w:r>
      <w:bookmarkEnd w:id="103"/>
      <w:bookmarkEnd w:id="104"/>
      <w:bookmarkEnd w:id="105"/>
      <w:bookmarkEnd w:id="106"/>
      <w:bookmarkEnd w:id="107"/>
      <w:bookmarkEnd w:id="108"/>
    </w:p>
    <w:p w14:paraId="751FC9C7">
      <w:pPr>
        <w:spacing w:line="360" w:lineRule="auto"/>
        <w:ind w:firstLine="560" w:firstLineChars="200"/>
        <w:rPr>
          <w:sz w:val="28"/>
          <w:szCs w:val="28"/>
        </w:rPr>
      </w:pPr>
      <w:r>
        <w:rPr>
          <w:rFonts w:hint="eastAsia"/>
          <w:sz w:val="28"/>
          <w:szCs w:val="28"/>
        </w:rPr>
        <w:t>拟设一处化工</w:t>
      </w:r>
      <w:r>
        <w:rPr>
          <w:rFonts w:hint="eastAsia"/>
          <w:bCs/>
          <w:sz w:val="24"/>
        </w:rPr>
        <w:t>园</w:t>
      </w:r>
      <w:r>
        <w:rPr>
          <w:rFonts w:hint="eastAsia"/>
          <w:sz w:val="28"/>
          <w:szCs w:val="28"/>
        </w:rPr>
        <w:t>区消防指挥中心，承担化工园区的消防报警、接警、处警、通信及信息管理等功能。</w:t>
      </w:r>
      <w:bookmarkStart w:id="109" w:name="_Toc22754"/>
      <w:bookmarkStart w:id="110" w:name="_Toc6190"/>
      <w:bookmarkStart w:id="111" w:name="_Toc20330"/>
      <w:bookmarkStart w:id="112" w:name="_Toc14416"/>
      <w:bookmarkStart w:id="113" w:name="_Toc6178"/>
      <w:bookmarkStart w:id="114" w:name="_Toc6958"/>
      <w:bookmarkStart w:id="115" w:name="_Toc30593"/>
      <w:bookmarkStart w:id="116" w:name="_Toc11718"/>
      <w:bookmarkStart w:id="117" w:name="_Toc26922"/>
      <w:bookmarkStart w:id="118" w:name="_Toc22970"/>
    </w:p>
    <w:p w14:paraId="1DD4BA6D">
      <w:pPr>
        <w:ind w:firstLine="420" w:firstLineChars="200"/>
        <w:rPr>
          <w:sz w:val="21"/>
          <w:szCs w:val="21"/>
        </w:rPr>
      </w:pPr>
    </w:p>
    <w:p w14:paraId="7B369EB8">
      <w:pPr>
        <w:pStyle w:val="2"/>
        <w:numPr>
          <w:ilvl w:val="0"/>
          <w:numId w:val="1"/>
        </w:numPr>
        <w:spacing w:line="360" w:lineRule="auto"/>
        <w:ind w:left="0" w:firstLine="1807" w:firstLineChars="500"/>
        <w:jc w:val="both"/>
      </w:pPr>
      <w:bookmarkStart w:id="119" w:name="_Toc11509"/>
      <w:r>
        <w:rPr>
          <w:rFonts w:hint="eastAsia"/>
        </w:rPr>
        <w:t>化工</w:t>
      </w:r>
      <w:r>
        <w:t>园区消防安全布局规划</w:t>
      </w:r>
      <w:bookmarkEnd w:id="109"/>
      <w:bookmarkEnd w:id="110"/>
      <w:bookmarkEnd w:id="111"/>
      <w:bookmarkEnd w:id="112"/>
      <w:bookmarkEnd w:id="113"/>
      <w:bookmarkEnd w:id="114"/>
      <w:bookmarkEnd w:id="115"/>
      <w:bookmarkEnd w:id="116"/>
      <w:bookmarkEnd w:id="117"/>
      <w:bookmarkEnd w:id="118"/>
      <w:bookmarkEnd w:id="119"/>
    </w:p>
    <w:p w14:paraId="5663DA8F">
      <w:pPr>
        <w:pStyle w:val="2"/>
        <w:ind w:left="1100" w:leftChars="500"/>
        <w:jc w:val="both"/>
        <w:rPr>
          <w:sz w:val="21"/>
          <w:szCs w:val="21"/>
        </w:rPr>
      </w:pPr>
    </w:p>
    <w:p w14:paraId="1D255F23">
      <w:pPr>
        <w:pStyle w:val="3"/>
        <w:spacing w:line="360" w:lineRule="auto"/>
        <w:ind w:left="0" w:firstLine="602" w:firstLineChars="200"/>
      </w:pPr>
      <w:bookmarkStart w:id="120" w:name="_Toc8123"/>
      <w:bookmarkStart w:id="121" w:name="_Toc2835"/>
      <w:bookmarkStart w:id="122" w:name="_Toc29970"/>
      <w:bookmarkStart w:id="123" w:name="_Toc27419"/>
      <w:bookmarkStart w:id="124" w:name="_Toc1215"/>
      <w:bookmarkStart w:id="125" w:name="_Toc23367"/>
      <w:r>
        <w:rPr>
          <w:rFonts w:hint="eastAsia"/>
        </w:rPr>
        <w:t>第十五条</w:t>
      </w:r>
      <w:r>
        <w:rPr>
          <w:rFonts w:hint="eastAsia"/>
          <w:lang w:val="en-US" w:eastAsia="zh-CN"/>
        </w:rPr>
        <w:t xml:space="preserve"> </w:t>
      </w:r>
      <w:r>
        <w:rPr>
          <w:rFonts w:hint="eastAsia"/>
        </w:rPr>
        <w:t>消防安全布局及总体建设要求</w:t>
      </w:r>
      <w:bookmarkEnd w:id="120"/>
      <w:bookmarkEnd w:id="121"/>
      <w:bookmarkEnd w:id="122"/>
      <w:bookmarkEnd w:id="123"/>
      <w:bookmarkEnd w:id="124"/>
      <w:bookmarkEnd w:id="125"/>
    </w:p>
    <w:p w14:paraId="5CBB936C">
      <w:pPr>
        <w:spacing w:line="360" w:lineRule="auto"/>
        <w:ind w:firstLine="560" w:firstLineChars="200"/>
        <w:rPr>
          <w:sz w:val="28"/>
          <w:szCs w:val="28"/>
        </w:rPr>
      </w:pPr>
      <w:r>
        <w:rPr>
          <w:rFonts w:hint="eastAsia"/>
          <w:sz w:val="28"/>
          <w:szCs w:val="28"/>
        </w:rPr>
        <w:t>基于危化产业防御火灾的特殊性，规划形成重点设防区域划分明显、防火隔离带及应急避难场所充足、消防力量布局到位的消防安全布局。</w:t>
      </w:r>
    </w:p>
    <w:p w14:paraId="1BFA0EC5">
      <w:pPr>
        <w:spacing w:line="360" w:lineRule="auto"/>
        <w:ind w:firstLine="560" w:firstLineChars="200"/>
        <w:rPr>
          <w:sz w:val="28"/>
          <w:szCs w:val="28"/>
        </w:rPr>
      </w:pPr>
      <w:r>
        <w:rPr>
          <w:rFonts w:hint="eastAsia"/>
          <w:sz w:val="28"/>
          <w:szCs w:val="28"/>
        </w:rPr>
        <w:t>为控制化工园区的事故风险、减少化工企业与非化工企业的相互干扰、避免外界影响、防止恐怖袭击，推行化工园区封闭化管理。具体措施如下：</w:t>
      </w:r>
    </w:p>
    <w:p w14:paraId="560EF9F9">
      <w:pPr>
        <w:spacing w:line="360" w:lineRule="auto"/>
        <w:ind w:firstLine="560" w:firstLineChars="200"/>
        <w:rPr>
          <w:sz w:val="28"/>
          <w:szCs w:val="28"/>
        </w:rPr>
      </w:pPr>
      <w:r>
        <w:rPr>
          <w:rFonts w:hint="eastAsia"/>
          <w:bCs/>
          <w:sz w:val="28"/>
          <w:szCs w:val="28"/>
        </w:rPr>
        <w:t>1.</w:t>
      </w:r>
      <w:r>
        <w:rPr>
          <w:rFonts w:hint="eastAsia"/>
          <w:sz w:val="28"/>
          <w:szCs w:val="28"/>
        </w:rPr>
        <w:t>利用化工园区边界道路、企业围墙、绿化隔离带等作为“围网”形成隔离区；</w:t>
      </w:r>
    </w:p>
    <w:p w14:paraId="73BEE2D4">
      <w:pPr>
        <w:spacing w:line="360" w:lineRule="auto"/>
        <w:ind w:firstLine="560" w:firstLineChars="200"/>
        <w:rPr>
          <w:sz w:val="28"/>
          <w:szCs w:val="28"/>
        </w:rPr>
      </w:pPr>
      <w:r>
        <w:rPr>
          <w:rFonts w:hint="eastAsia"/>
          <w:bCs/>
          <w:sz w:val="28"/>
          <w:szCs w:val="28"/>
        </w:rPr>
        <w:t>2.</w:t>
      </w:r>
      <w:r>
        <w:rPr>
          <w:rFonts w:hint="eastAsia"/>
          <w:sz w:val="28"/>
          <w:szCs w:val="28"/>
        </w:rPr>
        <w:t>将现有的居民、学校等已搬迁出化工园区，将废弃的居民设施进行拆除；</w:t>
      </w:r>
    </w:p>
    <w:p w14:paraId="182B4FB2">
      <w:pPr>
        <w:spacing w:line="360" w:lineRule="auto"/>
        <w:ind w:firstLine="560" w:firstLineChars="200"/>
        <w:rPr>
          <w:sz w:val="28"/>
          <w:szCs w:val="28"/>
        </w:rPr>
      </w:pPr>
      <w:r>
        <w:rPr>
          <w:rFonts w:hint="eastAsia"/>
          <w:bCs/>
          <w:sz w:val="28"/>
          <w:szCs w:val="28"/>
        </w:rPr>
        <w:t>3.</w:t>
      </w:r>
      <w:r>
        <w:rPr>
          <w:rFonts w:hint="eastAsia"/>
          <w:sz w:val="28"/>
          <w:szCs w:val="28"/>
        </w:rPr>
        <w:t>建立门禁系统和视频监控系统；</w:t>
      </w:r>
    </w:p>
    <w:p w14:paraId="6D56CA7E">
      <w:pPr>
        <w:spacing w:line="360" w:lineRule="auto"/>
        <w:ind w:firstLine="560" w:firstLineChars="200"/>
        <w:rPr>
          <w:sz w:val="28"/>
          <w:szCs w:val="28"/>
        </w:rPr>
      </w:pPr>
      <w:r>
        <w:rPr>
          <w:rFonts w:hint="eastAsia"/>
          <w:bCs/>
          <w:sz w:val="28"/>
          <w:szCs w:val="28"/>
        </w:rPr>
        <w:t>4.</w:t>
      </w:r>
      <w:r>
        <w:rPr>
          <w:rFonts w:hint="eastAsia"/>
          <w:sz w:val="28"/>
          <w:szCs w:val="28"/>
        </w:rPr>
        <w:t>实行专用道路、专用车辆和限时行驶措施，消防通道卡口须为可移动式卡口；</w:t>
      </w:r>
    </w:p>
    <w:p w14:paraId="7B7F2AF0">
      <w:pPr>
        <w:spacing w:line="360" w:lineRule="auto"/>
        <w:ind w:firstLine="560" w:firstLineChars="200"/>
        <w:rPr>
          <w:sz w:val="28"/>
          <w:szCs w:val="28"/>
        </w:rPr>
      </w:pPr>
      <w:r>
        <w:rPr>
          <w:rFonts w:hint="eastAsia"/>
          <w:sz w:val="28"/>
          <w:szCs w:val="28"/>
        </w:rPr>
        <w:t>4.1设置危险化学品等移动危险源专用停车场；</w:t>
      </w:r>
    </w:p>
    <w:p w14:paraId="2697046C">
      <w:pPr>
        <w:spacing w:line="360" w:lineRule="auto"/>
        <w:ind w:firstLine="560" w:firstLineChars="200"/>
        <w:rPr>
          <w:sz w:val="28"/>
          <w:szCs w:val="28"/>
        </w:rPr>
      </w:pPr>
      <w:r>
        <w:rPr>
          <w:rFonts w:hint="eastAsia"/>
          <w:sz w:val="28"/>
          <w:szCs w:val="28"/>
        </w:rPr>
        <w:t>4.2根据相对集中布局的原则，危险源集中分布在消防安全重点设防区域、重点设防带上，避免危险源分散化；</w:t>
      </w:r>
    </w:p>
    <w:p w14:paraId="15377F6F">
      <w:pPr>
        <w:spacing w:line="360" w:lineRule="auto"/>
        <w:ind w:firstLine="560" w:firstLineChars="200"/>
        <w:rPr>
          <w:sz w:val="28"/>
          <w:szCs w:val="28"/>
        </w:rPr>
      </w:pPr>
      <w:r>
        <w:rPr>
          <w:rFonts w:hint="eastAsia"/>
          <w:sz w:val="28"/>
          <w:szCs w:val="28"/>
        </w:rPr>
        <w:t>4.3依托城市道路、水系、绿地等界线预留消防隔离带，形成空间隔离廊道，阻止火灾大面积延烧，保护生命与财产安全，降低因火灾造成的损失；</w:t>
      </w:r>
    </w:p>
    <w:p w14:paraId="1084E2F1">
      <w:pPr>
        <w:spacing w:line="360" w:lineRule="auto"/>
        <w:ind w:firstLine="560" w:firstLineChars="200"/>
        <w:rPr>
          <w:sz w:val="28"/>
          <w:szCs w:val="28"/>
        </w:rPr>
      </w:pPr>
      <w:r>
        <w:rPr>
          <w:rFonts w:hint="eastAsia"/>
          <w:sz w:val="28"/>
          <w:szCs w:val="28"/>
        </w:rPr>
        <w:t>4.4易燃易爆等重大危险品存储仓库需单独布置，布局在较为空旷的地区，远离居民区、供水地、主要交通干线等，并处于常年主风向的下风位，同时设置相应的安全设施和设备。</w:t>
      </w:r>
    </w:p>
    <w:p w14:paraId="5EDA29B3">
      <w:pPr>
        <w:spacing w:line="360" w:lineRule="auto"/>
        <w:ind w:firstLine="560" w:firstLineChars="200"/>
        <w:rPr>
          <w:sz w:val="21"/>
          <w:szCs w:val="21"/>
        </w:rPr>
      </w:pPr>
      <w:r>
        <w:rPr>
          <w:rFonts w:hint="eastAsia"/>
          <w:sz w:val="28"/>
          <w:szCs w:val="28"/>
        </w:rPr>
        <w:t>4.5天然气长输干管应远离居住区布局，管道沿线保留足够的绿化防</w:t>
      </w:r>
      <w:r>
        <w:rPr>
          <w:rFonts w:hint="eastAsia"/>
          <w:sz w:val="28"/>
          <w:szCs w:val="28"/>
          <w:lang w:eastAsia="zh-CN"/>
        </w:rPr>
        <w:t>火</w:t>
      </w:r>
      <w:r>
        <w:rPr>
          <w:rFonts w:hint="eastAsia"/>
          <w:sz w:val="28"/>
          <w:szCs w:val="28"/>
        </w:rPr>
        <w:t>隔离带。</w:t>
      </w:r>
    </w:p>
    <w:p w14:paraId="397F8C5F">
      <w:pPr>
        <w:pStyle w:val="3"/>
        <w:spacing w:line="360" w:lineRule="auto"/>
        <w:ind w:left="0" w:firstLine="602" w:firstLineChars="200"/>
      </w:pPr>
      <w:bookmarkStart w:id="126" w:name="_Toc15888"/>
      <w:bookmarkStart w:id="127" w:name="_Toc2845"/>
      <w:bookmarkStart w:id="128" w:name="_Toc27057"/>
      <w:bookmarkStart w:id="129" w:name="_Toc11717"/>
      <w:bookmarkStart w:id="130" w:name="_Toc13445"/>
      <w:bookmarkStart w:id="131" w:name="_Toc20295"/>
      <w:r>
        <w:rPr>
          <w:rFonts w:hint="eastAsia"/>
        </w:rPr>
        <w:t>第十六条</w:t>
      </w:r>
      <w:r>
        <w:rPr>
          <w:rFonts w:hint="eastAsia"/>
          <w:lang w:val="en-US" w:eastAsia="zh-CN"/>
        </w:rPr>
        <w:t xml:space="preserve"> </w:t>
      </w:r>
      <w:r>
        <w:rPr>
          <w:rFonts w:hint="eastAsia"/>
        </w:rPr>
        <w:t>化工园区消防重点区域划分</w:t>
      </w:r>
      <w:bookmarkEnd w:id="126"/>
      <w:bookmarkEnd w:id="127"/>
      <w:bookmarkEnd w:id="128"/>
      <w:bookmarkEnd w:id="129"/>
      <w:bookmarkEnd w:id="130"/>
      <w:bookmarkEnd w:id="131"/>
    </w:p>
    <w:p w14:paraId="62CC1366">
      <w:pPr>
        <w:spacing w:line="360" w:lineRule="auto"/>
        <w:ind w:firstLine="560" w:firstLineChars="200"/>
        <w:rPr>
          <w:sz w:val="21"/>
          <w:szCs w:val="21"/>
        </w:rPr>
      </w:pPr>
      <w:r>
        <w:rPr>
          <w:rFonts w:hint="eastAsia"/>
          <w:sz w:val="28"/>
          <w:szCs w:val="28"/>
        </w:rPr>
        <w:t>化工园区消防重点区域主要为各危化企业内所设置重大危险源（液氨罐区、LPG储罐区、甲醇储罐区及LNG储罐区等一级危险化学品储罐区）、加油加气加氢站、天然气输送通道、危险化学品运输区。</w:t>
      </w:r>
    </w:p>
    <w:p w14:paraId="39E6F689">
      <w:pPr>
        <w:pStyle w:val="3"/>
        <w:spacing w:line="360" w:lineRule="auto"/>
        <w:ind w:left="0" w:firstLine="602" w:firstLineChars="200"/>
      </w:pPr>
      <w:bookmarkStart w:id="132" w:name="_Toc9945"/>
      <w:bookmarkStart w:id="133" w:name="_Toc27982"/>
      <w:bookmarkStart w:id="134" w:name="_Toc31919"/>
      <w:bookmarkStart w:id="135" w:name="_Toc11417"/>
      <w:bookmarkStart w:id="136" w:name="_Toc24250"/>
      <w:bookmarkStart w:id="137" w:name="_Toc22627"/>
      <w:r>
        <w:rPr>
          <w:rFonts w:hint="eastAsia"/>
        </w:rPr>
        <w:t>第十七条</w:t>
      </w:r>
      <w:r>
        <w:rPr>
          <w:rFonts w:hint="eastAsia"/>
          <w:lang w:val="en-US" w:eastAsia="zh-CN"/>
        </w:rPr>
        <w:t xml:space="preserve"> </w:t>
      </w:r>
      <w:r>
        <w:rPr>
          <w:rFonts w:hint="eastAsia"/>
        </w:rPr>
        <w:t>相邻商业、居住等生活区的消防安全布局</w:t>
      </w:r>
      <w:bookmarkEnd w:id="132"/>
      <w:bookmarkEnd w:id="133"/>
      <w:bookmarkEnd w:id="134"/>
      <w:bookmarkEnd w:id="135"/>
      <w:bookmarkEnd w:id="136"/>
      <w:bookmarkEnd w:id="137"/>
    </w:p>
    <w:p w14:paraId="5F5448BD">
      <w:pPr>
        <w:spacing w:line="360" w:lineRule="auto"/>
        <w:ind w:firstLine="560" w:firstLineChars="200"/>
        <w:rPr>
          <w:sz w:val="21"/>
          <w:szCs w:val="21"/>
        </w:rPr>
      </w:pPr>
      <w:r>
        <w:rPr>
          <w:rFonts w:hint="eastAsia"/>
          <w:sz w:val="28"/>
          <w:szCs w:val="28"/>
        </w:rPr>
        <w:t>近期加强消防安全治理与管控，化工园区邻近居民生活区内部应严格控制区内人口规模，预留充足的防灾通道、避难场所，改善居住和商业消防安全布局，并与化工园区之间保持足够的安全距离。远期则改变商业、居住与化工园区相邻的局面，对化工园区相邻的商业、居住区实行逐步搬迁。对搬迁后用地</w:t>
      </w:r>
      <w:r>
        <w:rPr>
          <w:rFonts w:hint="eastAsia"/>
          <w:sz w:val="28"/>
          <w:szCs w:val="28"/>
          <w:lang w:eastAsia="zh-CN"/>
        </w:rPr>
        <w:t>进行</w:t>
      </w:r>
      <w:r>
        <w:rPr>
          <w:rFonts w:hint="eastAsia"/>
          <w:sz w:val="28"/>
          <w:szCs w:val="28"/>
        </w:rPr>
        <w:t>充分利用，保留和扩大公园、广场面积，建设大型的应急避难场所，供化工园区及周边区域使用。</w:t>
      </w:r>
      <w:bookmarkStart w:id="138" w:name="_Toc1108"/>
      <w:bookmarkStart w:id="139" w:name="_Toc29234"/>
      <w:bookmarkStart w:id="140" w:name="_Toc24494"/>
      <w:bookmarkStart w:id="141" w:name="_Toc11543"/>
      <w:bookmarkStart w:id="142" w:name="_Toc7303"/>
    </w:p>
    <w:p w14:paraId="6D425C3B">
      <w:pPr>
        <w:pStyle w:val="3"/>
        <w:spacing w:line="360" w:lineRule="auto"/>
        <w:ind w:left="0" w:firstLine="602" w:firstLineChars="200"/>
      </w:pPr>
      <w:bookmarkStart w:id="143" w:name="_Toc19540"/>
      <w:r>
        <w:rPr>
          <w:rFonts w:hint="eastAsia"/>
        </w:rPr>
        <w:t>第十八条</w:t>
      </w:r>
      <w:r>
        <w:rPr>
          <w:rFonts w:hint="eastAsia"/>
          <w:lang w:val="en-US" w:eastAsia="zh-CN"/>
        </w:rPr>
        <w:t xml:space="preserve"> </w:t>
      </w:r>
      <w:r>
        <w:rPr>
          <w:rFonts w:hint="eastAsia"/>
        </w:rPr>
        <w:t>避难疏散场地及防火隔离带</w:t>
      </w:r>
      <w:bookmarkEnd w:id="138"/>
      <w:bookmarkEnd w:id="139"/>
      <w:bookmarkEnd w:id="140"/>
      <w:bookmarkEnd w:id="141"/>
      <w:bookmarkEnd w:id="142"/>
      <w:bookmarkEnd w:id="143"/>
    </w:p>
    <w:p w14:paraId="0E503B5C">
      <w:pPr>
        <w:spacing w:line="360" w:lineRule="auto"/>
        <w:ind w:firstLine="560" w:firstLineChars="200"/>
        <w:rPr>
          <w:sz w:val="28"/>
          <w:szCs w:val="28"/>
        </w:rPr>
      </w:pPr>
      <w:r>
        <w:rPr>
          <w:rFonts w:hint="eastAsia"/>
          <w:sz w:val="28"/>
          <w:szCs w:val="28"/>
        </w:rPr>
        <w:t>利用广场、公园、绿地和化工园区主要道路等作为城市防灾的疏散、避难用地。利用道路、广场、绿化带、河流作为防火隔离带，使火灾、自然灾害及其引发的次生灾害，被控制和减少到最低程度。研究范围内避难疏散场地及防火隔离带具体设置如下：</w:t>
      </w:r>
    </w:p>
    <w:p w14:paraId="3CB3FB82">
      <w:pPr>
        <w:spacing w:line="360" w:lineRule="auto"/>
        <w:ind w:firstLine="560" w:firstLineChars="200"/>
        <w:rPr>
          <w:sz w:val="28"/>
          <w:szCs w:val="28"/>
        </w:rPr>
      </w:pPr>
      <w:r>
        <w:rPr>
          <w:rFonts w:hint="eastAsia"/>
          <w:bCs/>
          <w:sz w:val="28"/>
          <w:szCs w:val="28"/>
        </w:rPr>
        <w:t>1.</w:t>
      </w:r>
      <w:r>
        <w:rPr>
          <w:rFonts w:hint="eastAsia"/>
          <w:sz w:val="28"/>
          <w:szCs w:val="28"/>
        </w:rPr>
        <w:t>利用主干路骨架路网及防护绿地作为道路防火隔离带。</w:t>
      </w:r>
    </w:p>
    <w:p w14:paraId="7DDB04EC">
      <w:pPr>
        <w:spacing w:line="360" w:lineRule="auto"/>
        <w:ind w:firstLine="560" w:firstLineChars="200"/>
        <w:rPr>
          <w:sz w:val="28"/>
          <w:szCs w:val="28"/>
        </w:rPr>
      </w:pPr>
      <w:r>
        <w:rPr>
          <w:rFonts w:hint="eastAsia"/>
          <w:bCs/>
          <w:sz w:val="28"/>
          <w:szCs w:val="28"/>
        </w:rPr>
        <w:t>2.</w:t>
      </w:r>
      <w:r>
        <w:rPr>
          <w:rFonts w:hint="eastAsia"/>
          <w:sz w:val="28"/>
          <w:szCs w:val="28"/>
        </w:rPr>
        <w:t>布置绿化带作为城市水系防火隔离带。</w:t>
      </w:r>
    </w:p>
    <w:p w14:paraId="688C6E7D">
      <w:pPr>
        <w:spacing w:line="360" w:lineRule="auto"/>
        <w:ind w:firstLine="560" w:firstLineChars="200"/>
        <w:rPr>
          <w:sz w:val="28"/>
          <w:szCs w:val="28"/>
        </w:rPr>
      </w:pPr>
      <w:r>
        <w:rPr>
          <w:rFonts w:hint="eastAsia"/>
          <w:bCs/>
          <w:sz w:val="28"/>
          <w:szCs w:val="28"/>
        </w:rPr>
        <w:t>3.</w:t>
      </w:r>
      <w:r>
        <w:rPr>
          <w:rFonts w:hint="eastAsia"/>
          <w:sz w:val="28"/>
          <w:szCs w:val="28"/>
        </w:rPr>
        <w:t>工业区与生活区之间的隔离绿带和空地可以满足隔离要求</w:t>
      </w:r>
    </w:p>
    <w:p w14:paraId="3FF3EE11">
      <w:pPr>
        <w:spacing w:line="360" w:lineRule="auto"/>
        <w:ind w:firstLine="560" w:firstLineChars="200"/>
        <w:rPr>
          <w:rFonts w:hint="eastAsia" w:eastAsia="宋体"/>
          <w:sz w:val="28"/>
          <w:szCs w:val="28"/>
          <w:lang w:eastAsia="zh-CN"/>
        </w:rPr>
      </w:pPr>
      <w:r>
        <w:rPr>
          <w:rFonts w:hint="eastAsia"/>
          <w:bCs/>
          <w:sz w:val="28"/>
          <w:szCs w:val="28"/>
        </w:rPr>
        <w:t>4.</w:t>
      </w:r>
      <w:r>
        <w:rPr>
          <w:rFonts w:hint="eastAsia"/>
          <w:sz w:val="28"/>
          <w:szCs w:val="28"/>
        </w:rPr>
        <w:t>在产业园范围内空地和公园作为避难疏散场地</w:t>
      </w:r>
    </w:p>
    <w:p w14:paraId="4E0E6E10">
      <w:pPr>
        <w:pStyle w:val="3"/>
        <w:spacing w:line="360" w:lineRule="auto"/>
        <w:ind w:left="0" w:firstLine="602" w:firstLineChars="200"/>
      </w:pPr>
      <w:bookmarkStart w:id="144" w:name="_Toc30848"/>
      <w:bookmarkStart w:id="145" w:name="_Toc28177"/>
      <w:bookmarkStart w:id="146" w:name="_Toc20786"/>
      <w:bookmarkStart w:id="147" w:name="_Toc32604"/>
      <w:r>
        <w:rPr>
          <w:rFonts w:hint="eastAsia"/>
        </w:rPr>
        <w:t>第十九条</w:t>
      </w:r>
      <w:r>
        <w:rPr>
          <w:rFonts w:hint="eastAsia"/>
          <w:lang w:val="en-US" w:eastAsia="zh-CN"/>
        </w:rPr>
        <w:t xml:space="preserve"> </w:t>
      </w:r>
      <w:r>
        <w:rPr>
          <w:rFonts w:hint="eastAsia"/>
        </w:rPr>
        <w:t>抗震与人防工程消防安全布局</w:t>
      </w:r>
      <w:bookmarkEnd w:id="144"/>
      <w:bookmarkEnd w:id="145"/>
      <w:bookmarkEnd w:id="146"/>
      <w:bookmarkEnd w:id="147"/>
    </w:p>
    <w:p w14:paraId="59277A13">
      <w:pPr>
        <w:spacing w:line="360" w:lineRule="auto"/>
        <w:ind w:firstLine="562" w:firstLineChars="200"/>
        <w:rPr>
          <w:b/>
          <w:bCs/>
          <w:sz w:val="28"/>
          <w:szCs w:val="28"/>
        </w:rPr>
      </w:pPr>
      <w:r>
        <w:rPr>
          <w:rFonts w:hint="eastAsia"/>
          <w:b/>
          <w:bCs/>
          <w:sz w:val="28"/>
          <w:szCs w:val="28"/>
        </w:rPr>
        <w:t>1.设防标准</w:t>
      </w:r>
    </w:p>
    <w:p w14:paraId="54B420E2">
      <w:pPr>
        <w:spacing w:line="360" w:lineRule="auto"/>
        <w:ind w:firstLine="560" w:firstLineChars="200"/>
        <w:rPr>
          <w:sz w:val="28"/>
          <w:szCs w:val="28"/>
        </w:rPr>
      </w:pPr>
      <w:r>
        <w:rPr>
          <w:rFonts w:hint="eastAsia"/>
          <w:sz w:val="28"/>
          <w:szCs w:val="28"/>
        </w:rPr>
        <w:t>化工园区内普通建筑物应按抗震设防烈度6度抗震设防，特殊重要建筑按抗震设防烈度7度设防。</w:t>
      </w:r>
    </w:p>
    <w:p w14:paraId="7009BB7A">
      <w:pPr>
        <w:spacing w:line="360" w:lineRule="auto"/>
        <w:ind w:firstLine="562" w:firstLineChars="200"/>
        <w:rPr>
          <w:sz w:val="28"/>
          <w:szCs w:val="28"/>
        </w:rPr>
      </w:pPr>
      <w:r>
        <w:rPr>
          <w:rFonts w:hint="eastAsia"/>
          <w:b/>
          <w:bCs/>
          <w:sz w:val="28"/>
          <w:szCs w:val="28"/>
        </w:rPr>
        <w:t>2.抗震与人防工程消防安全布局规划</w:t>
      </w:r>
    </w:p>
    <w:p w14:paraId="452B36D3">
      <w:pPr>
        <w:spacing w:line="360" w:lineRule="auto"/>
        <w:ind w:firstLine="560" w:firstLineChars="200"/>
        <w:rPr>
          <w:sz w:val="28"/>
          <w:szCs w:val="28"/>
        </w:rPr>
      </w:pPr>
      <w:r>
        <w:rPr>
          <w:rFonts w:hint="eastAsia"/>
          <w:sz w:val="28"/>
          <w:szCs w:val="28"/>
        </w:rPr>
        <w:t>消防安全布局和公共消防设施建设应与抗震、人防等防灾工作相结合：</w:t>
      </w:r>
    </w:p>
    <w:p w14:paraId="2B8AD4B0">
      <w:pPr>
        <w:spacing w:line="360" w:lineRule="auto"/>
        <w:ind w:firstLine="560" w:firstLineChars="200"/>
        <w:rPr>
          <w:sz w:val="28"/>
          <w:szCs w:val="28"/>
        </w:rPr>
      </w:pPr>
      <w:r>
        <w:rPr>
          <w:rFonts w:hint="eastAsia"/>
          <w:sz w:val="28"/>
          <w:szCs w:val="28"/>
        </w:rPr>
        <w:t>2.1化工园区消防、抗震、防潮、防台等综合防灾设施均应纳入应急管理体系，进行统一的监测、指挥、调度。化工园区消防队伍应建设成为紧急处置各种灾害事故、抢险救援的突击队。</w:t>
      </w:r>
    </w:p>
    <w:p w14:paraId="12D6CA8F">
      <w:pPr>
        <w:spacing w:line="360" w:lineRule="auto"/>
        <w:ind w:firstLine="560" w:firstLineChars="200"/>
        <w:rPr>
          <w:sz w:val="28"/>
          <w:szCs w:val="28"/>
        </w:rPr>
      </w:pPr>
      <w:r>
        <w:rPr>
          <w:rFonts w:hint="eastAsia"/>
          <w:sz w:val="28"/>
          <w:szCs w:val="28"/>
        </w:rPr>
        <w:t>2.2化工园区供水、供电、供气、通讯、交通、急救等防灾生命线工程设施和消防站、消防供水、消防通讯、消防通道等城市公共消防设施</w:t>
      </w:r>
      <w:r>
        <w:rPr>
          <w:rFonts w:hint="eastAsia"/>
          <w:sz w:val="28"/>
          <w:szCs w:val="28"/>
          <w:lang w:eastAsia="zh-CN"/>
        </w:rPr>
        <w:t>，</w:t>
      </w:r>
      <w:r>
        <w:rPr>
          <w:rFonts w:hint="eastAsia"/>
          <w:sz w:val="28"/>
          <w:szCs w:val="28"/>
        </w:rPr>
        <w:t>应按抗震、人防要求和抢险救灾的需要进行规划、设计和建设</w:t>
      </w:r>
      <w:r>
        <w:rPr>
          <w:rFonts w:hint="eastAsia"/>
          <w:sz w:val="28"/>
          <w:szCs w:val="28"/>
          <w:lang w:eastAsia="zh-CN"/>
        </w:rPr>
        <w:t>，</w:t>
      </w:r>
      <w:r>
        <w:rPr>
          <w:rFonts w:hint="eastAsia"/>
          <w:sz w:val="28"/>
          <w:szCs w:val="28"/>
        </w:rPr>
        <w:t>除自身安全防护外，应保证救灾能力和作用。</w:t>
      </w:r>
    </w:p>
    <w:p w14:paraId="676E4630">
      <w:pPr>
        <w:spacing w:line="360" w:lineRule="auto"/>
        <w:ind w:firstLine="560" w:firstLineChars="200"/>
        <w:rPr>
          <w:sz w:val="28"/>
          <w:szCs w:val="28"/>
        </w:rPr>
      </w:pPr>
      <w:r>
        <w:rPr>
          <w:rFonts w:hint="eastAsia"/>
          <w:sz w:val="28"/>
          <w:szCs w:val="28"/>
        </w:rPr>
        <w:t>2.3在消防安全布局上，考虑到地震或战争可能引起城市火灾等二次灾害，对生产、储存易燃易爆化学物品的单位和设施，应严格控制其防火间距</w:t>
      </w:r>
      <w:r>
        <w:rPr>
          <w:rFonts w:hint="eastAsia"/>
          <w:sz w:val="28"/>
          <w:szCs w:val="28"/>
          <w:lang w:eastAsia="zh-CN"/>
        </w:rPr>
        <w:t>，</w:t>
      </w:r>
      <w:r>
        <w:rPr>
          <w:rFonts w:hint="eastAsia"/>
          <w:sz w:val="28"/>
          <w:szCs w:val="28"/>
        </w:rPr>
        <w:t>避免恶性火灾。</w:t>
      </w:r>
    </w:p>
    <w:p w14:paraId="50FA7F43">
      <w:pPr>
        <w:spacing w:line="360" w:lineRule="auto"/>
        <w:ind w:firstLine="560" w:firstLineChars="200"/>
        <w:rPr>
          <w:sz w:val="28"/>
          <w:szCs w:val="28"/>
        </w:rPr>
      </w:pPr>
      <w:r>
        <w:rPr>
          <w:rFonts w:hint="eastAsia"/>
          <w:sz w:val="28"/>
          <w:szCs w:val="28"/>
        </w:rPr>
        <w:t>2.4研究范围内地震、人防等防灾规划所确定的避难、疏散场地（如绿地、公园、广场、道路系统、人防工程等），是化工园区综合防灾体系的重要组成部分，也应作为消防避难、疏散或救灾之用。</w:t>
      </w:r>
    </w:p>
    <w:p w14:paraId="6A77781F">
      <w:pPr>
        <w:spacing w:line="360" w:lineRule="auto"/>
        <w:ind w:firstLine="560" w:firstLineChars="200"/>
        <w:rPr>
          <w:sz w:val="21"/>
          <w:szCs w:val="21"/>
        </w:rPr>
      </w:pPr>
      <w:r>
        <w:rPr>
          <w:rFonts w:hint="eastAsia"/>
          <w:sz w:val="28"/>
          <w:szCs w:val="28"/>
        </w:rPr>
        <w:t>2.5结合抗震、人防等防灾工作，加强全民教育、宣传和定期演练。</w:t>
      </w:r>
    </w:p>
    <w:p w14:paraId="7C5D58B6">
      <w:pPr>
        <w:pStyle w:val="2"/>
        <w:numPr>
          <w:ilvl w:val="0"/>
          <w:numId w:val="1"/>
        </w:numPr>
        <w:spacing w:line="360" w:lineRule="auto"/>
        <w:ind w:left="0" w:firstLine="1807" w:firstLineChars="500"/>
        <w:jc w:val="both"/>
      </w:pPr>
      <w:bookmarkStart w:id="148" w:name="_Toc17459"/>
      <w:bookmarkStart w:id="149" w:name="_Toc7756"/>
      <w:bookmarkStart w:id="150" w:name="_Toc23197"/>
      <w:bookmarkStart w:id="151" w:name="_Toc7311"/>
      <w:bookmarkStart w:id="152" w:name="_Toc20671"/>
      <w:bookmarkStart w:id="153" w:name="_Toc18645"/>
      <w:bookmarkStart w:id="154" w:name="_Toc10335"/>
      <w:bookmarkStart w:id="155" w:name="_Toc684"/>
      <w:bookmarkStart w:id="156" w:name="_Toc3298"/>
      <w:bookmarkStart w:id="157" w:name="_Toc2971"/>
      <w:bookmarkStart w:id="158" w:name="_Toc16656"/>
      <w:r>
        <w:rPr>
          <w:rFonts w:hint="eastAsia"/>
        </w:rPr>
        <w:t>消防站（队）规划</w:t>
      </w:r>
      <w:bookmarkEnd w:id="148"/>
      <w:bookmarkEnd w:id="149"/>
      <w:bookmarkEnd w:id="150"/>
      <w:bookmarkEnd w:id="151"/>
      <w:bookmarkEnd w:id="152"/>
      <w:bookmarkEnd w:id="153"/>
      <w:bookmarkEnd w:id="154"/>
      <w:bookmarkEnd w:id="155"/>
      <w:bookmarkEnd w:id="156"/>
      <w:bookmarkEnd w:id="157"/>
      <w:bookmarkEnd w:id="158"/>
    </w:p>
    <w:p w14:paraId="343D45C5">
      <w:pPr>
        <w:pStyle w:val="2"/>
        <w:ind w:left="1100" w:leftChars="500"/>
        <w:jc w:val="both"/>
        <w:rPr>
          <w:sz w:val="21"/>
          <w:szCs w:val="21"/>
        </w:rPr>
      </w:pPr>
    </w:p>
    <w:p w14:paraId="463228E9">
      <w:pPr>
        <w:pStyle w:val="3"/>
        <w:spacing w:line="360" w:lineRule="auto"/>
        <w:ind w:left="0" w:firstLine="602" w:firstLineChars="200"/>
      </w:pPr>
      <w:bookmarkStart w:id="159" w:name="_Toc11565"/>
      <w:bookmarkStart w:id="160" w:name="_Toc2254"/>
      <w:bookmarkStart w:id="161" w:name="_Toc1305"/>
      <w:bookmarkStart w:id="162" w:name="_Toc14049"/>
      <w:bookmarkStart w:id="163" w:name="_Toc29373"/>
      <w:bookmarkStart w:id="164" w:name="_Toc16811"/>
      <w:r>
        <w:rPr>
          <w:rFonts w:hint="eastAsia"/>
        </w:rPr>
        <w:t>第二十条</w:t>
      </w:r>
      <w:r>
        <w:rPr>
          <w:rFonts w:hint="eastAsia"/>
          <w:lang w:val="en-US" w:eastAsia="zh-CN"/>
        </w:rPr>
        <w:t xml:space="preserve"> </w:t>
      </w:r>
      <w:r>
        <w:rPr>
          <w:rFonts w:hint="eastAsia"/>
        </w:rPr>
        <w:t>消防站设置原则及选址原则</w:t>
      </w:r>
      <w:bookmarkEnd w:id="159"/>
      <w:bookmarkEnd w:id="160"/>
      <w:bookmarkEnd w:id="161"/>
      <w:bookmarkEnd w:id="162"/>
      <w:bookmarkEnd w:id="163"/>
      <w:bookmarkEnd w:id="164"/>
    </w:p>
    <w:p w14:paraId="02A906B6">
      <w:pPr>
        <w:spacing w:line="360" w:lineRule="auto"/>
        <w:ind w:firstLine="562" w:firstLineChars="200"/>
        <w:rPr>
          <w:b/>
          <w:bCs/>
          <w:sz w:val="28"/>
          <w:szCs w:val="28"/>
        </w:rPr>
      </w:pPr>
      <w:r>
        <w:rPr>
          <w:rFonts w:hint="eastAsia"/>
          <w:b/>
          <w:bCs/>
          <w:sz w:val="28"/>
          <w:szCs w:val="28"/>
        </w:rPr>
        <w:t>1.设置原则</w:t>
      </w:r>
    </w:p>
    <w:p w14:paraId="38264FEA">
      <w:pPr>
        <w:spacing w:line="360" w:lineRule="auto"/>
        <w:ind w:firstLine="560" w:firstLineChars="200"/>
        <w:rPr>
          <w:sz w:val="28"/>
          <w:szCs w:val="28"/>
        </w:rPr>
      </w:pPr>
      <w:r>
        <w:rPr>
          <w:rFonts w:hint="eastAsia"/>
          <w:sz w:val="28"/>
          <w:szCs w:val="28"/>
        </w:rPr>
        <w:t>1.1辖区设置原则</w:t>
      </w:r>
    </w:p>
    <w:p w14:paraId="5BC13ED0">
      <w:pPr>
        <w:spacing w:line="360" w:lineRule="auto"/>
        <w:ind w:firstLine="560" w:firstLineChars="200"/>
        <w:rPr>
          <w:sz w:val="28"/>
          <w:szCs w:val="28"/>
        </w:rPr>
      </w:pPr>
      <w:r>
        <w:rPr>
          <w:rFonts w:hint="eastAsia"/>
          <w:sz w:val="28"/>
          <w:szCs w:val="28"/>
        </w:rPr>
        <w:t>（1）化工园区内消防站布局应以消防队接到出动指令后5分钟内可以到达其辖区边缘为原则确定，辖区面积不应大于15平方公里。</w:t>
      </w:r>
    </w:p>
    <w:p w14:paraId="3C33E16B">
      <w:pPr>
        <w:spacing w:line="360" w:lineRule="auto"/>
        <w:ind w:firstLine="560" w:firstLineChars="200"/>
        <w:rPr>
          <w:sz w:val="28"/>
          <w:szCs w:val="28"/>
        </w:rPr>
      </w:pPr>
      <w:r>
        <w:rPr>
          <w:rFonts w:hint="eastAsia"/>
          <w:sz w:val="28"/>
          <w:szCs w:val="28"/>
        </w:rPr>
        <w:t>（2）消防站辖区划定应结合地域特点、地形条件和火灾风险等，兼顾现状消防站辖区，不宜跨越高速公路、城市快速路、铁路干线和较大的河流水面。当受地形条件限制，被高速公路、城市快速路、铁路干线和较大的河流分隔，年平均风力在3级以上或相对湿度在50%以下的地区，应适当缩小消防站辖区面积。</w:t>
      </w:r>
    </w:p>
    <w:p w14:paraId="17CF0EE7">
      <w:pPr>
        <w:spacing w:line="360" w:lineRule="auto"/>
        <w:ind w:firstLine="560" w:firstLineChars="200"/>
        <w:rPr>
          <w:sz w:val="28"/>
          <w:szCs w:val="28"/>
        </w:rPr>
      </w:pPr>
      <w:r>
        <w:rPr>
          <w:rFonts w:hint="eastAsia"/>
          <w:sz w:val="28"/>
          <w:szCs w:val="28"/>
        </w:rPr>
        <w:t>1.2用地标准</w:t>
      </w:r>
    </w:p>
    <w:p w14:paraId="13E5A0B1">
      <w:pPr>
        <w:spacing w:line="360" w:lineRule="auto"/>
        <w:ind w:firstLine="560" w:firstLineChars="200"/>
        <w:rPr>
          <w:sz w:val="28"/>
          <w:szCs w:val="28"/>
        </w:rPr>
      </w:pPr>
      <w:r>
        <w:rPr>
          <w:rFonts w:hint="eastAsia"/>
          <w:sz w:val="28"/>
          <w:szCs w:val="28"/>
        </w:rPr>
        <w:t>本次规划新增消防站均为特勤消防站，用地面积控制不小于5600平方米（面积未包含站内消防车道、绿化用地面积，在确定消防站建设用地总面积时，可按0.5～0.6的容积率进行测算），消防大队行政办公楼可单独选址建设或与辖区消防站合建，与消防站合建的，应根据实际建设需要合理确定建设用地面积。</w:t>
      </w:r>
    </w:p>
    <w:p w14:paraId="28E40B78">
      <w:pPr>
        <w:spacing w:line="360" w:lineRule="auto"/>
        <w:ind w:firstLine="560" w:firstLineChars="200"/>
        <w:rPr>
          <w:sz w:val="28"/>
          <w:szCs w:val="28"/>
        </w:rPr>
      </w:pPr>
      <w:r>
        <w:rPr>
          <w:rFonts w:hint="eastAsia"/>
          <w:sz w:val="28"/>
          <w:szCs w:val="28"/>
        </w:rPr>
        <w:t>1.3人员配置标准</w:t>
      </w:r>
    </w:p>
    <w:p w14:paraId="239A0D43">
      <w:pPr>
        <w:spacing w:line="360" w:lineRule="auto"/>
        <w:ind w:firstLine="560" w:firstLineChars="200"/>
        <w:rPr>
          <w:sz w:val="28"/>
          <w:szCs w:val="28"/>
        </w:rPr>
      </w:pPr>
      <w:r>
        <w:rPr>
          <w:rFonts w:hint="eastAsia"/>
          <w:sz w:val="28"/>
          <w:szCs w:val="28"/>
        </w:rPr>
        <w:t>特勤消防站人员配备数量应符合：特勤消防站45～60人。消防站一个班次执勤人员配备，可按所配消防车每台平均定员6人确定，其他人员配备应按有关规定执行。</w:t>
      </w:r>
    </w:p>
    <w:p w14:paraId="402AF5FC">
      <w:pPr>
        <w:pStyle w:val="5"/>
        <w:spacing w:line="360" w:lineRule="auto"/>
        <w:ind w:firstLine="562" w:firstLineChars="200"/>
        <w:rPr>
          <w:b/>
          <w:bCs/>
          <w:sz w:val="28"/>
          <w:szCs w:val="28"/>
        </w:rPr>
      </w:pPr>
      <w:r>
        <w:rPr>
          <w:rFonts w:hint="eastAsia"/>
          <w:b/>
          <w:bCs/>
          <w:sz w:val="28"/>
          <w:szCs w:val="28"/>
        </w:rPr>
        <w:t>2</w:t>
      </w:r>
      <w:r>
        <w:rPr>
          <w:rFonts w:hint="eastAsia"/>
          <w:b/>
          <w:bCs/>
          <w:sz w:val="28"/>
          <w:szCs w:val="28"/>
          <w:lang w:val="en-US" w:eastAsia="zh-CN"/>
        </w:rPr>
        <w:t>.</w:t>
      </w:r>
      <w:r>
        <w:rPr>
          <w:rFonts w:hint="eastAsia"/>
          <w:b/>
          <w:bCs/>
          <w:sz w:val="28"/>
          <w:szCs w:val="28"/>
        </w:rPr>
        <w:t>选址原则</w:t>
      </w:r>
    </w:p>
    <w:p w14:paraId="7254D47C">
      <w:pPr>
        <w:spacing w:line="360" w:lineRule="auto"/>
        <w:ind w:firstLine="560" w:firstLineChars="200"/>
        <w:rPr>
          <w:sz w:val="28"/>
          <w:szCs w:val="28"/>
        </w:rPr>
      </w:pPr>
      <w:r>
        <w:rPr>
          <w:rFonts w:hint="eastAsia"/>
          <w:sz w:val="28"/>
          <w:szCs w:val="28"/>
        </w:rPr>
        <w:t>2.1消防站应设置在便于消防车辆迅速出动的主、次干道的临街地段。</w:t>
      </w:r>
    </w:p>
    <w:p w14:paraId="13255F18">
      <w:pPr>
        <w:spacing w:line="360" w:lineRule="auto"/>
        <w:ind w:firstLine="560" w:firstLineChars="200"/>
        <w:rPr>
          <w:sz w:val="28"/>
          <w:szCs w:val="28"/>
        </w:rPr>
      </w:pPr>
      <w:r>
        <w:rPr>
          <w:rFonts w:hint="eastAsia"/>
          <w:sz w:val="28"/>
          <w:szCs w:val="28"/>
        </w:rPr>
        <w:t>消防站应设置在油罐区、化工生产区等危险品场所或设施的常年主导风向的上风或侧风处，且用地边界距危险品部位不应小于300米。特殊情况下，不能满足上述要求时，应设置防爆墙等防爆措施。</w:t>
      </w:r>
    </w:p>
    <w:p w14:paraId="0FB87148">
      <w:pPr>
        <w:spacing w:line="360" w:lineRule="auto"/>
        <w:ind w:firstLine="560" w:firstLineChars="200"/>
        <w:rPr>
          <w:sz w:val="28"/>
          <w:szCs w:val="28"/>
        </w:rPr>
      </w:pPr>
      <w:r>
        <w:rPr>
          <w:rFonts w:hint="eastAsia"/>
          <w:sz w:val="28"/>
          <w:szCs w:val="28"/>
        </w:rPr>
        <w:t>2.2消防站车库门应朝向城市干路，至规划道路红线的距离不应小于15米。</w:t>
      </w:r>
    </w:p>
    <w:p w14:paraId="767C6898">
      <w:pPr>
        <w:spacing w:line="360" w:lineRule="auto"/>
        <w:ind w:firstLine="560" w:firstLineChars="200"/>
        <w:rPr>
          <w:sz w:val="28"/>
          <w:szCs w:val="28"/>
        </w:rPr>
      </w:pPr>
      <w:r>
        <w:rPr>
          <w:rFonts w:hint="eastAsia"/>
          <w:sz w:val="28"/>
          <w:szCs w:val="28"/>
        </w:rPr>
        <w:t>2.3消防站的选址应避开地震活动断层、洪水威胁区以及可能发生山体崩塌、滑坡、泥石流等地质灾害危险地带。</w:t>
      </w:r>
    </w:p>
    <w:p w14:paraId="38708B2B">
      <w:pPr>
        <w:spacing w:line="360" w:lineRule="auto"/>
        <w:ind w:firstLine="560" w:firstLineChars="200"/>
        <w:rPr>
          <w:sz w:val="21"/>
          <w:szCs w:val="21"/>
        </w:rPr>
      </w:pPr>
      <w:r>
        <w:rPr>
          <w:rFonts w:hint="eastAsia"/>
          <w:sz w:val="28"/>
          <w:szCs w:val="28"/>
        </w:rPr>
        <w:t>2.4消防站的选址和建设应符合国土空间总体规划和化工园区规划。</w:t>
      </w:r>
      <w:bookmarkStart w:id="165" w:name="_Toc14436"/>
      <w:bookmarkStart w:id="166" w:name="_Toc28551"/>
      <w:bookmarkStart w:id="167" w:name="_Toc1342"/>
      <w:bookmarkStart w:id="168" w:name="_Toc11049"/>
      <w:bookmarkStart w:id="169" w:name="_Toc31381"/>
    </w:p>
    <w:p w14:paraId="7BF02F90">
      <w:pPr>
        <w:pStyle w:val="3"/>
        <w:spacing w:line="360" w:lineRule="auto"/>
        <w:ind w:left="0" w:firstLine="602" w:firstLineChars="200"/>
      </w:pPr>
      <w:bookmarkStart w:id="170" w:name="_Toc11738"/>
      <w:r>
        <w:rPr>
          <w:rFonts w:hint="eastAsia"/>
        </w:rPr>
        <w:t>第二十一条　化工区消防站设置标准及选址原则</w:t>
      </w:r>
      <w:bookmarkEnd w:id="165"/>
      <w:bookmarkEnd w:id="166"/>
      <w:bookmarkEnd w:id="167"/>
      <w:bookmarkEnd w:id="168"/>
      <w:bookmarkEnd w:id="169"/>
      <w:bookmarkEnd w:id="170"/>
    </w:p>
    <w:p w14:paraId="6889E6AC">
      <w:pPr>
        <w:pStyle w:val="5"/>
        <w:spacing w:line="360" w:lineRule="auto"/>
        <w:ind w:firstLine="562" w:firstLineChars="200"/>
        <w:rPr>
          <w:b/>
          <w:bCs/>
          <w:sz w:val="28"/>
          <w:szCs w:val="28"/>
        </w:rPr>
      </w:pPr>
      <w:r>
        <w:rPr>
          <w:rFonts w:hint="eastAsia"/>
          <w:b/>
          <w:bCs/>
          <w:sz w:val="28"/>
          <w:szCs w:val="28"/>
        </w:rPr>
        <w:t>1.设置标准</w:t>
      </w:r>
    </w:p>
    <w:p w14:paraId="3040EFAB">
      <w:pPr>
        <w:spacing w:line="360" w:lineRule="auto"/>
        <w:ind w:firstLine="560" w:firstLineChars="200"/>
        <w:rPr>
          <w:sz w:val="28"/>
          <w:szCs w:val="28"/>
        </w:rPr>
      </w:pPr>
      <w:r>
        <w:rPr>
          <w:rFonts w:hint="eastAsia"/>
          <w:sz w:val="28"/>
          <w:szCs w:val="28"/>
        </w:rPr>
        <w:t>1.1石油化工</w:t>
      </w:r>
      <w:r>
        <w:rPr>
          <w:rFonts w:hint="eastAsia"/>
          <w:sz w:val="28"/>
          <w:szCs w:val="28"/>
          <w:lang w:eastAsia="zh-CN"/>
        </w:rPr>
        <w:t>（</w:t>
      </w:r>
      <w:r>
        <w:rPr>
          <w:rFonts w:hint="eastAsia"/>
          <w:sz w:val="28"/>
          <w:szCs w:val="28"/>
        </w:rPr>
        <w:t>包括煤化工</w:t>
      </w:r>
      <w:r>
        <w:rPr>
          <w:rFonts w:hint="eastAsia"/>
          <w:sz w:val="28"/>
          <w:szCs w:val="28"/>
          <w:lang w:eastAsia="zh-CN"/>
        </w:rPr>
        <w:t>）</w:t>
      </w:r>
      <w:r>
        <w:rPr>
          <w:rFonts w:hint="eastAsia"/>
          <w:sz w:val="28"/>
          <w:szCs w:val="28"/>
        </w:rPr>
        <w:t>为主导产业的化工园区，消防站应不低于《城市消防站建设标准》</w:t>
      </w:r>
      <w:r>
        <w:rPr>
          <w:rFonts w:hint="eastAsia"/>
          <w:sz w:val="28"/>
          <w:szCs w:val="28"/>
          <w:lang w:eastAsia="zh-CN"/>
        </w:rPr>
        <w:t>（</w:t>
      </w:r>
      <w:r>
        <w:rPr>
          <w:rFonts w:hint="eastAsia"/>
          <w:sz w:val="28"/>
          <w:szCs w:val="28"/>
        </w:rPr>
        <w:t>建标152-2017</w:t>
      </w:r>
      <w:r>
        <w:rPr>
          <w:rFonts w:hint="eastAsia"/>
          <w:sz w:val="28"/>
          <w:szCs w:val="28"/>
          <w:lang w:eastAsia="zh-CN"/>
        </w:rPr>
        <w:t>）</w:t>
      </w:r>
      <w:r>
        <w:rPr>
          <w:rFonts w:hint="eastAsia"/>
          <w:sz w:val="28"/>
          <w:szCs w:val="28"/>
        </w:rPr>
        <w:t>中特勤消防站标准</w:t>
      </w:r>
      <w:r>
        <w:rPr>
          <w:rFonts w:hint="eastAsia"/>
          <w:sz w:val="28"/>
          <w:szCs w:val="28"/>
          <w:lang w:eastAsia="zh-CN"/>
        </w:rPr>
        <w:t>；</w:t>
      </w:r>
      <w:r>
        <w:rPr>
          <w:rFonts w:hint="eastAsia"/>
          <w:sz w:val="28"/>
          <w:szCs w:val="28"/>
        </w:rPr>
        <w:t>精细化工、基础化工、新材料等为主导产业的化工园区，消防站应不低于一级站标准。化工园区内企业专职消防队装备及救援能力相对较强且满足消防站等级和保护距离要求时，可以在布局上作为化工园区消防站综合考虑。</w:t>
      </w:r>
    </w:p>
    <w:p w14:paraId="2F015584">
      <w:pPr>
        <w:pStyle w:val="4"/>
        <w:spacing w:line="360" w:lineRule="auto"/>
        <w:ind w:firstLine="560" w:firstLineChars="200"/>
        <w:rPr>
          <w:sz w:val="28"/>
          <w:szCs w:val="28"/>
        </w:rPr>
      </w:pPr>
      <w:r>
        <w:rPr>
          <w:rFonts w:hint="eastAsia"/>
          <w:sz w:val="28"/>
          <w:szCs w:val="28"/>
        </w:rPr>
        <w:t>1.2消防站布局：</w:t>
      </w:r>
    </w:p>
    <w:p w14:paraId="4FFE4263">
      <w:pPr>
        <w:pStyle w:val="4"/>
        <w:spacing w:line="360" w:lineRule="auto"/>
        <w:ind w:firstLine="560" w:firstLineChars="200"/>
        <w:rPr>
          <w:rFonts w:hint="eastAsia" w:eastAsia="宋体"/>
          <w:color w:val="000000"/>
          <w:sz w:val="28"/>
          <w:szCs w:val="28"/>
          <w:lang w:eastAsia="zh-CN"/>
        </w:rPr>
      </w:pPr>
      <w:r>
        <w:rPr>
          <w:rFonts w:hint="eastAsia"/>
          <w:color w:val="000000"/>
          <w:sz w:val="28"/>
          <w:szCs w:val="28"/>
        </w:rPr>
        <w:t>（1）石油化工企业、煤化工企业、石油库和石油储备库、大型</w:t>
      </w:r>
      <w:r>
        <w:rPr>
          <w:color w:val="000000"/>
          <w:sz w:val="28"/>
          <w:szCs w:val="28"/>
        </w:rPr>
        <w:t>LNG</w:t>
      </w:r>
      <w:r>
        <w:rPr>
          <w:rFonts w:hint="eastAsia"/>
          <w:color w:val="000000"/>
          <w:sz w:val="28"/>
          <w:szCs w:val="28"/>
        </w:rPr>
        <w:t>接收站、</w:t>
      </w:r>
      <w:r>
        <w:rPr>
          <w:color w:val="000000"/>
          <w:sz w:val="28"/>
          <w:szCs w:val="28"/>
        </w:rPr>
        <w:t>LPG</w:t>
      </w:r>
      <w:r>
        <w:rPr>
          <w:rFonts w:hint="eastAsia"/>
          <w:color w:val="000000"/>
          <w:sz w:val="28"/>
          <w:szCs w:val="28"/>
        </w:rPr>
        <w:t>储存企业应以接到火灾报警后</w:t>
      </w:r>
      <w:r>
        <w:rPr>
          <w:color w:val="000000"/>
          <w:sz w:val="28"/>
          <w:szCs w:val="28"/>
        </w:rPr>
        <w:t>5min</w:t>
      </w:r>
      <w:r>
        <w:rPr>
          <w:rFonts w:hint="eastAsia"/>
          <w:color w:val="000000"/>
          <w:sz w:val="28"/>
          <w:szCs w:val="28"/>
        </w:rPr>
        <w:t>内到达责任区边缘或最大行车距离不超过</w:t>
      </w:r>
      <w:r>
        <w:rPr>
          <w:color w:val="000000"/>
          <w:sz w:val="28"/>
          <w:szCs w:val="28"/>
        </w:rPr>
        <w:t>2.5</w:t>
      </w:r>
      <w:r>
        <w:rPr>
          <w:rFonts w:hint="eastAsia"/>
          <w:color w:val="000000"/>
          <w:sz w:val="28"/>
          <w:szCs w:val="28"/>
        </w:rPr>
        <w:t>公里为原则确定。</w:t>
      </w:r>
    </w:p>
    <w:p w14:paraId="65ADF49F">
      <w:pPr>
        <w:pStyle w:val="4"/>
        <w:spacing w:line="360" w:lineRule="auto"/>
        <w:ind w:firstLine="560" w:firstLineChars="200"/>
        <w:rPr>
          <w:rFonts w:hint="eastAsia" w:eastAsia="宋体"/>
          <w:sz w:val="28"/>
          <w:szCs w:val="28"/>
          <w:lang w:eastAsia="zh-CN"/>
        </w:rPr>
      </w:pPr>
      <w:r>
        <w:rPr>
          <w:rFonts w:hint="eastAsia"/>
          <w:color w:val="000000"/>
          <w:sz w:val="28"/>
          <w:szCs w:val="28"/>
        </w:rPr>
        <w:t>（</w:t>
      </w:r>
      <w:r>
        <w:rPr>
          <w:color w:val="000000"/>
          <w:sz w:val="28"/>
          <w:szCs w:val="28"/>
        </w:rPr>
        <w:t>2</w:t>
      </w:r>
      <w:r>
        <w:rPr>
          <w:rFonts w:hint="eastAsia"/>
          <w:color w:val="000000"/>
          <w:sz w:val="28"/>
          <w:szCs w:val="28"/>
        </w:rPr>
        <w:t>）石油天然气企业按照行车时间</w:t>
      </w:r>
      <w:r>
        <w:rPr>
          <w:color w:val="000000"/>
          <w:sz w:val="28"/>
          <w:szCs w:val="28"/>
        </w:rPr>
        <w:t>30</w:t>
      </w:r>
      <w:r>
        <w:rPr>
          <w:rFonts w:hint="eastAsia"/>
          <w:color w:val="000000"/>
          <w:sz w:val="28"/>
          <w:szCs w:val="28"/>
        </w:rPr>
        <w:t>分钟能够到达油气田主要站场的原则确定。</w:t>
      </w:r>
    </w:p>
    <w:p w14:paraId="157D471D">
      <w:pPr>
        <w:pStyle w:val="5"/>
        <w:spacing w:line="360" w:lineRule="auto"/>
        <w:ind w:firstLine="562" w:firstLineChars="200"/>
        <w:rPr>
          <w:b/>
          <w:bCs/>
          <w:sz w:val="28"/>
          <w:szCs w:val="28"/>
        </w:rPr>
      </w:pPr>
      <w:r>
        <w:rPr>
          <w:rFonts w:hint="eastAsia"/>
          <w:b/>
          <w:bCs/>
          <w:sz w:val="28"/>
          <w:szCs w:val="28"/>
        </w:rPr>
        <w:t>2.选址原则</w:t>
      </w:r>
    </w:p>
    <w:p w14:paraId="3CAC0F9D">
      <w:pPr>
        <w:spacing w:line="360" w:lineRule="auto"/>
        <w:ind w:firstLine="560" w:firstLineChars="200"/>
        <w:rPr>
          <w:sz w:val="28"/>
          <w:szCs w:val="28"/>
        </w:rPr>
      </w:pPr>
      <w:r>
        <w:rPr>
          <w:rFonts w:hint="eastAsia"/>
          <w:sz w:val="28"/>
          <w:szCs w:val="28"/>
        </w:rPr>
        <w:t>2.1消防站应靠近化工园区，与作业区预留足够的安全距离或设置安全隔离带，避开水流不稳定水域。</w:t>
      </w:r>
    </w:p>
    <w:p w14:paraId="11F7A616">
      <w:pPr>
        <w:spacing w:line="360" w:lineRule="auto"/>
        <w:ind w:firstLine="560" w:firstLineChars="200"/>
        <w:rPr>
          <w:sz w:val="21"/>
          <w:szCs w:val="21"/>
        </w:rPr>
      </w:pPr>
      <w:r>
        <w:rPr>
          <w:rFonts w:hint="eastAsia"/>
          <w:sz w:val="28"/>
          <w:szCs w:val="28"/>
        </w:rPr>
        <w:t>2.2当消防站辖区内有危险品，沿岸有危险品场所或设施时，消防站及其基地边界距危险品部位不应小于300米。</w:t>
      </w:r>
    </w:p>
    <w:p w14:paraId="4D643E31">
      <w:pPr>
        <w:pStyle w:val="3"/>
        <w:spacing w:line="360" w:lineRule="auto"/>
        <w:ind w:left="0" w:firstLine="602" w:firstLineChars="200"/>
      </w:pPr>
      <w:bookmarkStart w:id="171" w:name="_Toc25598"/>
      <w:bookmarkStart w:id="172" w:name="_Toc23248"/>
      <w:bookmarkStart w:id="173" w:name="_Toc5134"/>
      <w:bookmarkStart w:id="174" w:name="_Toc23024"/>
      <w:bookmarkStart w:id="175" w:name="_Toc5389"/>
      <w:bookmarkStart w:id="176" w:name="_Toc24842"/>
      <w:r>
        <w:rPr>
          <w:rFonts w:hint="eastAsia"/>
        </w:rPr>
        <w:t>第二十二条　消防站布局及责任区规划</w:t>
      </w:r>
      <w:bookmarkEnd w:id="171"/>
      <w:bookmarkEnd w:id="172"/>
      <w:bookmarkEnd w:id="173"/>
      <w:bookmarkEnd w:id="174"/>
      <w:bookmarkEnd w:id="175"/>
      <w:bookmarkEnd w:id="176"/>
    </w:p>
    <w:p w14:paraId="2970FE09">
      <w:pPr>
        <w:pStyle w:val="5"/>
        <w:spacing w:line="360" w:lineRule="auto"/>
        <w:ind w:firstLine="562" w:firstLineChars="200"/>
        <w:rPr>
          <w:b/>
          <w:bCs/>
          <w:sz w:val="28"/>
          <w:szCs w:val="28"/>
        </w:rPr>
      </w:pPr>
      <w:r>
        <w:rPr>
          <w:rFonts w:hint="eastAsia"/>
          <w:b/>
          <w:bCs/>
          <w:sz w:val="28"/>
          <w:szCs w:val="28"/>
        </w:rPr>
        <w:t>1.化工园区对消防站布局的特殊要求</w:t>
      </w:r>
    </w:p>
    <w:p w14:paraId="36BBEE64">
      <w:pPr>
        <w:spacing w:line="360" w:lineRule="auto"/>
        <w:ind w:firstLine="560" w:firstLineChars="200"/>
        <w:rPr>
          <w:sz w:val="28"/>
          <w:szCs w:val="28"/>
        </w:rPr>
      </w:pPr>
      <w:r>
        <w:rPr>
          <w:rFonts w:hint="eastAsia"/>
          <w:sz w:val="28"/>
          <w:szCs w:val="28"/>
        </w:rPr>
        <w:t>1.1强化特勤消防站建设</w:t>
      </w:r>
    </w:p>
    <w:p w14:paraId="5A6540F2">
      <w:pPr>
        <w:spacing w:line="360" w:lineRule="auto"/>
        <w:ind w:firstLine="560" w:firstLineChars="200"/>
        <w:rPr>
          <w:sz w:val="28"/>
          <w:szCs w:val="28"/>
        </w:rPr>
      </w:pPr>
      <w:r>
        <w:rPr>
          <w:rFonts w:hint="eastAsia"/>
          <w:sz w:val="28"/>
          <w:szCs w:val="28"/>
        </w:rPr>
        <w:t>因化工园区的特殊性，危化企业数量多，影响范围广，发生特殊火灾和大型灾害事故风险高，须强化特勤消防站建设。</w:t>
      </w:r>
    </w:p>
    <w:p w14:paraId="29EE1B42">
      <w:pPr>
        <w:spacing w:line="360" w:lineRule="auto"/>
        <w:ind w:firstLine="560" w:firstLineChars="200"/>
        <w:rPr>
          <w:sz w:val="28"/>
          <w:szCs w:val="28"/>
        </w:rPr>
      </w:pPr>
      <w:r>
        <w:rPr>
          <w:rFonts w:hint="eastAsia"/>
          <w:sz w:val="28"/>
          <w:szCs w:val="28"/>
        </w:rPr>
        <w:t>此外，特勤消防站不仅是城市处理特殊火灾灾害事故和救援抢险任务的主力军，也是跨区域联合消防和应急救援的中坚力量，因此特勤消防站要从营房设施、装备设施、训练场地、人员配备等方面，按照《城市消防站建设标准》实施，并结合本化工园区的消防救援任务特点，强化相应的设施配套，形成具有区域救援能力的特勤消防力量。</w:t>
      </w:r>
    </w:p>
    <w:p w14:paraId="36806059">
      <w:pPr>
        <w:spacing w:line="360" w:lineRule="auto"/>
        <w:ind w:firstLine="560" w:firstLineChars="200"/>
        <w:rPr>
          <w:sz w:val="28"/>
          <w:szCs w:val="28"/>
        </w:rPr>
      </w:pPr>
      <w:r>
        <w:rPr>
          <w:rFonts w:hint="eastAsia"/>
          <w:sz w:val="28"/>
          <w:szCs w:val="28"/>
        </w:rPr>
        <w:t>1.2监督落实企业消防站建设</w:t>
      </w:r>
    </w:p>
    <w:p w14:paraId="100D6A23">
      <w:pPr>
        <w:spacing w:line="360" w:lineRule="auto"/>
        <w:ind w:firstLine="560" w:firstLineChars="200"/>
        <w:rPr>
          <w:sz w:val="28"/>
          <w:szCs w:val="28"/>
        </w:rPr>
      </w:pPr>
      <w:r>
        <w:rPr>
          <w:rFonts w:hint="eastAsia"/>
          <w:sz w:val="28"/>
          <w:szCs w:val="28"/>
        </w:rPr>
        <w:t>大型发电厂以及加油加气站、油气储备库等生产、储存易燃易爆危险化学品的大中型石油化工企业应设企业专职消防队。消防站的规模、等级应根据石油化工企业的规模、火灾危险性、固定消防设施的设置情况，以及邻近单位消防协作条件等因素确定。</w:t>
      </w:r>
    </w:p>
    <w:p w14:paraId="1AAB0BD9">
      <w:pPr>
        <w:spacing w:line="360" w:lineRule="auto"/>
        <w:ind w:firstLine="560" w:firstLineChars="200"/>
        <w:rPr>
          <w:sz w:val="28"/>
          <w:szCs w:val="28"/>
        </w:rPr>
      </w:pPr>
      <w:r>
        <w:rPr>
          <w:rFonts w:hint="eastAsia"/>
          <w:sz w:val="28"/>
          <w:szCs w:val="28"/>
        </w:rPr>
        <w:t>1.3适当推行企业小（微）型消防站建设</w:t>
      </w:r>
    </w:p>
    <w:p w14:paraId="7F8F3D02">
      <w:pPr>
        <w:spacing w:line="360" w:lineRule="auto"/>
        <w:ind w:firstLine="560" w:firstLineChars="200"/>
        <w:rPr>
          <w:sz w:val="28"/>
          <w:szCs w:val="28"/>
        </w:rPr>
      </w:pPr>
      <w:r>
        <w:rPr>
          <w:rFonts w:hint="eastAsia"/>
          <w:sz w:val="28"/>
          <w:szCs w:val="28"/>
        </w:rPr>
        <w:t>除大中型石油化工企业外，其它企业应大力推广小（微）型消防站建设。小（微）型消防站不配备训练场，只有车库宿舍和办公区，占地面积可以控制在数百平米内。小（微）型消防站可只配备一辆消防车，但须有效缩短灭火救援路程半径及赶到时间，在灭火救援中主要发挥其“小、快、灵”的特点。</w:t>
      </w:r>
    </w:p>
    <w:p w14:paraId="2609B919">
      <w:pPr>
        <w:spacing w:line="360" w:lineRule="auto"/>
        <w:ind w:firstLine="560" w:firstLineChars="200"/>
        <w:rPr>
          <w:sz w:val="28"/>
          <w:szCs w:val="28"/>
        </w:rPr>
      </w:pPr>
      <w:r>
        <w:rPr>
          <w:rFonts w:hint="eastAsia"/>
          <w:sz w:val="28"/>
          <w:szCs w:val="28"/>
        </w:rPr>
        <w:t>1.4消防站布局应充分考虑产业分区、企业出入口及敏感点空间区位除满足消防站设置标准外，消防站布局充分结合《鄂尔多斯杭锦经济开发区总体规划（2021-2035年）》中的十个产业分区、企业用地范围及其出入口以及油罐区、化工生产区等敏感点空间区位，确保消防站能快速到达相应的责任区。另外，消防站用地避免选址在已批用地、拟建用地，确保落地实施。</w:t>
      </w:r>
    </w:p>
    <w:p w14:paraId="40C6E132">
      <w:pPr>
        <w:pStyle w:val="5"/>
        <w:spacing w:line="360" w:lineRule="auto"/>
        <w:ind w:firstLine="562" w:firstLineChars="200"/>
        <w:rPr>
          <w:b/>
          <w:bCs/>
          <w:sz w:val="28"/>
          <w:szCs w:val="28"/>
        </w:rPr>
      </w:pPr>
      <w:r>
        <w:rPr>
          <w:rFonts w:hint="eastAsia"/>
          <w:b/>
          <w:bCs/>
          <w:sz w:val="28"/>
          <w:szCs w:val="28"/>
        </w:rPr>
        <w:t>2.消防站布局及责任区划分</w:t>
      </w:r>
    </w:p>
    <w:p w14:paraId="2FFB358C">
      <w:pPr>
        <w:spacing w:line="360" w:lineRule="auto"/>
        <w:ind w:firstLine="560" w:firstLineChars="200"/>
        <w:rPr>
          <w:sz w:val="21"/>
          <w:szCs w:val="21"/>
        </w:rPr>
      </w:pPr>
      <w:r>
        <w:rPr>
          <w:rFonts w:hint="eastAsia"/>
          <w:sz w:val="28"/>
          <w:szCs w:val="28"/>
        </w:rPr>
        <w:t>规划化工园区范围内共设置消防站5座，3座为现有消防站升级改造后达到特勤站要求，并根据发展情况补充新建2座消防站。</w:t>
      </w:r>
      <w:bookmarkStart w:id="177" w:name="_Toc6865"/>
      <w:bookmarkStart w:id="178" w:name="_Toc2901"/>
      <w:bookmarkStart w:id="179" w:name="_Toc7512"/>
      <w:bookmarkStart w:id="180" w:name="_Toc349"/>
      <w:bookmarkStart w:id="181" w:name="_Toc17417"/>
    </w:p>
    <w:p w14:paraId="4B565EB4">
      <w:pPr>
        <w:pStyle w:val="3"/>
        <w:spacing w:line="360" w:lineRule="auto"/>
        <w:ind w:left="0" w:firstLine="602" w:firstLineChars="200"/>
      </w:pPr>
      <w:bookmarkStart w:id="182" w:name="_Toc17046"/>
      <w:r>
        <w:rPr>
          <w:rFonts w:hint="eastAsia"/>
        </w:rPr>
        <w:t>第二十三条　多站联动机制</w:t>
      </w:r>
      <w:bookmarkEnd w:id="177"/>
      <w:bookmarkEnd w:id="178"/>
      <w:bookmarkEnd w:id="179"/>
      <w:bookmarkEnd w:id="180"/>
      <w:bookmarkEnd w:id="181"/>
      <w:bookmarkEnd w:id="182"/>
    </w:p>
    <w:p w14:paraId="18569A21">
      <w:pPr>
        <w:spacing w:line="360" w:lineRule="auto"/>
        <w:ind w:firstLine="560" w:firstLineChars="200"/>
        <w:rPr>
          <w:sz w:val="28"/>
          <w:szCs w:val="28"/>
        </w:rPr>
      </w:pPr>
      <w:r>
        <w:rPr>
          <w:rFonts w:hint="eastAsia"/>
          <w:sz w:val="28"/>
          <w:szCs w:val="28"/>
        </w:rPr>
        <w:t>规划采用辖区制与多站联动制相结合的救援响应制度。当化工园区某一辖区内有灾情，除辖区所属消防站和所属企业消防站第一时间响应外，周边辖区消防站及片区重点消防站应同时出动，其他消防站处于备战状态。多站联动机制包括：</w:t>
      </w:r>
    </w:p>
    <w:p w14:paraId="3E715F72">
      <w:pPr>
        <w:pStyle w:val="5"/>
        <w:spacing w:line="360" w:lineRule="auto"/>
        <w:ind w:firstLine="562" w:firstLineChars="200"/>
        <w:rPr>
          <w:b/>
          <w:bCs/>
          <w:sz w:val="28"/>
          <w:szCs w:val="28"/>
        </w:rPr>
      </w:pPr>
      <w:r>
        <w:rPr>
          <w:rFonts w:hint="eastAsia"/>
          <w:b/>
          <w:bCs/>
          <w:sz w:val="28"/>
          <w:szCs w:val="28"/>
        </w:rPr>
        <w:t>1.政企消防站联动机制</w:t>
      </w:r>
    </w:p>
    <w:p w14:paraId="2FA96160">
      <w:pPr>
        <w:spacing w:line="360" w:lineRule="auto"/>
        <w:ind w:firstLine="560" w:firstLineChars="200"/>
        <w:rPr>
          <w:sz w:val="28"/>
          <w:szCs w:val="28"/>
        </w:rPr>
      </w:pPr>
      <w:r>
        <w:rPr>
          <w:rFonts w:hint="eastAsia"/>
          <w:sz w:val="28"/>
          <w:szCs w:val="28"/>
        </w:rPr>
        <w:t>火灾扑救方面，国家综合性消防队发挥其人员、装备优势，企业专职消防队充分发挥其灵活、就近的优势，取长补短共同完成扑救任务。日常运行方面，联合开展应急演练、培训。</w:t>
      </w:r>
    </w:p>
    <w:p w14:paraId="68F4691E">
      <w:pPr>
        <w:pStyle w:val="5"/>
        <w:spacing w:line="360" w:lineRule="auto"/>
        <w:ind w:firstLine="562" w:firstLineChars="200"/>
        <w:rPr>
          <w:b/>
          <w:bCs/>
          <w:sz w:val="28"/>
          <w:szCs w:val="28"/>
        </w:rPr>
      </w:pPr>
      <w:r>
        <w:rPr>
          <w:rFonts w:hint="eastAsia"/>
          <w:b/>
          <w:bCs/>
          <w:sz w:val="28"/>
          <w:szCs w:val="28"/>
        </w:rPr>
        <w:t>2.片区内消防站联动机制</w:t>
      </w:r>
    </w:p>
    <w:p w14:paraId="504D8BFC">
      <w:pPr>
        <w:spacing w:line="360" w:lineRule="auto"/>
        <w:ind w:firstLine="560" w:firstLineChars="200"/>
        <w:rPr>
          <w:sz w:val="28"/>
          <w:szCs w:val="28"/>
        </w:rPr>
      </w:pPr>
      <w:r>
        <w:rPr>
          <w:rFonts w:hint="eastAsia"/>
          <w:sz w:val="28"/>
          <w:szCs w:val="28"/>
        </w:rPr>
        <w:t>某辖区内有灾情时，指挥中心进行统一调配，除辖区所属消防站和所属企业消防站第一时间响应外，周边辖区消防站及片区重点消防站应同时出动，其他消防站处于备战状态。</w:t>
      </w:r>
    </w:p>
    <w:p w14:paraId="0ED70C2D">
      <w:pPr>
        <w:pStyle w:val="5"/>
        <w:spacing w:line="360" w:lineRule="auto"/>
        <w:ind w:firstLine="562" w:firstLineChars="200"/>
        <w:rPr>
          <w:b/>
          <w:bCs/>
          <w:sz w:val="28"/>
          <w:szCs w:val="28"/>
        </w:rPr>
      </w:pPr>
      <w:r>
        <w:rPr>
          <w:rFonts w:hint="eastAsia"/>
          <w:b/>
          <w:bCs/>
          <w:sz w:val="28"/>
          <w:szCs w:val="28"/>
        </w:rPr>
        <w:t>3.片区间消防站联动机制</w:t>
      </w:r>
    </w:p>
    <w:p w14:paraId="4A72792A">
      <w:pPr>
        <w:spacing w:line="360" w:lineRule="auto"/>
        <w:ind w:firstLine="560" w:firstLineChars="200"/>
        <w:rPr>
          <w:sz w:val="28"/>
          <w:szCs w:val="28"/>
        </w:rPr>
      </w:pPr>
      <w:r>
        <w:rPr>
          <w:rFonts w:hint="eastAsia"/>
          <w:sz w:val="28"/>
          <w:szCs w:val="28"/>
        </w:rPr>
        <w:t>三片区之间建立互助救援机制，某一片区有灾情需救援，其它两个片区优先出动片区消防站响应救援，其次根据距离远近调动其它消防站救援。</w:t>
      </w:r>
    </w:p>
    <w:p w14:paraId="492405BB">
      <w:pPr>
        <w:pStyle w:val="3"/>
        <w:spacing w:line="360" w:lineRule="auto"/>
        <w:ind w:left="0" w:firstLine="602" w:firstLineChars="200"/>
      </w:pPr>
      <w:bookmarkStart w:id="183" w:name="_Toc27955"/>
      <w:bookmarkStart w:id="184" w:name="_Toc22074"/>
      <w:bookmarkStart w:id="185" w:name="_Toc28571"/>
      <w:bookmarkStart w:id="186" w:name="_Toc2597"/>
      <w:bookmarkStart w:id="187" w:name="_Toc10960"/>
      <w:bookmarkStart w:id="188" w:name="_Toc21540"/>
      <w:r>
        <w:rPr>
          <w:rFonts w:hint="eastAsia"/>
        </w:rPr>
        <w:t>第二十四条　救援专业队伍建设</w:t>
      </w:r>
      <w:bookmarkEnd w:id="183"/>
      <w:bookmarkEnd w:id="184"/>
      <w:bookmarkEnd w:id="185"/>
      <w:bookmarkEnd w:id="186"/>
      <w:bookmarkEnd w:id="187"/>
      <w:bookmarkEnd w:id="188"/>
    </w:p>
    <w:p w14:paraId="48D7A46A">
      <w:pPr>
        <w:pStyle w:val="5"/>
        <w:spacing w:line="360" w:lineRule="auto"/>
        <w:ind w:firstLine="562" w:firstLineChars="200"/>
        <w:rPr>
          <w:b/>
          <w:bCs/>
          <w:sz w:val="28"/>
          <w:szCs w:val="28"/>
        </w:rPr>
      </w:pPr>
      <w:r>
        <w:rPr>
          <w:rFonts w:hint="eastAsia"/>
          <w:b/>
          <w:bCs/>
          <w:sz w:val="28"/>
          <w:szCs w:val="28"/>
        </w:rPr>
        <w:t>1.多种形式</w:t>
      </w:r>
      <w:r>
        <w:rPr>
          <w:rFonts w:hint="eastAsia"/>
          <w:b/>
          <w:bCs/>
          <w:sz w:val="28"/>
          <w:szCs w:val="28"/>
          <w:lang w:eastAsia="zh-CN"/>
        </w:rPr>
        <w:t>推进</w:t>
      </w:r>
      <w:r>
        <w:rPr>
          <w:rFonts w:hint="eastAsia"/>
          <w:b/>
          <w:bCs/>
          <w:sz w:val="28"/>
          <w:szCs w:val="28"/>
        </w:rPr>
        <w:t>消防救援队伍建设</w:t>
      </w:r>
    </w:p>
    <w:p w14:paraId="2F1F7DAC">
      <w:pPr>
        <w:spacing w:line="360" w:lineRule="auto"/>
        <w:ind w:firstLine="560" w:firstLineChars="200"/>
        <w:rPr>
          <w:sz w:val="28"/>
          <w:szCs w:val="28"/>
        </w:rPr>
      </w:pPr>
      <w:r>
        <w:rPr>
          <w:rFonts w:hint="eastAsia"/>
          <w:sz w:val="28"/>
          <w:szCs w:val="28"/>
        </w:rPr>
        <w:t>构建以国家综合性消防救援队伍为主体，以国家、企业单位专职消防队为辅，志愿消防队为补充的多种形式消防队伍体系。并按照“统一管理、统一训练、统一考核、统一调度、统一指挥”的要求，实行准军事化管理，实现战斗力的最大化。</w:t>
      </w:r>
    </w:p>
    <w:p w14:paraId="64CC2AF2">
      <w:pPr>
        <w:spacing w:line="360" w:lineRule="auto"/>
        <w:ind w:firstLine="560" w:firstLineChars="200"/>
        <w:rPr>
          <w:sz w:val="28"/>
          <w:szCs w:val="28"/>
        </w:rPr>
      </w:pPr>
      <w:r>
        <w:rPr>
          <w:rFonts w:hint="eastAsia"/>
          <w:sz w:val="28"/>
          <w:szCs w:val="28"/>
        </w:rPr>
        <w:t>1.1化工园区内只要涉及生产、储存易燃易爆危险化学品的大型企业均应配建企业专职消防队。</w:t>
      </w:r>
    </w:p>
    <w:p w14:paraId="65AC372B">
      <w:pPr>
        <w:spacing w:line="360" w:lineRule="auto"/>
        <w:ind w:firstLine="560" w:firstLineChars="200"/>
        <w:rPr>
          <w:sz w:val="28"/>
          <w:szCs w:val="28"/>
        </w:rPr>
      </w:pPr>
      <w:r>
        <w:rPr>
          <w:rFonts w:hint="eastAsia"/>
          <w:sz w:val="28"/>
          <w:szCs w:val="28"/>
        </w:rPr>
        <w:t>1.2广泛开展消防教育，增强全民消防意识，动员社会的力量，组建多种形式的消防队，巩固群众消防组织，增强社会防火灭火的综合能力。</w:t>
      </w:r>
    </w:p>
    <w:p w14:paraId="0F826F2C">
      <w:pPr>
        <w:pStyle w:val="5"/>
        <w:spacing w:line="360" w:lineRule="auto"/>
        <w:ind w:firstLine="562" w:firstLineChars="200"/>
        <w:rPr>
          <w:b/>
          <w:bCs/>
          <w:sz w:val="28"/>
          <w:szCs w:val="28"/>
        </w:rPr>
      </w:pPr>
      <w:r>
        <w:rPr>
          <w:rFonts w:hint="eastAsia"/>
          <w:b/>
          <w:bCs/>
          <w:sz w:val="28"/>
          <w:szCs w:val="28"/>
        </w:rPr>
        <w:t>2.专业应急救援队伍建设</w:t>
      </w:r>
    </w:p>
    <w:p w14:paraId="4996FA6F">
      <w:pPr>
        <w:spacing w:line="360" w:lineRule="auto"/>
        <w:ind w:firstLine="560" w:firstLineChars="200"/>
        <w:rPr>
          <w:sz w:val="28"/>
          <w:szCs w:val="28"/>
        </w:rPr>
      </w:pPr>
      <w:r>
        <w:rPr>
          <w:rFonts w:hint="eastAsia"/>
          <w:sz w:val="28"/>
          <w:szCs w:val="28"/>
        </w:rPr>
        <w:t>根据杭锦经济开发区存在的灾害隐患布局，应配备以下专业应急救援队伍：</w:t>
      </w:r>
    </w:p>
    <w:p w14:paraId="2D5099E9">
      <w:pPr>
        <w:spacing w:line="360" w:lineRule="auto"/>
        <w:ind w:firstLine="560" w:firstLineChars="200"/>
        <w:rPr>
          <w:sz w:val="28"/>
          <w:szCs w:val="28"/>
        </w:rPr>
      </w:pPr>
      <w:r>
        <w:rPr>
          <w:rFonts w:hint="eastAsia"/>
          <w:sz w:val="28"/>
          <w:szCs w:val="28"/>
        </w:rPr>
        <w:t>重型化工救援特勤队、防汛抗旱应急队、气象灾害应急队、地质灾害应急队、地震灾害应急队、环境污染应急队、交通事故应急队、建筑事故应急队、水上搜救应急队、电力事故应急队、特种设备应急队。</w:t>
      </w:r>
    </w:p>
    <w:p w14:paraId="16C024A0">
      <w:pPr>
        <w:spacing w:line="360" w:lineRule="auto"/>
        <w:ind w:firstLine="560" w:firstLineChars="200"/>
        <w:rPr>
          <w:sz w:val="28"/>
          <w:szCs w:val="28"/>
        </w:rPr>
      </w:pPr>
      <w:r>
        <w:rPr>
          <w:rFonts w:hint="eastAsia"/>
          <w:sz w:val="28"/>
          <w:szCs w:val="28"/>
        </w:rPr>
        <w:t>专业队伍管理人员应由具有专业素质、相关经验的人员担当。</w:t>
      </w:r>
      <w:bookmarkStart w:id="189" w:name="_Toc19766"/>
      <w:bookmarkStart w:id="190" w:name="_Toc25626"/>
      <w:bookmarkStart w:id="191" w:name="_Toc12292"/>
      <w:bookmarkStart w:id="192" w:name="_Toc18533"/>
      <w:bookmarkStart w:id="193" w:name="_Toc28957"/>
      <w:bookmarkStart w:id="194" w:name="_Toc9602"/>
      <w:bookmarkStart w:id="195" w:name="_Toc14951"/>
      <w:bookmarkStart w:id="196" w:name="_Toc10224"/>
      <w:bookmarkStart w:id="197" w:name="_Toc5083"/>
      <w:bookmarkStart w:id="198" w:name="_Toc6532"/>
    </w:p>
    <w:p w14:paraId="79A1311C">
      <w:pPr>
        <w:ind w:firstLine="420" w:firstLineChars="200"/>
        <w:rPr>
          <w:sz w:val="21"/>
          <w:szCs w:val="21"/>
        </w:rPr>
      </w:pPr>
    </w:p>
    <w:p w14:paraId="70C25A68">
      <w:pPr>
        <w:ind w:firstLine="420" w:firstLineChars="200"/>
        <w:rPr>
          <w:sz w:val="21"/>
          <w:szCs w:val="21"/>
        </w:rPr>
      </w:pPr>
    </w:p>
    <w:p w14:paraId="7893E47B">
      <w:pPr>
        <w:ind w:firstLine="420" w:firstLineChars="200"/>
        <w:rPr>
          <w:sz w:val="21"/>
          <w:szCs w:val="21"/>
        </w:rPr>
      </w:pPr>
    </w:p>
    <w:p w14:paraId="2C516A0F">
      <w:pPr>
        <w:ind w:firstLine="420" w:firstLineChars="200"/>
        <w:rPr>
          <w:sz w:val="21"/>
          <w:szCs w:val="21"/>
        </w:rPr>
      </w:pPr>
    </w:p>
    <w:p w14:paraId="045A11F4">
      <w:pPr>
        <w:ind w:firstLine="420" w:firstLineChars="200"/>
        <w:rPr>
          <w:sz w:val="21"/>
          <w:szCs w:val="21"/>
        </w:rPr>
      </w:pPr>
    </w:p>
    <w:p w14:paraId="2DC3AC9D">
      <w:pPr>
        <w:pStyle w:val="2"/>
        <w:numPr>
          <w:ilvl w:val="0"/>
          <w:numId w:val="1"/>
        </w:numPr>
        <w:spacing w:line="360" w:lineRule="auto"/>
        <w:ind w:left="0" w:firstLine="1807" w:firstLineChars="500"/>
        <w:jc w:val="both"/>
      </w:pPr>
      <w:bookmarkStart w:id="199" w:name="_Toc32221"/>
      <w:r>
        <w:t>消防装备规划</w:t>
      </w:r>
      <w:bookmarkEnd w:id="189"/>
      <w:bookmarkEnd w:id="190"/>
      <w:bookmarkEnd w:id="191"/>
      <w:bookmarkEnd w:id="192"/>
      <w:bookmarkEnd w:id="193"/>
      <w:bookmarkEnd w:id="194"/>
      <w:bookmarkEnd w:id="195"/>
      <w:bookmarkEnd w:id="196"/>
      <w:bookmarkEnd w:id="197"/>
      <w:bookmarkEnd w:id="198"/>
      <w:bookmarkEnd w:id="199"/>
    </w:p>
    <w:p w14:paraId="3ED60384">
      <w:pPr>
        <w:pStyle w:val="2"/>
        <w:ind w:left="1100" w:leftChars="500"/>
        <w:jc w:val="both"/>
        <w:rPr>
          <w:sz w:val="21"/>
          <w:szCs w:val="21"/>
        </w:rPr>
      </w:pPr>
    </w:p>
    <w:p w14:paraId="2C5922C5">
      <w:pPr>
        <w:pStyle w:val="3"/>
        <w:spacing w:line="360" w:lineRule="auto"/>
        <w:ind w:left="0" w:firstLine="602" w:firstLineChars="200"/>
      </w:pPr>
      <w:bookmarkStart w:id="200" w:name="_Toc12432"/>
      <w:bookmarkStart w:id="201" w:name="_Toc12109"/>
      <w:bookmarkStart w:id="202" w:name="_Toc30509"/>
      <w:bookmarkStart w:id="203" w:name="_Toc28412"/>
      <w:bookmarkStart w:id="204" w:name="_Toc23237"/>
      <w:bookmarkStart w:id="205" w:name="_Toc11304"/>
      <w:r>
        <w:rPr>
          <w:rFonts w:hint="eastAsia"/>
        </w:rPr>
        <w:t>第二十五条　装备配置原则</w:t>
      </w:r>
      <w:bookmarkEnd w:id="200"/>
      <w:bookmarkEnd w:id="201"/>
      <w:bookmarkEnd w:id="202"/>
      <w:bookmarkEnd w:id="203"/>
      <w:bookmarkEnd w:id="204"/>
      <w:bookmarkEnd w:id="205"/>
    </w:p>
    <w:p w14:paraId="2F5FB97F">
      <w:pPr>
        <w:spacing w:line="360" w:lineRule="auto"/>
        <w:ind w:firstLine="560" w:firstLineChars="200"/>
        <w:rPr>
          <w:sz w:val="28"/>
          <w:szCs w:val="28"/>
        </w:rPr>
      </w:pPr>
      <w:r>
        <w:rPr>
          <w:rFonts w:hint="eastAsia"/>
          <w:sz w:val="28"/>
          <w:szCs w:val="28"/>
        </w:rPr>
        <w:t>化工园区的消防装备配备应遵循以下四个原则：</w:t>
      </w:r>
    </w:p>
    <w:p w14:paraId="30AE4EC1">
      <w:pPr>
        <w:pStyle w:val="5"/>
        <w:spacing w:line="360" w:lineRule="auto"/>
        <w:ind w:firstLine="562" w:firstLineChars="200"/>
        <w:rPr>
          <w:b/>
          <w:bCs/>
          <w:sz w:val="28"/>
          <w:szCs w:val="28"/>
        </w:rPr>
      </w:pPr>
      <w:r>
        <w:rPr>
          <w:rFonts w:hint="eastAsia"/>
          <w:b/>
          <w:bCs/>
          <w:sz w:val="28"/>
          <w:szCs w:val="28"/>
        </w:rPr>
        <w:t>1.标准化原则</w:t>
      </w:r>
    </w:p>
    <w:p w14:paraId="0C8D7B1D">
      <w:pPr>
        <w:spacing w:line="360" w:lineRule="auto"/>
        <w:ind w:firstLine="560" w:firstLineChars="200"/>
        <w:rPr>
          <w:sz w:val="28"/>
          <w:szCs w:val="28"/>
        </w:rPr>
      </w:pPr>
      <w:r>
        <w:rPr>
          <w:rFonts w:hint="eastAsia"/>
          <w:sz w:val="28"/>
          <w:szCs w:val="28"/>
        </w:rPr>
        <w:t>车辆装备的配备在品种、数量上要符合国家《城市消防站建设标准</w:t>
      </w:r>
      <w:r>
        <w:rPr>
          <w:rFonts w:hint="eastAsia"/>
          <w:sz w:val="28"/>
          <w:szCs w:val="28"/>
          <w:lang w:eastAsia="zh-CN"/>
        </w:rPr>
        <w:t>》《</w:t>
      </w:r>
      <w:r>
        <w:rPr>
          <w:rFonts w:hint="eastAsia"/>
          <w:sz w:val="28"/>
          <w:szCs w:val="28"/>
        </w:rPr>
        <w:t>消防员个人防护装备配备标准</w:t>
      </w:r>
      <w:r>
        <w:rPr>
          <w:rFonts w:hint="eastAsia"/>
          <w:sz w:val="28"/>
          <w:szCs w:val="28"/>
          <w:lang w:eastAsia="zh-CN"/>
        </w:rPr>
        <w:t>》《</w:t>
      </w:r>
      <w:r>
        <w:rPr>
          <w:rFonts w:hint="eastAsia"/>
          <w:sz w:val="28"/>
          <w:szCs w:val="28"/>
        </w:rPr>
        <w:t>消防特勤队（站）装备配备标准》等规定，同时在产品技术标准和质量监督上应满足消防装备的市场准入要求。化工园区内各消防站装备配置应统一型号，便于相互安装。</w:t>
      </w:r>
    </w:p>
    <w:p w14:paraId="7ACAFE61">
      <w:pPr>
        <w:pStyle w:val="5"/>
        <w:spacing w:line="360" w:lineRule="auto"/>
        <w:ind w:firstLine="562" w:firstLineChars="200"/>
        <w:rPr>
          <w:b/>
          <w:bCs/>
          <w:sz w:val="28"/>
          <w:szCs w:val="28"/>
        </w:rPr>
      </w:pPr>
      <w:r>
        <w:rPr>
          <w:rFonts w:hint="eastAsia"/>
          <w:b/>
          <w:bCs/>
          <w:sz w:val="28"/>
          <w:szCs w:val="28"/>
        </w:rPr>
        <w:t>2.实战化原则</w:t>
      </w:r>
    </w:p>
    <w:p w14:paraId="2B4E2C22">
      <w:pPr>
        <w:spacing w:line="360" w:lineRule="auto"/>
        <w:ind w:firstLine="560" w:firstLineChars="200"/>
        <w:rPr>
          <w:sz w:val="28"/>
          <w:szCs w:val="28"/>
        </w:rPr>
      </w:pPr>
      <w:r>
        <w:rPr>
          <w:rFonts w:hint="eastAsia"/>
          <w:sz w:val="28"/>
          <w:szCs w:val="28"/>
        </w:rPr>
        <w:t>消防装备的配备应立足实际、面向实战，从提升作战效能角度出发，根据作战编成、力量等级调派进行车辆编组、调配、整合，达到相互配套、优势互补、形成体系的目的，在此基础上对现有装备的种类和功能进行补充和完善，提高一线综合作战能力。</w:t>
      </w:r>
    </w:p>
    <w:p w14:paraId="7DDE8B88">
      <w:pPr>
        <w:pStyle w:val="5"/>
        <w:spacing w:line="360" w:lineRule="auto"/>
        <w:ind w:firstLine="562" w:firstLineChars="200"/>
        <w:rPr>
          <w:b/>
          <w:bCs/>
          <w:sz w:val="28"/>
          <w:szCs w:val="28"/>
        </w:rPr>
      </w:pPr>
      <w:r>
        <w:rPr>
          <w:rFonts w:hint="eastAsia"/>
          <w:b/>
          <w:bCs/>
          <w:sz w:val="28"/>
          <w:szCs w:val="28"/>
        </w:rPr>
        <w:t>3.模块化原则</w:t>
      </w:r>
    </w:p>
    <w:p w14:paraId="750CB377">
      <w:pPr>
        <w:spacing w:line="360" w:lineRule="auto"/>
        <w:ind w:firstLine="560" w:firstLineChars="200"/>
        <w:rPr>
          <w:sz w:val="28"/>
          <w:szCs w:val="28"/>
        </w:rPr>
      </w:pPr>
      <w:r>
        <w:rPr>
          <w:rFonts w:hint="eastAsia"/>
          <w:sz w:val="28"/>
          <w:szCs w:val="28"/>
        </w:rPr>
        <w:t>应根据处置对象的类型和特点，采取模块化方式配备装备，优化装备集成，使其更具针对性和专业性，方便作战力量编成和调派。在战勤物资装备保障上应采用模块化储备和运输，突出保障的机动性和系统性，提高出行保障能力。</w:t>
      </w:r>
    </w:p>
    <w:p w14:paraId="689CBF62">
      <w:pPr>
        <w:pStyle w:val="5"/>
        <w:spacing w:line="360" w:lineRule="auto"/>
        <w:ind w:firstLine="562" w:firstLineChars="200"/>
        <w:rPr>
          <w:b/>
          <w:bCs/>
          <w:sz w:val="28"/>
          <w:szCs w:val="28"/>
        </w:rPr>
      </w:pPr>
      <w:r>
        <w:rPr>
          <w:rFonts w:hint="eastAsia"/>
          <w:b/>
          <w:bCs/>
          <w:sz w:val="28"/>
          <w:szCs w:val="28"/>
        </w:rPr>
        <w:t>4.前瞻性原则</w:t>
      </w:r>
    </w:p>
    <w:p w14:paraId="3E6476DE">
      <w:pPr>
        <w:spacing w:line="360" w:lineRule="auto"/>
        <w:ind w:firstLine="560" w:firstLineChars="200"/>
        <w:rPr>
          <w:sz w:val="21"/>
          <w:szCs w:val="21"/>
        </w:rPr>
      </w:pPr>
      <w:r>
        <w:rPr>
          <w:rFonts w:hint="eastAsia"/>
          <w:sz w:val="28"/>
          <w:szCs w:val="28"/>
        </w:rPr>
        <w:t>基于化工园区火灾的特殊性、严重性，装备建设必须立足实战、智能化作战、适度超前，应拥有一定数量科技含量较高、满足化工园区灭火救援现实需求的高端技术装备。</w:t>
      </w:r>
      <w:bookmarkStart w:id="206" w:name="_Toc24224"/>
      <w:bookmarkStart w:id="207" w:name="_Toc18021"/>
      <w:bookmarkStart w:id="208" w:name="_Toc29333"/>
      <w:bookmarkStart w:id="209" w:name="_Toc12386"/>
      <w:bookmarkStart w:id="210" w:name="_Toc1910"/>
    </w:p>
    <w:p w14:paraId="4079AD60">
      <w:pPr>
        <w:pStyle w:val="3"/>
        <w:spacing w:line="360" w:lineRule="auto"/>
        <w:ind w:left="0" w:firstLine="602" w:firstLineChars="200"/>
      </w:pPr>
      <w:bookmarkStart w:id="211" w:name="_Toc29153"/>
      <w:r>
        <w:rPr>
          <w:rFonts w:hint="eastAsia"/>
        </w:rPr>
        <w:t>第二十六条　装备配置</w:t>
      </w:r>
      <w:bookmarkEnd w:id="206"/>
      <w:bookmarkEnd w:id="207"/>
      <w:bookmarkEnd w:id="208"/>
      <w:bookmarkEnd w:id="209"/>
      <w:bookmarkEnd w:id="210"/>
      <w:r>
        <w:rPr>
          <w:rFonts w:hint="eastAsia"/>
        </w:rPr>
        <w:t>标准</w:t>
      </w:r>
      <w:bookmarkEnd w:id="211"/>
    </w:p>
    <w:p w14:paraId="35913385">
      <w:pPr>
        <w:pStyle w:val="5"/>
        <w:ind w:firstLine="560" w:firstLineChars="200"/>
        <w:rPr>
          <w:sz w:val="28"/>
          <w:szCs w:val="28"/>
        </w:rPr>
      </w:pPr>
      <w:r>
        <w:rPr>
          <w:rFonts w:hint="eastAsia"/>
          <w:sz w:val="28"/>
          <w:szCs w:val="28"/>
        </w:rPr>
        <w:t>通过逐步建设使各消防站达到特勤消防站的装备配置标准。在现有消防车辆、抢险救援装备、个人防护器材的基础上，添置必要的消防车、消防器材、救援装备、个人防护器材等。</w:t>
      </w:r>
    </w:p>
    <w:p w14:paraId="289D2C58">
      <w:pPr>
        <w:pStyle w:val="5"/>
        <w:ind w:firstLine="560" w:firstLineChars="200"/>
        <w:rPr>
          <w:sz w:val="28"/>
          <w:szCs w:val="28"/>
        </w:rPr>
      </w:pPr>
      <w:r>
        <w:rPr>
          <w:rFonts w:hint="eastAsia"/>
          <w:sz w:val="28"/>
          <w:szCs w:val="28"/>
        </w:rPr>
        <w:t>结合危化产业的特点，重点加强消防站消防车辆</w:t>
      </w:r>
      <w:r>
        <w:rPr>
          <w:rFonts w:hint="eastAsia"/>
          <w:sz w:val="28"/>
          <w:szCs w:val="28"/>
          <w:lang w:eastAsia="zh-CN"/>
        </w:rPr>
        <w:t>稳制</w:t>
      </w:r>
      <w:r>
        <w:rPr>
          <w:rFonts w:hint="eastAsia"/>
          <w:sz w:val="28"/>
          <w:szCs w:val="28"/>
        </w:rPr>
        <w:t>危化品燃烧的能力，迅速控制火势蔓延。消防车辆应具备大流量、远射程的特点，泡沫消防车优先选用全自动泡沫比例混合器泡沫消防车，保证泡沫消防车泡沫混合流量供给强度，提倡部署多剂联用消防车代替传统单类别消防车应对复杂的火灾情况，对高危区域进行攻坚消防作战。</w:t>
      </w:r>
      <w:bookmarkStart w:id="212" w:name="_Toc92"/>
      <w:bookmarkStart w:id="213" w:name="_Toc13295"/>
      <w:bookmarkStart w:id="214" w:name="_Toc19284"/>
      <w:bookmarkStart w:id="215" w:name="_Toc1578"/>
      <w:bookmarkStart w:id="216" w:name="_Toc10761"/>
      <w:bookmarkStart w:id="217" w:name="_Toc8619"/>
      <w:bookmarkStart w:id="218" w:name="_Toc23679"/>
      <w:bookmarkStart w:id="219" w:name="_Toc8859"/>
      <w:bookmarkStart w:id="220" w:name="_Toc633"/>
    </w:p>
    <w:p w14:paraId="014D42D1">
      <w:pPr>
        <w:pStyle w:val="5"/>
        <w:ind w:firstLine="560" w:firstLineChars="200"/>
        <w:rPr>
          <w:sz w:val="28"/>
          <w:szCs w:val="28"/>
        </w:rPr>
      </w:pPr>
      <w:r>
        <w:rPr>
          <w:rFonts w:hint="eastAsia"/>
          <w:sz w:val="28"/>
          <w:szCs w:val="28"/>
        </w:rPr>
        <w:t>根据危化产业的特性，危化品火灾控制的难度以及火灾救援的难度，消防器材、救援装备以及个人防护装备也需根据消防特勤站的配置标准进一步提升配置，使得火灾得到控制的同时救援工作能够顺利展开并能够有效</w:t>
      </w:r>
      <w:r>
        <w:rPr>
          <w:rFonts w:hint="eastAsia"/>
          <w:sz w:val="28"/>
          <w:szCs w:val="28"/>
          <w:lang w:eastAsia="zh-CN"/>
        </w:rPr>
        <w:t>地</w:t>
      </w:r>
      <w:r>
        <w:rPr>
          <w:rFonts w:hint="eastAsia"/>
          <w:sz w:val="28"/>
          <w:szCs w:val="28"/>
        </w:rPr>
        <w:t>提升园区火灾的救援能力。</w:t>
      </w:r>
    </w:p>
    <w:p w14:paraId="4CE60DD0">
      <w:pPr>
        <w:pStyle w:val="5"/>
        <w:ind w:firstLine="420" w:firstLineChars="200"/>
        <w:rPr>
          <w:sz w:val="21"/>
          <w:szCs w:val="21"/>
        </w:rPr>
      </w:pPr>
    </w:p>
    <w:p w14:paraId="3197F92B">
      <w:pPr>
        <w:pStyle w:val="2"/>
        <w:numPr>
          <w:ilvl w:val="0"/>
          <w:numId w:val="1"/>
        </w:numPr>
        <w:spacing w:line="360" w:lineRule="auto"/>
        <w:ind w:left="0" w:firstLine="1807" w:firstLineChars="500"/>
        <w:jc w:val="both"/>
      </w:pPr>
      <w:bookmarkStart w:id="221" w:name="_Toc25066"/>
      <w:bookmarkStart w:id="222" w:name="_Toc30783"/>
      <w:r>
        <w:t>消防基础设施规划</w:t>
      </w:r>
      <w:bookmarkEnd w:id="212"/>
      <w:bookmarkEnd w:id="213"/>
      <w:bookmarkEnd w:id="214"/>
      <w:bookmarkEnd w:id="215"/>
      <w:bookmarkEnd w:id="216"/>
      <w:bookmarkEnd w:id="217"/>
      <w:bookmarkEnd w:id="218"/>
      <w:bookmarkEnd w:id="219"/>
      <w:bookmarkEnd w:id="220"/>
      <w:bookmarkEnd w:id="221"/>
      <w:bookmarkEnd w:id="222"/>
    </w:p>
    <w:p w14:paraId="46F5C7BA">
      <w:pPr>
        <w:pStyle w:val="2"/>
        <w:ind w:left="0"/>
        <w:jc w:val="both"/>
        <w:rPr>
          <w:sz w:val="21"/>
          <w:szCs w:val="21"/>
        </w:rPr>
      </w:pPr>
    </w:p>
    <w:p w14:paraId="547AE8B9">
      <w:pPr>
        <w:pStyle w:val="3"/>
        <w:spacing w:line="360" w:lineRule="auto"/>
        <w:ind w:left="0" w:firstLine="602" w:firstLineChars="200"/>
      </w:pPr>
      <w:bookmarkStart w:id="223" w:name="_Toc7262"/>
      <w:bookmarkStart w:id="224" w:name="_Toc30277"/>
      <w:bookmarkStart w:id="225" w:name="_Toc6757"/>
      <w:bookmarkStart w:id="226" w:name="_Toc30006"/>
      <w:bookmarkStart w:id="227" w:name="_Toc15955"/>
      <w:bookmarkStart w:id="228" w:name="_Toc26222"/>
      <w:r>
        <w:rPr>
          <w:rFonts w:hint="eastAsia"/>
        </w:rPr>
        <w:t>第二十七条</w:t>
      </w:r>
      <w:r>
        <w:rPr>
          <w:rFonts w:hint="eastAsia"/>
          <w:lang w:val="en-US" w:eastAsia="zh-CN"/>
        </w:rPr>
        <w:t xml:space="preserve"> </w:t>
      </w:r>
      <w:r>
        <w:rPr>
          <w:rFonts w:hint="eastAsia"/>
        </w:rPr>
        <w:t>消防通道规划</w:t>
      </w:r>
      <w:bookmarkEnd w:id="223"/>
      <w:bookmarkEnd w:id="224"/>
      <w:bookmarkEnd w:id="225"/>
      <w:bookmarkEnd w:id="226"/>
      <w:bookmarkEnd w:id="227"/>
      <w:bookmarkEnd w:id="228"/>
    </w:p>
    <w:p w14:paraId="59381119">
      <w:pPr>
        <w:pStyle w:val="5"/>
        <w:spacing w:line="360" w:lineRule="auto"/>
        <w:ind w:firstLine="562" w:firstLineChars="200"/>
        <w:rPr>
          <w:b/>
          <w:bCs/>
          <w:sz w:val="28"/>
          <w:szCs w:val="28"/>
        </w:rPr>
      </w:pPr>
      <w:r>
        <w:rPr>
          <w:rFonts w:hint="eastAsia"/>
          <w:b/>
          <w:bCs/>
          <w:sz w:val="28"/>
          <w:szCs w:val="28"/>
        </w:rPr>
        <w:t>1.消防车通道规划</w:t>
      </w:r>
    </w:p>
    <w:p w14:paraId="53AC9569">
      <w:pPr>
        <w:spacing w:line="360" w:lineRule="auto"/>
        <w:ind w:firstLine="560" w:firstLineChars="200"/>
        <w:rPr>
          <w:sz w:val="28"/>
          <w:szCs w:val="28"/>
        </w:rPr>
      </w:pPr>
      <w:r>
        <w:rPr>
          <w:rFonts w:hint="eastAsia"/>
          <w:sz w:val="28"/>
          <w:szCs w:val="28"/>
        </w:rPr>
        <w:t>1.1一级消防通道规划</w:t>
      </w:r>
    </w:p>
    <w:p w14:paraId="5916F9C9">
      <w:pPr>
        <w:spacing w:line="360" w:lineRule="auto"/>
        <w:ind w:firstLine="560" w:firstLineChars="200"/>
        <w:rPr>
          <w:sz w:val="28"/>
          <w:szCs w:val="28"/>
        </w:rPr>
      </w:pPr>
      <w:r>
        <w:rPr>
          <w:rFonts w:hint="eastAsia"/>
          <w:sz w:val="28"/>
          <w:szCs w:val="28"/>
        </w:rPr>
        <w:t>铁路</w:t>
      </w:r>
      <w:r>
        <w:rPr>
          <w:rFonts w:hint="eastAsia"/>
          <w:sz w:val="28"/>
          <w:szCs w:val="28"/>
          <w:lang w:eastAsia="zh-CN"/>
        </w:rPr>
        <w:t>：</w:t>
      </w:r>
      <w:r>
        <w:rPr>
          <w:rFonts w:hint="eastAsia"/>
          <w:sz w:val="28"/>
          <w:szCs w:val="28"/>
        </w:rPr>
        <w:t>在独贵塔拉产业园北项目区东部建设独贵塔拉产业园北项目区货运站；在独贵塔拉产业园南项目区北部建设独贵塔拉产业园南项目区货运站。规划建设铁路杭锦旗独贵塔拉产业园北项目区专用线，自乌锡铁路杭锦淖尔车站乌拉山端咽喉西侧引出，向西终至北项目区，向西南至杭锦淖尔站。南项目区新建铁路专用线，自锡尼至乌审召铁路预留锡尼布拉格站接轨引出，终至独贵塔拉产业园南区站。</w:t>
      </w:r>
    </w:p>
    <w:p w14:paraId="5F2AC53F">
      <w:pPr>
        <w:spacing w:line="360" w:lineRule="auto"/>
        <w:ind w:firstLine="560" w:firstLineChars="200"/>
        <w:rPr>
          <w:sz w:val="28"/>
          <w:szCs w:val="28"/>
        </w:rPr>
      </w:pPr>
      <w:r>
        <w:rPr>
          <w:rFonts w:hint="eastAsia"/>
          <w:sz w:val="28"/>
          <w:szCs w:val="28"/>
        </w:rPr>
        <w:t>公路</w:t>
      </w:r>
      <w:r>
        <w:rPr>
          <w:rFonts w:hint="eastAsia"/>
          <w:sz w:val="28"/>
          <w:szCs w:val="28"/>
          <w:lang w:eastAsia="zh-CN"/>
        </w:rPr>
        <w:t>：</w:t>
      </w:r>
      <w:r>
        <w:rPr>
          <w:rFonts w:hint="eastAsia"/>
          <w:sz w:val="28"/>
          <w:szCs w:val="28"/>
        </w:rPr>
        <w:t>以杭锦经济开发区周边区域公路网为骨架，县乡道路为补充，加强杭锦经济开发区内部三个片区间以及与锡尼镇、独贵塔拉镇等周边乡镇的道路交通联系，形成“四横三纵”的公路网系统。规划形成“四横三纵”的对外交通结构。其中，东西向“四横”：兴巴高速、县道608、省道316、国道109；南北向“三纵”：县道651、省道215以及县道610。</w:t>
      </w:r>
    </w:p>
    <w:p w14:paraId="63EFF45A">
      <w:pPr>
        <w:spacing w:line="360" w:lineRule="auto"/>
        <w:ind w:firstLine="560" w:firstLineChars="200"/>
        <w:rPr>
          <w:sz w:val="28"/>
          <w:szCs w:val="28"/>
        </w:rPr>
      </w:pPr>
      <w:r>
        <w:rPr>
          <w:rFonts w:hint="eastAsia"/>
          <w:sz w:val="28"/>
          <w:szCs w:val="28"/>
        </w:rPr>
        <w:t>1.2二级消防通道规划</w:t>
      </w:r>
    </w:p>
    <w:p w14:paraId="66E0A56C">
      <w:pPr>
        <w:spacing w:line="360" w:lineRule="auto"/>
        <w:ind w:firstLine="560" w:firstLineChars="200"/>
        <w:rPr>
          <w:sz w:val="28"/>
          <w:szCs w:val="28"/>
        </w:rPr>
      </w:pPr>
      <w:r>
        <w:rPr>
          <w:rFonts w:hint="eastAsia"/>
          <w:sz w:val="28"/>
          <w:szCs w:val="28"/>
        </w:rPr>
        <w:t>二级消防通道主要满足消防站点责任区内部及</w:t>
      </w:r>
      <w:r>
        <w:rPr>
          <w:rFonts w:hint="eastAsia"/>
          <w:sz w:val="28"/>
          <w:szCs w:val="28"/>
          <w:lang w:eastAsia="zh-CN"/>
        </w:rPr>
        <w:t>邻</w:t>
      </w:r>
      <w:r>
        <w:rPr>
          <w:rFonts w:hint="eastAsia"/>
          <w:sz w:val="28"/>
          <w:szCs w:val="28"/>
        </w:rPr>
        <w:t>近责任区消防出警交通的快速性和可达性，主要为化工园区内的主干路、次干路。</w:t>
      </w:r>
    </w:p>
    <w:p w14:paraId="5D7932EB">
      <w:pPr>
        <w:spacing w:line="360" w:lineRule="auto"/>
        <w:ind w:firstLine="560" w:firstLineChars="200"/>
        <w:rPr>
          <w:sz w:val="28"/>
          <w:szCs w:val="28"/>
        </w:rPr>
      </w:pPr>
      <w:r>
        <w:rPr>
          <w:rFonts w:hint="eastAsia"/>
          <w:sz w:val="28"/>
          <w:szCs w:val="28"/>
        </w:rPr>
        <w:t>1.3三级消防通道规划</w:t>
      </w:r>
    </w:p>
    <w:p w14:paraId="650F0C40">
      <w:pPr>
        <w:spacing w:line="360" w:lineRule="auto"/>
        <w:ind w:firstLine="560" w:firstLineChars="200"/>
        <w:rPr>
          <w:sz w:val="28"/>
          <w:szCs w:val="28"/>
        </w:rPr>
      </w:pPr>
      <w:r>
        <w:rPr>
          <w:rFonts w:hint="eastAsia"/>
          <w:sz w:val="28"/>
          <w:szCs w:val="28"/>
        </w:rPr>
        <w:t>三级消防通道主要为满足消防队伍接近火场、保证灭火操作场地和疏散火场人员物资的通道</w:t>
      </w:r>
      <w:r>
        <w:rPr>
          <w:rFonts w:hint="eastAsia"/>
          <w:sz w:val="28"/>
          <w:szCs w:val="28"/>
          <w:lang w:eastAsia="zh-CN"/>
        </w:rPr>
        <w:t>，</w:t>
      </w:r>
      <w:r>
        <w:rPr>
          <w:rFonts w:hint="eastAsia"/>
          <w:sz w:val="28"/>
          <w:szCs w:val="28"/>
        </w:rPr>
        <w:t>主要由化工园区支路组成。</w:t>
      </w:r>
    </w:p>
    <w:p w14:paraId="7DCAC42C">
      <w:pPr>
        <w:spacing w:line="360" w:lineRule="auto"/>
        <w:ind w:firstLine="560" w:firstLineChars="200"/>
        <w:rPr>
          <w:sz w:val="28"/>
          <w:szCs w:val="28"/>
        </w:rPr>
      </w:pPr>
      <w:r>
        <w:rPr>
          <w:rFonts w:hint="eastAsia"/>
          <w:sz w:val="28"/>
          <w:szCs w:val="28"/>
        </w:rPr>
        <w:t>在消防通道两路口间距大于200米的地段增设错车、回车场地，以满足大型消防车辆错车、转弯、掉头及多车作战的需求。</w:t>
      </w:r>
    </w:p>
    <w:p w14:paraId="73893131">
      <w:pPr>
        <w:pStyle w:val="5"/>
        <w:spacing w:line="360" w:lineRule="auto"/>
        <w:ind w:firstLine="562" w:firstLineChars="200"/>
        <w:rPr>
          <w:b/>
          <w:bCs/>
          <w:sz w:val="28"/>
          <w:szCs w:val="28"/>
        </w:rPr>
      </w:pPr>
      <w:r>
        <w:rPr>
          <w:rFonts w:hint="eastAsia"/>
          <w:b/>
          <w:bCs/>
          <w:sz w:val="28"/>
          <w:szCs w:val="28"/>
        </w:rPr>
        <w:t>2.危险品运输通道规划</w:t>
      </w:r>
    </w:p>
    <w:p w14:paraId="3C8F9CFC">
      <w:pPr>
        <w:spacing w:line="360" w:lineRule="auto"/>
        <w:ind w:firstLine="560" w:firstLineChars="200"/>
        <w:rPr>
          <w:sz w:val="28"/>
          <w:szCs w:val="28"/>
        </w:rPr>
      </w:pPr>
      <w:r>
        <w:rPr>
          <w:rFonts w:hint="eastAsia"/>
          <w:sz w:val="28"/>
          <w:szCs w:val="28"/>
        </w:rPr>
        <w:t>化工园区中所有干路均为运输危险化学品</w:t>
      </w:r>
      <w:r>
        <w:rPr>
          <w:rFonts w:hint="eastAsia"/>
          <w:sz w:val="28"/>
          <w:szCs w:val="28"/>
          <w:lang w:eastAsia="zh-CN"/>
        </w:rPr>
        <w:t>的</w:t>
      </w:r>
      <w:r>
        <w:rPr>
          <w:rFonts w:hint="eastAsia"/>
          <w:sz w:val="28"/>
          <w:szCs w:val="28"/>
        </w:rPr>
        <w:t>专用通道。为减小危险品车辆带来的危险，运输时应遵循以下原则：</w:t>
      </w:r>
    </w:p>
    <w:p w14:paraId="5B07C026">
      <w:pPr>
        <w:spacing w:line="360" w:lineRule="auto"/>
        <w:ind w:firstLine="560" w:firstLineChars="200"/>
        <w:rPr>
          <w:sz w:val="28"/>
          <w:szCs w:val="28"/>
        </w:rPr>
      </w:pPr>
      <w:r>
        <w:rPr>
          <w:rFonts w:hint="eastAsia"/>
          <w:sz w:val="28"/>
          <w:szCs w:val="28"/>
        </w:rPr>
        <w:t>2.1区分危险品种类和运输性质，加以分别对待。</w:t>
      </w:r>
    </w:p>
    <w:p w14:paraId="3298B6DA">
      <w:pPr>
        <w:spacing w:line="360" w:lineRule="auto"/>
        <w:ind w:firstLine="560" w:firstLineChars="200"/>
        <w:rPr>
          <w:sz w:val="28"/>
          <w:szCs w:val="28"/>
        </w:rPr>
      </w:pPr>
      <w:r>
        <w:rPr>
          <w:rFonts w:hint="eastAsia"/>
          <w:sz w:val="28"/>
          <w:szCs w:val="28"/>
        </w:rPr>
        <w:t>2.2尽可能减少危险品运输对周边城市安全造成的影响，对于爆炸品、剧毒品和过境危险品应绕城运输，不得穿越周边居民区。</w:t>
      </w:r>
    </w:p>
    <w:p w14:paraId="52E2FA8F">
      <w:pPr>
        <w:spacing w:line="360" w:lineRule="auto"/>
        <w:ind w:firstLine="560" w:firstLineChars="200"/>
        <w:rPr>
          <w:sz w:val="28"/>
          <w:szCs w:val="28"/>
        </w:rPr>
      </w:pPr>
      <w:r>
        <w:rPr>
          <w:rFonts w:hint="eastAsia"/>
          <w:sz w:val="28"/>
          <w:szCs w:val="28"/>
        </w:rPr>
        <w:t>2.3危险性较低的油品、燃气等是城市居民的必需品，其运输应避免穿越政府机关等重点地区和人口居住十分稠密的地区。</w:t>
      </w:r>
    </w:p>
    <w:p w14:paraId="28B23141">
      <w:pPr>
        <w:spacing w:line="360" w:lineRule="auto"/>
        <w:ind w:firstLine="560" w:firstLineChars="200"/>
        <w:rPr>
          <w:sz w:val="28"/>
          <w:szCs w:val="28"/>
        </w:rPr>
      </w:pPr>
      <w:r>
        <w:rPr>
          <w:rFonts w:hint="eastAsia"/>
          <w:sz w:val="28"/>
          <w:szCs w:val="28"/>
        </w:rPr>
        <w:t>2.4危险品运输应从空间上和时间上严格控制，减少危险品运输的危险：</w:t>
      </w:r>
    </w:p>
    <w:p w14:paraId="703DF65E">
      <w:pPr>
        <w:spacing w:line="360" w:lineRule="auto"/>
        <w:ind w:firstLine="560" w:firstLineChars="200"/>
        <w:rPr>
          <w:sz w:val="28"/>
          <w:szCs w:val="28"/>
        </w:rPr>
      </w:pPr>
      <w:r>
        <w:rPr>
          <w:rFonts w:hint="eastAsia"/>
          <w:sz w:val="28"/>
          <w:szCs w:val="28"/>
        </w:rPr>
        <w:t>（1）生产用剧毒、易燃易爆物品的运输，由其主管销售、运输部门根据交通运输流量、季节、上下班高峰和有关重大事项，限定时间按指定路线运输，必要时由有关部门实行押运。</w:t>
      </w:r>
    </w:p>
    <w:p w14:paraId="638114CA">
      <w:pPr>
        <w:spacing w:line="360" w:lineRule="auto"/>
        <w:ind w:firstLine="560" w:firstLineChars="200"/>
        <w:rPr>
          <w:sz w:val="28"/>
          <w:szCs w:val="28"/>
        </w:rPr>
      </w:pPr>
      <w:r>
        <w:rPr>
          <w:rFonts w:hint="eastAsia"/>
          <w:sz w:val="28"/>
          <w:szCs w:val="28"/>
        </w:rPr>
        <w:t>（2）生产易燃易爆原料的运输，必须进入禁止通行区域的危险化学品运输车辆，须到市公安局交警支队提出申请，并按市公安局交警支队指定的行车时间、路线通行。</w:t>
      </w:r>
    </w:p>
    <w:p w14:paraId="3ECD620C">
      <w:pPr>
        <w:spacing w:line="360" w:lineRule="auto"/>
        <w:ind w:firstLine="560" w:firstLineChars="200"/>
        <w:rPr>
          <w:sz w:val="28"/>
          <w:szCs w:val="28"/>
        </w:rPr>
      </w:pPr>
      <w:r>
        <w:rPr>
          <w:rFonts w:hint="eastAsia"/>
          <w:sz w:val="28"/>
          <w:szCs w:val="28"/>
        </w:rPr>
        <w:t>（3）运输通道建议由城市的外围道路组成。</w:t>
      </w:r>
    </w:p>
    <w:p w14:paraId="619D7A26">
      <w:pPr>
        <w:spacing w:line="360" w:lineRule="auto"/>
        <w:ind w:firstLine="560" w:firstLineChars="200"/>
        <w:rPr>
          <w:sz w:val="21"/>
          <w:szCs w:val="21"/>
        </w:rPr>
      </w:pPr>
      <w:r>
        <w:rPr>
          <w:rFonts w:hint="eastAsia"/>
          <w:sz w:val="28"/>
          <w:szCs w:val="28"/>
        </w:rPr>
        <w:t>（4）危险品运输车辆应悬挂明显的标志旗号。</w:t>
      </w:r>
      <w:bookmarkStart w:id="229" w:name="_Toc2370"/>
      <w:bookmarkStart w:id="230" w:name="_Toc17471"/>
      <w:bookmarkStart w:id="231" w:name="_Toc1034"/>
      <w:bookmarkStart w:id="232" w:name="_Toc29952"/>
      <w:bookmarkStart w:id="233" w:name="_Toc8086"/>
    </w:p>
    <w:p w14:paraId="2738E4B1">
      <w:pPr>
        <w:pStyle w:val="3"/>
        <w:spacing w:line="360" w:lineRule="auto"/>
        <w:ind w:left="0" w:firstLine="602" w:firstLineChars="200"/>
      </w:pPr>
      <w:bookmarkStart w:id="234" w:name="_Toc12555"/>
      <w:r>
        <w:rPr>
          <w:rFonts w:hint="eastAsia"/>
        </w:rPr>
        <w:t>第二十八条　消防供水规划</w:t>
      </w:r>
      <w:bookmarkEnd w:id="229"/>
      <w:bookmarkEnd w:id="230"/>
      <w:bookmarkEnd w:id="231"/>
      <w:bookmarkEnd w:id="232"/>
      <w:bookmarkEnd w:id="233"/>
      <w:bookmarkEnd w:id="234"/>
    </w:p>
    <w:p w14:paraId="55AC6AE5">
      <w:pPr>
        <w:pStyle w:val="5"/>
        <w:spacing w:line="360" w:lineRule="auto"/>
        <w:ind w:firstLine="562" w:firstLineChars="200"/>
        <w:rPr>
          <w:b/>
          <w:bCs/>
          <w:sz w:val="28"/>
          <w:szCs w:val="28"/>
        </w:rPr>
      </w:pPr>
      <w:r>
        <w:rPr>
          <w:rFonts w:hint="eastAsia"/>
          <w:b/>
          <w:bCs/>
          <w:sz w:val="28"/>
          <w:szCs w:val="28"/>
        </w:rPr>
        <w:t>1.消防给水水源</w:t>
      </w:r>
    </w:p>
    <w:p w14:paraId="1AD55D6F">
      <w:pPr>
        <w:spacing w:line="360" w:lineRule="auto"/>
        <w:ind w:firstLine="560" w:firstLineChars="200"/>
        <w:rPr>
          <w:sz w:val="28"/>
          <w:szCs w:val="28"/>
        </w:rPr>
      </w:pPr>
      <w:r>
        <w:rPr>
          <w:rFonts w:hint="eastAsia"/>
          <w:sz w:val="28"/>
          <w:szCs w:val="28"/>
        </w:rPr>
        <w:t>规划形成分片区、分质供水为主，再生水等非常规供水为辅的多系统供水系统。其中独贵塔拉产业园北项目区工业净水厂保留库布齐水务（亿利配水厂）总规模扩建至15万立方米/日，杭六路东侧新建工业净水厂总规模6万立方米/日，占地约3公顷，形成东西相济的供水格局，满足化工园区企业生产用水需求。生活净水厂采用独贵塔拉镇水厂输送至北项目区。</w:t>
      </w:r>
    </w:p>
    <w:p w14:paraId="6560FEEF">
      <w:pPr>
        <w:spacing w:line="360" w:lineRule="auto"/>
        <w:ind w:firstLine="560" w:firstLineChars="200"/>
        <w:rPr>
          <w:sz w:val="28"/>
          <w:szCs w:val="28"/>
        </w:rPr>
      </w:pPr>
      <w:r>
        <w:rPr>
          <w:rFonts w:hint="eastAsia"/>
          <w:sz w:val="28"/>
          <w:szCs w:val="28"/>
        </w:rPr>
        <w:t>独贵塔拉产业园南项目区工业净水厂保留伊泰化工工业净水厂总规模提升至为15万立方米/日，同时在泰四路东侧新建一座工业配水厂，按2万立方米/日预留，占地1公顷，满足化工园区其他企业生产用水需求。在化工园区东侧新建一座生活给水厂规模1300立方米/日，占地0.64公顷，满足化工园区职工生活用水需求，逐步关停各企业自备井。</w:t>
      </w:r>
    </w:p>
    <w:p w14:paraId="29983B7D">
      <w:pPr>
        <w:spacing w:line="360" w:lineRule="auto"/>
        <w:ind w:firstLine="560" w:firstLineChars="200"/>
        <w:rPr>
          <w:sz w:val="28"/>
          <w:szCs w:val="28"/>
        </w:rPr>
      </w:pPr>
      <w:r>
        <w:rPr>
          <w:rFonts w:hint="eastAsia"/>
          <w:sz w:val="28"/>
          <w:szCs w:val="28"/>
        </w:rPr>
        <w:t>新能源产业园工业净水为新能源产业园污水处理厂（中水厂）和锡尼镇污水处理厂（中水厂）生产的再生水，由煤矸石电厂高位水池引来疏干水在经四路接入中水管线，满足化工园区企业生产用水需求。生活给水厂采用锡尼镇自来水厂（5万立方米/日）向南输送至化工园区。</w:t>
      </w:r>
    </w:p>
    <w:p w14:paraId="1BF07A4F">
      <w:pPr>
        <w:spacing w:line="360" w:lineRule="auto"/>
        <w:ind w:firstLine="560" w:firstLineChars="200"/>
        <w:rPr>
          <w:sz w:val="28"/>
          <w:szCs w:val="28"/>
        </w:rPr>
      </w:pPr>
      <w:r>
        <w:rPr>
          <w:rFonts w:hint="eastAsia"/>
          <w:sz w:val="28"/>
          <w:szCs w:val="28"/>
        </w:rPr>
        <w:t>完善供水设施和供水管网，加强输配水管网建设，保障供水安全。采用一用一备形式，新建改造输水干管，减少事故率，保障输水安全。工业、生活两套系统，采用独立与集中结合、支状与环状结合的方式布设供水管网系统，加强环状联络管路和加压泵站建设。规划至2035年，给水普及率达到90%以上，水质达标率达到100%，城镇供水管网漏损率小于10%。</w:t>
      </w:r>
    </w:p>
    <w:p w14:paraId="7C973063">
      <w:pPr>
        <w:spacing w:line="360" w:lineRule="auto"/>
        <w:ind w:firstLine="2650" w:firstLineChars="1200"/>
        <w:rPr>
          <w:b/>
          <w:bCs/>
        </w:rPr>
      </w:pPr>
      <w:r>
        <w:rPr>
          <w:rFonts w:hint="eastAsia"/>
          <w:b/>
          <w:bCs/>
        </w:rPr>
        <w:t>化工</w:t>
      </w:r>
      <w:r>
        <w:rPr>
          <w:b/>
          <w:bCs/>
        </w:rPr>
        <w:t>园区给水厂规划一览表</w:t>
      </w:r>
    </w:p>
    <w:tbl>
      <w:tblPr>
        <w:tblStyle w:val="9"/>
        <w:tblpPr w:leftFromText="180" w:rightFromText="180" w:vertAnchor="text" w:horzAnchor="page" w:tblpX="2221" w:tblpY="7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8"/>
        <w:gridCol w:w="1814"/>
        <w:gridCol w:w="2191"/>
        <w:gridCol w:w="1435"/>
      </w:tblGrid>
      <w:tr w14:paraId="00994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778" w:type="dxa"/>
          </w:tcPr>
          <w:p w14:paraId="564B4767">
            <w:pPr>
              <w:pStyle w:val="14"/>
              <w:ind w:left="298" w:right="286"/>
              <w:jc w:val="center"/>
              <w:rPr>
                <w:sz w:val="21"/>
              </w:rPr>
            </w:pPr>
            <w:r>
              <w:rPr>
                <w:spacing w:val="-5"/>
                <w:sz w:val="21"/>
              </w:rPr>
              <w:t>名称</w:t>
            </w:r>
          </w:p>
        </w:tc>
        <w:tc>
          <w:tcPr>
            <w:tcW w:w="1814" w:type="dxa"/>
          </w:tcPr>
          <w:p w14:paraId="31F2EE4D">
            <w:pPr>
              <w:pStyle w:val="14"/>
              <w:ind w:left="418" w:right="407"/>
              <w:jc w:val="center"/>
              <w:rPr>
                <w:sz w:val="21"/>
              </w:rPr>
            </w:pPr>
            <w:r>
              <w:rPr>
                <w:spacing w:val="-5"/>
                <w:sz w:val="21"/>
              </w:rPr>
              <w:t>水源</w:t>
            </w:r>
          </w:p>
        </w:tc>
        <w:tc>
          <w:tcPr>
            <w:tcW w:w="2191" w:type="dxa"/>
          </w:tcPr>
          <w:p w14:paraId="7AE1244D">
            <w:pPr>
              <w:pStyle w:val="14"/>
              <w:ind w:left="107" w:right="-15"/>
              <w:rPr>
                <w:sz w:val="21"/>
              </w:rPr>
            </w:pPr>
            <w:r>
              <w:rPr>
                <w:spacing w:val="-28"/>
                <w:sz w:val="21"/>
              </w:rPr>
              <w:t>规模</w:t>
            </w:r>
            <w:r>
              <w:rPr>
                <w:spacing w:val="-2"/>
                <w:sz w:val="21"/>
              </w:rPr>
              <w:t>（万平方米/天</w:t>
            </w:r>
            <w:r>
              <w:rPr>
                <w:spacing w:val="-10"/>
                <w:sz w:val="21"/>
              </w:rPr>
              <w:t>）</w:t>
            </w:r>
          </w:p>
        </w:tc>
        <w:tc>
          <w:tcPr>
            <w:tcW w:w="1435" w:type="dxa"/>
          </w:tcPr>
          <w:p w14:paraId="3E16EDBB">
            <w:pPr>
              <w:pStyle w:val="14"/>
              <w:ind w:left="240" w:right="229"/>
              <w:jc w:val="center"/>
              <w:rPr>
                <w:sz w:val="21"/>
              </w:rPr>
            </w:pPr>
            <w:r>
              <w:rPr>
                <w:spacing w:val="-5"/>
                <w:sz w:val="21"/>
              </w:rPr>
              <w:t>备注</w:t>
            </w:r>
          </w:p>
        </w:tc>
      </w:tr>
      <w:tr w14:paraId="7F4B9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778" w:type="dxa"/>
          </w:tcPr>
          <w:p w14:paraId="4BF7E97B">
            <w:pPr>
              <w:pStyle w:val="14"/>
              <w:ind w:left="298" w:right="289"/>
              <w:jc w:val="center"/>
              <w:rPr>
                <w:sz w:val="21"/>
              </w:rPr>
            </w:pPr>
            <w:r>
              <w:rPr>
                <w:rFonts w:hint="eastAsia"/>
                <w:spacing w:val="-4"/>
                <w:sz w:val="21"/>
              </w:rPr>
              <w:t>南区</w:t>
            </w:r>
          </w:p>
        </w:tc>
        <w:tc>
          <w:tcPr>
            <w:tcW w:w="1814" w:type="dxa"/>
          </w:tcPr>
          <w:p w14:paraId="3D051707">
            <w:pPr>
              <w:pStyle w:val="14"/>
              <w:ind w:left="418" w:right="409"/>
              <w:jc w:val="center"/>
              <w:rPr>
                <w:sz w:val="21"/>
              </w:rPr>
            </w:pPr>
            <w:r>
              <w:rPr>
                <w:rFonts w:hint="eastAsia"/>
                <w:spacing w:val="-4"/>
                <w:sz w:val="21"/>
              </w:rPr>
              <w:t>地下</w:t>
            </w:r>
          </w:p>
        </w:tc>
        <w:tc>
          <w:tcPr>
            <w:tcW w:w="2191" w:type="dxa"/>
          </w:tcPr>
          <w:p w14:paraId="603BE498">
            <w:pPr>
              <w:pStyle w:val="14"/>
              <w:ind w:left="907" w:right="898"/>
              <w:jc w:val="center"/>
              <w:rPr>
                <w:sz w:val="21"/>
              </w:rPr>
            </w:pPr>
            <w:r>
              <w:rPr>
                <w:spacing w:val="-5"/>
                <w:sz w:val="21"/>
              </w:rPr>
              <w:t>30</w:t>
            </w:r>
          </w:p>
        </w:tc>
        <w:tc>
          <w:tcPr>
            <w:tcW w:w="1435" w:type="dxa"/>
          </w:tcPr>
          <w:p w14:paraId="6384645E">
            <w:pPr>
              <w:pStyle w:val="14"/>
              <w:ind w:firstLine="404" w:firstLineChars="200"/>
              <w:rPr>
                <w:rFonts w:ascii="Times New Roman"/>
              </w:rPr>
            </w:pPr>
            <w:r>
              <w:rPr>
                <w:spacing w:val="-4"/>
                <w:sz w:val="21"/>
              </w:rPr>
              <w:t>正在筹建</w:t>
            </w:r>
          </w:p>
        </w:tc>
      </w:tr>
      <w:tr w14:paraId="4C604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778" w:type="dxa"/>
          </w:tcPr>
          <w:p w14:paraId="64B1E7DE">
            <w:pPr>
              <w:pStyle w:val="14"/>
              <w:ind w:left="298" w:right="289"/>
              <w:jc w:val="center"/>
              <w:rPr>
                <w:sz w:val="21"/>
              </w:rPr>
            </w:pPr>
            <w:r>
              <w:rPr>
                <w:rFonts w:hint="eastAsia"/>
                <w:spacing w:val="-4"/>
                <w:sz w:val="21"/>
              </w:rPr>
              <w:t>新能源区</w:t>
            </w:r>
          </w:p>
        </w:tc>
        <w:tc>
          <w:tcPr>
            <w:tcW w:w="1814" w:type="dxa"/>
          </w:tcPr>
          <w:p w14:paraId="6DB32BBF">
            <w:pPr>
              <w:pStyle w:val="14"/>
              <w:ind w:left="418" w:right="409"/>
              <w:jc w:val="center"/>
              <w:rPr>
                <w:sz w:val="21"/>
              </w:rPr>
            </w:pPr>
            <w:r>
              <w:rPr>
                <w:rFonts w:hint="eastAsia"/>
                <w:spacing w:val="-4"/>
                <w:sz w:val="21"/>
              </w:rPr>
              <w:t>地下</w:t>
            </w:r>
          </w:p>
        </w:tc>
        <w:tc>
          <w:tcPr>
            <w:tcW w:w="2191" w:type="dxa"/>
          </w:tcPr>
          <w:p w14:paraId="785AB34D">
            <w:pPr>
              <w:pStyle w:val="14"/>
              <w:ind w:left="907" w:right="898"/>
              <w:jc w:val="center"/>
              <w:rPr>
                <w:sz w:val="21"/>
              </w:rPr>
            </w:pPr>
            <w:r>
              <w:rPr>
                <w:spacing w:val="-5"/>
                <w:sz w:val="21"/>
              </w:rPr>
              <w:t>40</w:t>
            </w:r>
          </w:p>
        </w:tc>
        <w:tc>
          <w:tcPr>
            <w:tcW w:w="1435" w:type="dxa"/>
          </w:tcPr>
          <w:p w14:paraId="477559F0">
            <w:pPr>
              <w:pStyle w:val="14"/>
              <w:ind w:left="240" w:right="231"/>
              <w:jc w:val="center"/>
              <w:rPr>
                <w:sz w:val="21"/>
              </w:rPr>
            </w:pPr>
            <w:r>
              <w:rPr>
                <w:spacing w:val="-4"/>
                <w:sz w:val="21"/>
              </w:rPr>
              <w:t>正在筹建</w:t>
            </w:r>
          </w:p>
        </w:tc>
      </w:tr>
    </w:tbl>
    <w:p w14:paraId="598094C6">
      <w:pPr>
        <w:spacing w:line="360" w:lineRule="auto"/>
        <w:rPr>
          <w:b/>
          <w:bCs/>
        </w:rPr>
      </w:pPr>
    </w:p>
    <w:p w14:paraId="5E2C70F0">
      <w:pPr>
        <w:spacing w:line="360" w:lineRule="auto"/>
        <w:rPr>
          <w:b/>
          <w:bCs/>
        </w:rPr>
      </w:pPr>
    </w:p>
    <w:p w14:paraId="55297C1B">
      <w:pPr>
        <w:spacing w:line="360" w:lineRule="auto"/>
        <w:rPr>
          <w:b/>
          <w:bCs/>
        </w:rPr>
      </w:pPr>
    </w:p>
    <w:p w14:paraId="70AAB95D">
      <w:pPr>
        <w:spacing w:line="360" w:lineRule="auto"/>
        <w:rPr>
          <w:b/>
          <w:bCs/>
        </w:rPr>
      </w:pPr>
    </w:p>
    <w:p w14:paraId="16E6F4AD">
      <w:pPr>
        <w:pStyle w:val="5"/>
        <w:spacing w:line="360" w:lineRule="auto"/>
        <w:ind w:firstLine="562" w:firstLineChars="200"/>
        <w:rPr>
          <w:b/>
          <w:bCs/>
          <w:sz w:val="28"/>
          <w:szCs w:val="28"/>
        </w:rPr>
      </w:pPr>
      <w:r>
        <w:rPr>
          <w:rFonts w:hint="eastAsia"/>
          <w:b/>
          <w:bCs/>
          <w:sz w:val="28"/>
          <w:szCs w:val="28"/>
        </w:rPr>
        <w:t>2.消防供水设施设置</w:t>
      </w:r>
    </w:p>
    <w:p w14:paraId="5DF90525">
      <w:pPr>
        <w:pStyle w:val="5"/>
        <w:spacing w:line="360" w:lineRule="auto"/>
        <w:ind w:firstLine="560" w:firstLineChars="200"/>
        <w:rPr>
          <w:sz w:val="28"/>
          <w:szCs w:val="28"/>
        </w:rPr>
      </w:pPr>
      <w:r>
        <w:rPr>
          <w:rFonts w:hint="eastAsia"/>
          <w:sz w:val="28"/>
          <w:szCs w:val="28"/>
        </w:rPr>
        <w:t>2.1消火栓配水管网布置形式</w:t>
      </w:r>
    </w:p>
    <w:p w14:paraId="51C8EE31">
      <w:pPr>
        <w:spacing w:line="360" w:lineRule="auto"/>
        <w:ind w:firstLine="560" w:firstLineChars="200"/>
        <w:rPr>
          <w:sz w:val="28"/>
          <w:szCs w:val="28"/>
        </w:rPr>
      </w:pPr>
      <w:r>
        <w:rPr>
          <w:rFonts w:hint="eastAsia"/>
          <w:sz w:val="28"/>
          <w:szCs w:val="28"/>
        </w:rPr>
        <w:t>合理布置消防给水管网系统的配水管网、确定配水管网的尺寸，管网压力不低于0.3兆帕，满足管网所需的设计用水量。</w:t>
      </w:r>
    </w:p>
    <w:p w14:paraId="0EAAE35C">
      <w:pPr>
        <w:spacing w:line="360" w:lineRule="auto"/>
        <w:ind w:firstLine="560" w:firstLineChars="200"/>
        <w:rPr>
          <w:sz w:val="28"/>
          <w:szCs w:val="28"/>
        </w:rPr>
      </w:pPr>
      <w:r>
        <w:rPr>
          <w:rFonts w:hint="eastAsia"/>
          <w:sz w:val="28"/>
          <w:szCs w:val="28"/>
        </w:rPr>
        <w:t>配水管网应尽可能布置成环状，满足消防取水设施至少能从两个方向取水，增加输水的可靠性，保证消防灭火时大流量消防用水的集中使用，最大程度地减少阻力损失，保证所需的供水工作压力。</w:t>
      </w:r>
    </w:p>
    <w:p w14:paraId="630FD4BD">
      <w:pPr>
        <w:spacing w:line="360" w:lineRule="auto"/>
        <w:ind w:firstLine="560" w:firstLineChars="200"/>
        <w:rPr>
          <w:sz w:val="28"/>
          <w:szCs w:val="28"/>
        </w:rPr>
      </w:pPr>
      <w:r>
        <w:rPr>
          <w:rFonts w:hint="eastAsia"/>
          <w:sz w:val="28"/>
          <w:szCs w:val="28"/>
        </w:rPr>
        <w:t>主干管应尽可能布置在两侧均有较大用户的道路上，主干管之间应设置成几个相互连通的环状，两平行干管的间距一般控制在500</w:t>
      </w:r>
      <w:r>
        <w:rPr>
          <w:rFonts w:hint="eastAsia"/>
          <w:sz w:val="28"/>
          <w:szCs w:val="28"/>
          <w:lang w:eastAsia="zh-CN"/>
        </w:rPr>
        <w:t>米</w:t>
      </w:r>
      <w:r>
        <w:rPr>
          <w:rFonts w:hint="eastAsia"/>
          <w:sz w:val="28"/>
          <w:szCs w:val="28"/>
        </w:rPr>
        <w:t>—1000米。对于较长、较大的主干管，应在其低点安装放空阀，高点安装空气释放阀。</w:t>
      </w:r>
    </w:p>
    <w:p w14:paraId="01EDA10A">
      <w:pPr>
        <w:spacing w:line="360" w:lineRule="auto"/>
        <w:ind w:firstLine="560" w:firstLineChars="200"/>
        <w:rPr>
          <w:sz w:val="28"/>
          <w:szCs w:val="28"/>
        </w:rPr>
      </w:pPr>
      <w:r>
        <w:rPr>
          <w:rFonts w:hint="eastAsia"/>
          <w:sz w:val="28"/>
          <w:szCs w:val="28"/>
        </w:rPr>
        <w:t>2.2消火栓设置</w:t>
      </w:r>
    </w:p>
    <w:p w14:paraId="7E82A26B">
      <w:pPr>
        <w:spacing w:line="360" w:lineRule="auto"/>
        <w:ind w:firstLine="560" w:firstLineChars="200"/>
        <w:rPr>
          <w:sz w:val="21"/>
          <w:szCs w:val="21"/>
        </w:rPr>
      </w:pPr>
      <w:r>
        <w:rPr>
          <w:rFonts w:hint="eastAsia"/>
          <w:sz w:val="28"/>
          <w:szCs w:val="28"/>
        </w:rPr>
        <w:t>化工园区采用地下式低压消火栓，沿道路边布置，间距不宜大于120米。</w:t>
      </w:r>
    </w:p>
    <w:p w14:paraId="0F8FA7BA">
      <w:pPr>
        <w:pStyle w:val="3"/>
        <w:spacing w:line="360" w:lineRule="auto"/>
        <w:ind w:left="0" w:firstLine="602" w:firstLineChars="200"/>
      </w:pPr>
      <w:bookmarkStart w:id="235" w:name="_Toc2031"/>
      <w:bookmarkStart w:id="236" w:name="_Toc31887"/>
      <w:bookmarkStart w:id="237" w:name="_Toc9759"/>
      <w:bookmarkStart w:id="238" w:name="_Toc19961"/>
      <w:bookmarkStart w:id="239" w:name="_Toc4866"/>
      <w:bookmarkStart w:id="240" w:name="_Toc29690"/>
      <w:r>
        <w:rPr>
          <w:rFonts w:hint="eastAsia"/>
        </w:rPr>
        <w:t>第二十九条　消防供电规划</w:t>
      </w:r>
      <w:bookmarkEnd w:id="235"/>
      <w:bookmarkEnd w:id="236"/>
      <w:bookmarkEnd w:id="237"/>
      <w:bookmarkEnd w:id="238"/>
      <w:bookmarkEnd w:id="239"/>
      <w:bookmarkEnd w:id="240"/>
    </w:p>
    <w:p w14:paraId="1FA23E1D">
      <w:pPr>
        <w:pStyle w:val="5"/>
        <w:spacing w:line="360" w:lineRule="auto"/>
        <w:ind w:firstLine="562" w:firstLineChars="200"/>
        <w:rPr>
          <w:b/>
          <w:bCs/>
          <w:sz w:val="28"/>
          <w:szCs w:val="28"/>
        </w:rPr>
      </w:pPr>
      <w:r>
        <w:rPr>
          <w:rFonts w:hint="eastAsia"/>
          <w:b/>
          <w:bCs/>
          <w:sz w:val="28"/>
          <w:szCs w:val="28"/>
        </w:rPr>
        <w:t>1.供电系统规划</w:t>
      </w:r>
    </w:p>
    <w:p w14:paraId="43C5C134">
      <w:pPr>
        <w:spacing w:line="360" w:lineRule="auto"/>
        <w:ind w:firstLine="560" w:firstLineChars="200"/>
        <w:rPr>
          <w:sz w:val="28"/>
          <w:szCs w:val="28"/>
        </w:rPr>
      </w:pPr>
      <w:r>
        <w:rPr>
          <w:rFonts w:hint="eastAsia"/>
          <w:sz w:val="28"/>
          <w:szCs w:val="28"/>
        </w:rPr>
        <w:t>建设安全高效的绿色智能电网，加快电力现代能源输送通道的建设。形成以500千伏变电站为中心，220千伏电网为骨架，煤电、光电、风电、生物发电为辅电源支撑的双回链式、环状结构网架，保证各分区间具备应急支援能力。独贵塔拉产业园北项目区主要供电电源为220千伏永兴变；南项目区主要供电电源为220千伏锦泰变，新能源产业园主要供电电源为220千伏杭锦变。重点建设新能源重点项目和接网工程、电源外送工程、企业配套项目。规划至2035年，新能源和可再生能源占能源消费总量比重达到30%。</w:t>
      </w:r>
    </w:p>
    <w:p w14:paraId="64790343">
      <w:pPr>
        <w:spacing w:line="360" w:lineRule="auto"/>
        <w:ind w:firstLine="560" w:firstLineChars="200"/>
        <w:rPr>
          <w:sz w:val="28"/>
          <w:szCs w:val="28"/>
        </w:rPr>
      </w:pPr>
      <w:r>
        <w:rPr>
          <w:rFonts w:hint="eastAsia"/>
          <w:sz w:val="28"/>
          <w:szCs w:val="28"/>
        </w:rPr>
        <w:t>独贵塔拉产业园北项目区扩容110千伏郭三梁变；</w:t>
      </w:r>
    </w:p>
    <w:p w14:paraId="37C18BA9">
      <w:pPr>
        <w:spacing w:line="360" w:lineRule="auto"/>
        <w:rPr>
          <w:sz w:val="28"/>
          <w:szCs w:val="28"/>
        </w:rPr>
      </w:pPr>
      <w:r>
        <w:rPr>
          <w:rFonts w:hint="eastAsia"/>
        </w:rPr>
        <w:drawing>
          <wp:inline distT="0" distB="0" distL="114300" distR="114300">
            <wp:extent cx="5290820" cy="3623945"/>
            <wp:effectExtent l="0" t="0" r="5080" b="14605"/>
            <wp:docPr id="45" name="图片 45" descr="19-开发区市政基础设施规划图（电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9-开发区市政基础设施规划图（电力）-1"/>
                    <pic:cNvPicPr>
                      <a:picLocks noChangeAspect="1"/>
                    </pic:cNvPicPr>
                  </pic:nvPicPr>
                  <pic:blipFill>
                    <a:blip r:embed="rId7"/>
                    <a:stretch>
                      <a:fillRect/>
                    </a:stretch>
                  </pic:blipFill>
                  <pic:spPr>
                    <a:xfrm>
                      <a:off x="0" y="0"/>
                      <a:ext cx="5290820" cy="3623945"/>
                    </a:xfrm>
                    <a:prstGeom prst="rect">
                      <a:avLst/>
                    </a:prstGeom>
                  </pic:spPr>
                </pic:pic>
              </a:graphicData>
            </a:graphic>
          </wp:inline>
        </w:drawing>
      </w:r>
    </w:p>
    <w:p w14:paraId="34900B11">
      <w:pPr>
        <w:spacing w:line="360" w:lineRule="auto"/>
        <w:ind w:firstLine="560" w:firstLineChars="200"/>
        <w:rPr>
          <w:sz w:val="28"/>
          <w:szCs w:val="28"/>
        </w:rPr>
      </w:pPr>
      <w:r>
        <w:rPr>
          <w:rFonts w:hint="eastAsia"/>
          <w:sz w:val="28"/>
          <w:szCs w:val="28"/>
        </w:rPr>
        <w:t>独贵塔拉产业园南项目区扩容110千伏西北沟变，保留现状35千伏变电；</w:t>
      </w:r>
    </w:p>
    <w:p w14:paraId="1B001D7F">
      <w:pPr>
        <w:spacing w:line="360" w:lineRule="auto"/>
        <w:rPr>
          <w:sz w:val="28"/>
          <w:szCs w:val="28"/>
        </w:rPr>
      </w:pPr>
      <w:r>
        <w:rPr>
          <w:rFonts w:hint="eastAsia"/>
        </w:rPr>
        <w:drawing>
          <wp:inline distT="0" distB="0" distL="114300" distR="114300">
            <wp:extent cx="5310505" cy="3755390"/>
            <wp:effectExtent l="0" t="0" r="4445" b="16510"/>
            <wp:docPr id="4" name="图片 4" descr="19-开发区市政基础设施规划图（电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开发区市政基础设施规划图（电力）-1"/>
                    <pic:cNvPicPr>
                      <a:picLocks noChangeAspect="1"/>
                    </pic:cNvPicPr>
                  </pic:nvPicPr>
                  <pic:blipFill>
                    <a:blip r:embed="rId7"/>
                    <a:stretch>
                      <a:fillRect/>
                    </a:stretch>
                  </pic:blipFill>
                  <pic:spPr>
                    <a:xfrm>
                      <a:off x="0" y="0"/>
                      <a:ext cx="5310505" cy="3755390"/>
                    </a:xfrm>
                    <a:prstGeom prst="rect">
                      <a:avLst/>
                    </a:prstGeom>
                  </pic:spPr>
                </pic:pic>
              </a:graphicData>
            </a:graphic>
          </wp:inline>
        </w:drawing>
      </w:r>
    </w:p>
    <w:p w14:paraId="1BFF6598">
      <w:pPr>
        <w:spacing w:line="360" w:lineRule="auto"/>
        <w:ind w:firstLine="560" w:firstLineChars="200"/>
        <w:rPr>
          <w:sz w:val="28"/>
          <w:szCs w:val="28"/>
        </w:rPr>
      </w:pPr>
      <w:r>
        <w:rPr>
          <w:rFonts w:hint="eastAsia"/>
          <w:sz w:val="28"/>
          <w:szCs w:val="28"/>
        </w:rPr>
        <w:t>新能源产业园规划新建110千伏化工园区变电站，占地面积0.67公顷，保留现状220千伏变电站与35千伏工业园变电站。新建110千伏化工园区变电站，占地面积0.67公顷。规划至2035年，保证化工园区生产生活用电需求，供电能力及供电安全水平显著提升，供电可靠率达到99.9%以上。</w:t>
      </w:r>
    </w:p>
    <w:p w14:paraId="79B24F9A">
      <w:pPr>
        <w:spacing w:line="360" w:lineRule="auto"/>
        <w:ind w:firstLine="560" w:firstLineChars="200"/>
        <w:rPr>
          <w:sz w:val="28"/>
          <w:szCs w:val="28"/>
        </w:rPr>
      </w:pPr>
      <w:r>
        <w:rPr>
          <w:rFonts w:hint="eastAsia"/>
          <w:sz w:val="28"/>
          <w:szCs w:val="28"/>
        </w:rPr>
        <w:t>化工园区规划范围内和周边要严格高压塔架选址，尽量合并高压电力走廊，采用同塔多回紧凑型架空方式，加快推进110千伏送变电双回路联网工程。220千伏高压走廊控制宽度为30米，110千伏高压走廊控制宽度为15米，35千伏高压走廊控制宽度为12米，沿路侧绿化带布设。</w:t>
      </w:r>
    </w:p>
    <w:p w14:paraId="642F2A62">
      <w:pPr>
        <w:pStyle w:val="5"/>
        <w:spacing w:line="360" w:lineRule="auto"/>
        <w:ind w:firstLine="562" w:firstLineChars="200"/>
        <w:rPr>
          <w:b/>
          <w:bCs/>
          <w:sz w:val="28"/>
          <w:szCs w:val="28"/>
        </w:rPr>
      </w:pPr>
      <w:r>
        <w:rPr>
          <w:rFonts w:hint="eastAsia"/>
          <w:b/>
          <w:bCs/>
          <w:sz w:val="28"/>
          <w:szCs w:val="28"/>
        </w:rPr>
        <w:t>2.电网规划</w:t>
      </w:r>
    </w:p>
    <w:p w14:paraId="124FE206">
      <w:pPr>
        <w:spacing w:line="360" w:lineRule="auto"/>
        <w:ind w:firstLine="560" w:firstLineChars="200"/>
        <w:rPr>
          <w:sz w:val="28"/>
          <w:szCs w:val="28"/>
        </w:rPr>
      </w:pPr>
      <w:r>
        <w:rPr>
          <w:rFonts w:hint="eastAsia"/>
          <w:sz w:val="28"/>
          <w:szCs w:val="28"/>
        </w:rPr>
        <w:t>化工园区内各用户应采用双回路电源供电方式，以保障供电可靠性。企业根据需要建设35kV或110kV变电所。</w:t>
      </w:r>
    </w:p>
    <w:p w14:paraId="726313BD">
      <w:pPr>
        <w:spacing w:line="360" w:lineRule="auto"/>
        <w:ind w:firstLine="560" w:firstLineChars="200"/>
        <w:rPr>
          <w:sz w:val="28"/>
          <w:szCs w:val="28"/>
        </w:rPr>
      </w:pPr>
      <w:r>
        <w:rPr>
          <w:rFonts w:hint="eastAsia"/>
          <w:sz w:val="28"/>
          <w:szCs w:val="28"/>
        </w:rPr>
        <w:t>新建220kV高压电线原则上应入地铺设</w:t>
      </w:r>
      <w:r>
        <w:rPr>
          <w:rFonts w:hint="eastAsia"/>
          <w:sz w:val="28"/>
          <w:szCs w:val="28"/>
          <w:lang w:eastAsia="zh-CN"/>
        </w:rPr>
        <w:t>，</w:t>
      </w:r>
      <w:r>
        <w:rPr>
          <w:rFonts w:hint="eastAsia"/>
          <w:sz w:val="28"/>
          <w:szCs w:val="28"/>
        </w:rPr>
        <w:t>电缆管沟应与道路同步建设</w:t>
      </w:r>
      <w:r>
        <w:rPr>
          <w:rFonts w:hint="eastAsia"/>
          <w:sz w:val="28"/>
          <w:szCs w:val="28"/>
          <w:lang w:eastAsia="zh-CN"/>
        </w:rPr>
        <w:t>，</w:t>
      </w:r>
      <w:r>
        <w:rPr>
          <w:rFonts w:hint="eastAsia"/>
          <w:sz w:val="28"/>
          <w:szCs w:val="28"/>
        </w:rPr>
        <w:t>特殊情况可架空建设</w:t>
      </w:r>
      <w:r>
        <w:rPr>
          <w:rFonts w:hint="eastAsia"/>
          <w:sz w:val="28"/>
          <w:szCs w:val="28"/>
          <w:lang w:eastAsia="zh-CN"/>
        </w:rPr>
        <w:t>，</w:t>
      </w:r>
      <w:r>
        <w:rPr>
          <w:rFonts w:hint="eastAsia"/>
          <w:sz w:val="28"/>
          <w:szCs w:val="28"/>
        </w:rPr>
        <w:t>但应充分考虑危化企业装置等安全距离。</w:t>
      </w:r>
    </w:p>
    <w:p w14:paraId="1E88AC9F">
      <w:pPr>
        <w:pStyle w:val="5"/>
        <w:spacing w:line="360" w:lineRule="auto"/>
        <w:ind w:firstLine="562" w:firstLineChars="200"/>
        <w:rPr>
          <w:b/>
          <w:bCs/>
          <w:sz w:val="28"/>
          <w:szCs w:val="28"/>
        </w:rPr>
      </w:pPr>
      <w:r>
        <w:rPr>
          <w:rFonts w:hint="eastAsia"/>
          <w:b/>
          <w:bCs/>
          <w:sz w:val="28"/>
          <w:szCs w:val="28"/>
        </w:rPr>
        <w:t>3.消防供电要求</w:t>
      </w:r>
    </w:p>
    <w:p w14:paraId="662B16D5">
      <w:pPr>
        <w:spacing w:line="360" w:lineRule="auto"/>
        <w:ind w:firstLine="560" w:firstLineChars="200"/>
        <w:rPr>
          <w:sz w:val="28"/>
          <w:szCs w:val="28"/>
        </w:rPr>
      </w:pPr>
      <w:r>
        <w:rPr>
          <w:rFonts w:hint="eastAsia"/>
          <w:sz w:val="28"/>
          <w:szCs w:val="28"/>
        </w:rPr>
        <w:t>3.1架空高压线与易燃易爆场所和建（构）筑物之间必须按规范留足安全距离。</w:t>
      </w:r>
    </w:p>
    <w:p w14:paraId="486B2DE6">
      <w:pPr>
        <w:spacing w:line="360" w:lineRule="auto"/>
        <w:ind w:firstLine="560" w:firstLineChars="200"/>
        <w:rPr>
          <w:sz w:val="28"/>
          <w:szCs w:val="28"/>
        </w:rPr>
      </w:pPr>
      <w:r>
        <w:rPr>
          <w:rFonts w:hint="eastAsia"/>
          <w:sz w:val="28"/>
          <w:szCs w:val="28"/>
        </w:rPr>
        <w:t>3.2电力、电缆地下通道同输气管道、热力管之间必须按规范留足安全距离，在交叉时必须加强保护措施。</w:t>
      </w:r>
    </w:p>
    <w:p w14:paraId="110A240B">
      <w:pPr>
        <w:spacing w:line="360" w:lineRule="auto"/>
        <w:ind w:firstLine="560" w:firstLineChars="200"/>
        <w:rPr>
          <w:sz w:val="28"/>
          <w:szCs w:val="28"/>
        </w:rPr>
      </w:pPr>
      <w:r>
        <w:rPr>
          <w:rFonts w:hint="eastAsia"/>
          <w:sz w:val="28"/>
          <w:szCs w:val="28"/>
        </w:rPr>
        <w:t>3.3所有公共场所及其他重要场所电气设计、施工和装潢电气设计、施工必须由具备资质的单位设计和施工，施工完毕必须由消防业务主管部门验收合格方能运行。</w:t>
      </w:r>
    </w:p>
    <w:p w14:paraId="497402FF">
      <w:pPr>
        <w:spacing w:line="360" w:lineRule="auto"/>
        <w:ind w:firstLine="560" w:firstLineChars="200"/>
      </w:pPr>
      <w:r>
        <w:rPr>
          <w:rFonts w:hint="eastAsia"/>
          <w:sz w:val="28"/>
          <w:szCs w:val="28"/>
        </w:rPr>
        <w:t>3.4重要活动的变配电装置必须采用不带可燃性油类的电气设备（这一要求主要是出于安全考虑，以避免因电气设备故障或外部因素导致的火灾风险。在重要单位中，如会展中心、会议中心、剧场、体育建筑、考场等，变配电装置的安全运行至关重要。使用不带可燃性油类的电气设备，可以显著降低因油类泄漏或设备故障引发的火灾风险，从而保障重要活动的顺利进行和人员安全。）。</w:t>
      </w:r>
    </w:p>
    <w:p w14:paraId="437BF712">
      <w:pPr>
        <w:pStyle w:val="3"/>
        <w:spacing w:line="360" w:lineRule="auto"/>
        <w:ind w:left="0" w:firstLine="602" w:firstLineChars="200"/>
      </w:pPr>
      <w:bookmarkStart w:id="241" w:name="_Toc15470"/>
      <w:r>
        <w:rPr>
          <w:rFonts w:hint="eastAsia"/>
        </w:rPr>
        <w:t>第三十条</w:t>
      </w:r>
      <w:r>
        <w:rPr>
          <w:rFonts w:hint="eastAsia"/>
          <w:lang w:val="en-US" w:eastAsia="zh-CN"/>
        </w:rPr>
        <w:t xml:space="preserve"> </w:t>
      </w:r>
      <w:r>
        <w:rPr>
          <w:rFonts w:hint="eastAsia"/>
        </w:rPr>
        <w:t>事故应急池规划</w:t>
      </w:r>
      <w:bookmarkEnd w:id="241"/>
    </w:p>
    <w:p w14:paraId="778CDF37">
      <w:pPr>
        <w:spacing w:line="360" w:lineRule="auto"/>
        <w:ind w:firstLine="560" w:firstLineChars="200"/>
        <w:rPr>
          <w:sz w:val="28"/>
          <w:szCs w:val="28"/>
        </w:rPr>
      </w:pPr>
      <w:r>
        <w:rPr>
          <w:rFonts w:hint="eastAsia"/>
          <w:sz w:val="28"/>
          <w:szCs w:val="28"/>
        </w:rPr>
        <w:t>化工园区消防事故水池的设置是为了在发生事故时，能够有效地收集和处理消防水以及其他泄漏的有害物质，以减少对环境的影响。</w:t>
      </w:r>
    </w:p>
    <w:p w14:paraId="252E4082">
      <w:pPr>
        <w:spacing w:line="360" w:lineRule="auto"/>
        <w:ind w:firstLine="562" w:firstLineChars="200"/>
        <w:rPr>
          <w:b/>
          <w:bCs/>
          <w:sz w:val="28"/>
          <w:szCs w:val="28"/>
        </w:rPr>
      </w:pPr>
      <w:r>
        <w:rPr>
          <w:rFonts w:hint="eastAsia"/>
          <w:b/>
          <w:bCs/>
          <w:sz w:val="28"/>
          <w:szCs w:val="28"/>
        </w:rPr>
        <w:t>1.化工园区事故应急池的定义与分类</w:t>
      </w:r>
    </w:p>
    <w:p w14:paraId="5D4FE96F">
      <w:pPr>
        <w:spacing w:line="360" w:lineRule="auto"/>
        <w:ind w:firstLine="560" w:firstLineChars="200"/>
        <w:rPr>
          <w:sz w:val="28"/>
          <w:szCs w:val="28"/>
        </w:rPr>
      </w:pPr>
      <w:r>
        <w:rPr>
          <w:rFonts w:hint="eastAsia"/>
          <w:sz w:val="28"/>
          <w:szCs w:val="28"/>
        </w:rPr>
        <w:t>化工园区事故应急池，简称应急池，是化工园区内用于储存、调节和处理事故废水的设施1。这些废水包括消防水、泄漏物料以及其他可能产生的污染雨水等。</w:t>
      </w:r>
    </w:p>
    <w:p w14:paraId="3EB06E8C">
      <w:pPr>
        <w:spacing w:line="360" w:lineRule="auto"/>
        <w:ind w:firstLine="562" w:firstLineChars="200"/>
        <w:rPr>
          <w:b/>
          <w:bCs/>
          <w:sz w:val="28"/>
          <w:szCs w:val="28"/>
        </w:rPr>
      </w:pPr>
      <w:r>
        <w:rPr>
          <w:rFonts w:hint="eastAsia"/>
          <w:b/>
          <w:bCs/>
          <w:sz w:val="28"/>
          <w:szCs w:val="28"/>
        </w:rPr>
        <w:t>2.化工园区事故应急池建设标准</w:t>
      </w:r>
    </w:p>
    <w:p w14:paraId="35B917C1">
      <w:pPr>
        <w:spacing w:line="360" w:lineRule="auto"/>
        <w:rPr>
          <w:sz w:val="28"/>
          <w:szCs w:val="28"/>
        </w:rPr>
      </w:pPr>
      <w:r>
        <w:rPr>
          <w:rFonts w:hint="eastAsia"/>
          <w:sz w:val="28"/>
          <w:szCs w:val="28"/>
        </w:rPr>
        <w:t>2.1容积要求：应急池的容积应根据化工企业的规模、危险等级、日常生产废水产生量等因素进行确定。一般情况下，应急池的容积应不小于化工企业最大事故废水产生量的两倍，以确保能够容纳并处理所有事故废水。</w:t>
      </w:r>
    </w:p>
    <w:p w14:paraId="4F054B41">
      <w:pPr>
        <w:spacing w:line="360" w:lineRule="auto"/>
        <w:rPr>
          <w:sz w:val="28"/>
          <w:szCs w:val="28"/>
        </w:rPr>
      </w:pPr>
      <w:r>
        <w:rPr>
          <w:rFonts w:hint="eastAsia"/>
          <w:sz w:val="28"/>
          <w:szCs w:val="28"/>
        </w:rPr>
        <w:t>2.2材料选择：应急池的材料选择应符合相关标准要求，常用的材料包括钢筋混凝土、玻璃钢等。材料应具备耐腐蚀、耐高温、耐压等特性，以确保其在处理事故废水时能够安全可靠地运行。</w:t>
      </w:r>
    </w:p>
    <w:p w14:paraId="61AA2D49">
      <w:pPr>
        <w:spacing w:line="360" w:lineRule="auto"/>
        <w:rPr>
          <w:sz w:val="28"/>
          <w:szCs w:val="28"/>
        </w:rPr>
      </w:pPr>
      <w:r>
        <w:rPr>
          <w:rFonts w:hint="eastAsia"/>
          <w:sz w:val="28"/>
          <w:szCs w:val="28"/>
        </w:rPr>
        <w:t>2.3设计要求：应急池的布置应考虑到方便事故废水的收集和输送，并与化工企业的生产工艺流程相匹配，以便迅速、有效地接收事故废水。防渗透措施，应急池的底部和周围应进行防渗透处理，以避免废水渗漏污染地下水和土壤。进出口设置，应急池应设置合理的进出口，在防止废水外溢的同时，方便废水的输送和处理。排放管道，应急池的排放管道应与主要排放管道相连，以便将处理后的废水及时排放到指定排放口进行处理。</w:t>
      </w:r>
    </w:p>
    <w:p w14:paraId="2CDA6C32">
      <w:pPr>
        <w:spacing w:line="360" w:lineRule="auto"/>
        <w:rPr>
          <w:sz w:val="28"/>
          <w:szCs w:val="28"/>
        </w:rPr>
      </w:pPr>
      <w:r>
        <w:rPr>
          <w:rFonts w:hint="eastAsia"/>
          <w:sz w:val="28"/>
          <w:szCs w:val="28"/>
        </w:rPr>
        <w:t>2.4设备配置：泵站设备，应急池应配置泵站设备，以保证事故废水在储存和处理过程中能够顺利移动和输送。搅拌设备，应急池应配置搅拌设备，以确保废水中的污染物能够均匀分布，便于处理过程中的化学反应和生物降解。传感器和监测设备，应急池应配置传感器和监测设备，用于实时监测废水的pH值、温度、浓度等指标，以及废水处理过程中的压力、流量等参数，以便及时调整处理工艺和各类设备的运行状态。</w:t>
      </w:r>
    </w:p>
    <w:p w14:paraId="4CE7B3CD">
      <w:pPr>
        <w:spacing w:line="360" w:lineRule="auto"/>
        <w:ind w:firstLine="840" w:firstLineChars="300"/>
        <w:rPr>
          <w:sz w:val="28"/>
          <w:szCs w:val="28"/>
        </w:rPr>
      </w:pPr>
      <w:r>
        <w:rPr>
          <w:rFonts w:hint="eastAsia"/>
          <w:sz w:val="28"/>
          <w:szCs w:val="28"/>
        </w:rPr>
        <w:t>2.5日常维护‌：为确保消防水池的正常使用和安全性能，应进行日常维护工作，包括定期检查出水管、取水口是否正常，定期清洗消毒以确保水质，以及定期检查结构是否完好并及时处理发现的问题。</w:t>
      </w:r>
    </w:p>
    <w:p w14:paraId="656814DC">
      <w:pPr>
        <w:spacing w:line="360" w:lineRule="auto"/>
        <w:ind w:firstLine="840" w:firstLineChars="300"/>
        <w:rPr>
          <w:sz w:val="21"/>
          <w:szCs w:val="21"/>
        </w:rPr>
      </w:pPr>
      <w:r>
        <w:rPr>
          <w:rFonts w:hint="eastAsia"/>
          <w:sz w:val="28"/>
          <w:szCs w:val="28"/>
        </w:rPr>
        <w:t>2.6废水处理工艺优化：根据废水的特性和处理效果，应及时优化处理工艺，提高处理效率和废水的处理质量。</w:t>
      </w:r>
    </w:p>
    <w:p w14:paraId="0BCAEC7E">
      <w:pPr>
        <w:pStyle w:val="3"/>
        <w:spacing w:line="360" w:lineRule="auto"/>
        <w:ind w:left="0" w:firstLine="602" w:firstLineChars="200"/>
      </w:pPr>
      <w:bookmarkStart w:id="242" w:name="_Toc30523"/>
      <w:r>
        <w:rPr>
          <w:rFonts w:hint="eastAsia"/>
        </w:rPr>
        <w:t>第三十一条</w:t>
      </w:r>
      <w:r>
        <w:rPr>
          <w:rFonts w:hint="eastAsia"/>
          <w:lang w:val="en-US" w:eastAsia="zh-CN"/>
        </w:rPr>
        <w:t xml:space="preserve"> </w:t>
      </w:r>
      <w:r>
        <w:rPr>
          <w:rFonts w:hint="eastAsia"/>
        </w:rPr>
        <w:t>消火栓流量及高低范围规划</w:t>
      </w:r>
      <w:bookmarkEnd w:id="242"/>
    </w:p>
    <w:p w14:paraId="185C51C7">
      <w:pPr>
        <w:spacing w:line="360" w:lineRule="auto"/>
        <w:ind w:firstLine="560" w:firstLineChars="200"/>
        <w:rPr>
          <w:sz w:val="28"/>
          <w:szCs w:val="28"/>
        </w:rPr>
      </w:pPr>
      <w:r>
        <w:rPr>
          <w:sz w:val="28"/>
          <w:szCs w:val="28"/>
        </w:rPr>
        <w:t>化工园区中，消火栓的流量数据以及高低范围是确保消防安全的关键因素。根据相关规范和标准，消火栓的流量和位置应根据其保护半径及被保护对象的消防用水量等综合计算确定，并符合特定规定。</w:t>
      </w:r>
    </w:p>
    <w:p w14:paraId="1C1203BA">
      <w:pPr>
        <w:spacing w:line="360" w:lineRule="auto"/>
        <w:ind w:firstLine="560" w:firstLineChars="200"/>
        <w:rPr>
          <w:sz w:val="28"/>
          <w:szCs w:val="28"/>
        </w:rPr>
      </w:pPr>
      <w:r>
        <w:rPr>
          <w:rFonts w:hint="eastAsia"/>
          <w:bCs/>
          <w:sz w:val="28"/>
          <w:szCs w:val="28"/>
        </w:rPr>
        <w:t>1.</w:t>
      </w:r>
      <w:r>
        <w:rPr>
          <w:rFonts w:hint="eastAsia"/>
          <w:sz w:val="28"/>
          <w:szCs w:val="28"/>
        </w:rPr>
        <w:t>消火栓的保护半径不应超过120m‌，这是为了保证在发生火灾时，消防力量能够迅速到达并有效控制火势。</w:t>
      </w:r>
    </w:p>
    <w:p w14:paraId="7F12E5CE">
      <w:pPr>
        <w:spacing w:line="360" w:lineRule="auto"/>
        <w:ind w:firstLine="560" w:firstLineChars="200"/>
        <w:rPr>
          <w:sz w:val="28"/>
          <w:szCs w:val="28"/>
        </w:rPr>
      </w:pPr>
      <w:r>
        <w:rPr>
          <w:rFonts w:hint="eastAsia"/>
          <w:bCs/>
          <w:sz w:val="28"/>
          <w:szCs w:val="28"/>
        </w:rPr>
        <w:t>2.</w:t>
      </w:r>
      <w:r>
        <w:rPr>
          <w:sz w:val="28"/>
          <w:szCs w:val="28"/>
        </w:rPr>
        <w:t>对于‌高压消防给水管道上的消火栓‌，其出水量应根据管道内的水压及消火栓出口要求的水压经计算确定。对于低压消防水管道，公称直径为100mm和150mm的消火栓的出水量可分别取15L/s和30L/s。</w:t>
      </w:r>
    </w:p>
    <w:p w14:paraId="42CCD3A6">
      <w:pPr>
        <w:spacing w:line="360" w:lineRule="auto"/>
        <w:ind w:firstLine="560" w:firstLineChars="200"/>
        <w:rPr>
          <w:sz w:val="28"/>
          <w:szCs w:val="28"/>
        </w:rPr>
      </w:pPr>
      <w:r>
        <w:rPr>
          <w:rFonts w:hint="eastAsia"/>
          <w:bCs/>
          <w:sz w:val="28"/>
          <w:szCs w:val="28"/>
        </w:rPr>
        <w:t>3.</w:t>
      </w:r>
      <w:r>
        <w:rPr>
          <w:sz w:val="28"/>
          <w:szCs w:val="28"/>
        </w:rPr>
        <w:t>在‌工艺装置区‌和‌罐区‌（包括可燃液体罐区和液化</w:t>
      </w:r>
      <w:r>
        <w:rPr>
          <w:rFonts w:hint="eastAsia"/>
          <w:sz w:val="28"/>
          <w:szCs w:val="28"/>
          <w:lang w:eastAsia="zh-CN"/>
        </w:rPr>
        <w:t>气</w:t>
      </w:r>
      <w:r>
        <w:rPr>
          <w:sz w:val="28"/>
          <w:szCs w:val="28"/>
        </w:rPr>
        <w:t>罐区），消火栓的设置有着特定的要求。工艺装置区的消火栓应在装置四周设置，间距不宜超过60m。</w:t>
      </w:r>
    </w:p>
    <w:p w14:paraId="22F7C142">
      <w:pPr>
        <w:spacing w:line="360" w:lineRule="auto"/>
        <w:ind w:firstLine="560" w:firstLineChars="200"/>
        <w:rPr>
          <w:sz w:val="28"/>
          <w:szCs w:val="28"/>
        </w:rPr>
      </w:pPr>
      <w:r>
        <w:rPr>
          <w:rFonts w:hint="eastAsia"/>
          <w:bCs/>
          <w:sz w:val="28"/>
          <w:szCs w:val="28"/>
        </w:rPr>
        <w:t>4.</w:t>
      </w:r>
      <w:r>
        <w:rPr>
          <w:sz w:val="28"/>
          <w:szCs w:val="28"/>
        </w:rPr>
        <w:t>对于罐区，距罐壁15m以内的消火栓不应计算在该储罐可使用的数量内，且宜设置公称直径为150mm的消火栓。</w:t>
      </w:r>
    </w:p>
    <w:p w14:paraId="0D2409D9">
      <w:pPr>
        <w:pStyle w:val="2"/>
        <w:ind w:left="0"/>
        <w:jc w:val="both"/>
        <w:rPr>
          <w:sz w:val="21"/>
          <w:szCs w:val="21"/>
        </w:rPr>
      </w:pPr>
      <w:bookmarkStart w:id="243" w:name="_Toc20285"/>
      <w:bookmarkStart w:id="244" w:name="_Toc22362"/>
      <w:bookmarkStart w:id="245" w:name="_Toc20941"/>
      <w:bookmarkStart w:id="246" w:name="_Toc23166"/>
      <w:bookmarkStart w:id="247" w:name="_Toc13928"/>
      <w:bookmarkStart w:id="248" w:name="_Toc1427"/>
      <w:bookmarkStart w:id="249" w:name="_Toc29999"/>
      <w:bookmarkStart w:id="250" w:name="_Toc8164"/>
      <w:bookmarkStart w:id="251" w:name="_Toc4658"/>
      <w:bookmarkStart w:id="252" w:name="_Toc12544"/>
    </w:p>
    <w:p w14:paraId="0746C6D1">
      <w:pPr>
        <w:pStyle w:val="2"/>
        <w:numPr>
          <w:ilvl w:val="0"/>
          <w:numId w:val="1"/>
        </w:numPr>
        <w:ind w:left="0" w:firstLine="1807" w:firstLineChars="500"/>
        <w:jc w:val="both"/>
      </w:pPr>
      <w:bookmarkStart w:id="253" w:name="_Toc29320"/>
      <w:r>
        <w:t>智慧消防建设</w:t>
      </w:r>
      <w:bookmarkEnd w:id="243"/>
      <w:bookmarkEnd w:id="244"/>
      <w:bookmarkEnd w:id="245"/>
      <w:bookmarkEnd w:id="246"/>
      <w:bookmarkEnd w:id="247"/>
      <w:bookmarkEnd w:id="248"/>
      <w:bookmarkEnd w:id="249"/>
      <w:bookmarkEnd w:id="250"/>
      <w:bookmarkEnd w:id="251"/>
      <w:bookmarkEnd w:id="252"/>
      <w:bookmarkEnd w:id="253"/>
    </w:p>
    <w:p w14:paraId="753BB895">
      <w:pPr>
        <w:pStyle w:val="2"/>
        <w:ind w:left="1100" w:leftChars="500"/>
        <w:jc w:val="both"/>
        <w:rPr>
          <w:sz w:val="21"/>
          <w:szCs w:val="21"/>
        </w:rPr>
      </w:pPr>
    </w:p>
    <w:p w14:paraId="62B2E139">
      <w:pPr>
        <w:pStyle w:val="3"/>
        <w:ind w:left="0" w:firstLine="602" w:firstLineChars="200"/>
      </w:pPr>
      <w:bookmarkStart w:id="254" w:name="_Toc1503"/>
      <w:bookmarkStart w:id="255" w:name="_Toc21633"/>
      <w:bookmarkStart w:id="256" w:name="_Toc6772"/>
      <w:bookmarkStart w:id="257" w:name="_Toc21730"/>
      <w:bookmarkStart w:id="258" w:name="_Toc27093"/>
      <w:bookmarkStart w:id="259" w:name="_Toc27834"/>
      <w:r>
        <w:rPr>
          <w:rFonts w:hint="eastAsia"/>
        </w:rPr>
        <w:t>第三十二条　智慧消防建设规划</w:t>
      </w:r>
      <w:bookmarkEnd w:id="254"/>
      <w:bookmarkEnd w:id="255"/>
      <w:bookmarkEnd w:id="256"/>
      <w:bookmarkEnd w:id="257"/>
      <w:bookmarkEnd w:id="258"/>
      <w:bookmarkEnd w:id="259"/>
    </w:p>
    <w:p w14:paraId="18174B11">
      <w:pPr>
        <w:pStyle w:val="5"/>
        <w:spacing w:line="360" w:lineRule="auto"/>
        <w:ind w:firstLine="562" w:firstLineChars="200"/>
        <w:rPr>
          <w:b/>
          <w:bCs/>
          <w:sz w:val="28"/>
          <w:szCs w:val="28"/>
        </w:rPr>
      </w:pPr>
      <w:r>
        <w:rPr>
          <w:rFonts w:hint="eastAsia"/>
          <w:b/>
          <w:bCs/>
          <w:sz w:val="28"/>
          <w:szCs w:val="28"/>
        </w:rPr>
        <w:t>1.信息网络建设规划</w:t>
      </w:r>
    </w:p>
    <w:p w14:paraId="799A8AD4">
      <w:pPr>
        <w:spacing w:line="360" w:lineRule="auto"/>
        <w:ind w:firstLine="560" w:firstLineChars="200"/>
        <w:rPr>
          <w:sz w:val="28"/>
          <w:szCs w:val="28"/>
        </w:rPr>
      </w:pPr>
      <w:r>
        <w:rPr>
          <w:rFonts w:hint="eastAsia"/>
          <w:sz w:val="28"/>
          <w:szCs w:val="28"/>
        </w:rPr>
        <w:t>参与构建自治区、市、化工园区消防部门与应急管理部门之间的基础网络格局，搭建分级构架科学、分类规划有序、数据整合快速、上下贯通顺畅的统一“信息高速公路”。</w:t>
      </w:r>
    </w:p>
    <w:p w14:paraId="787A188E">
      <w:pPr>
        <w:pStyle w:val="5"/>
        <w:spacing w:line="360" w:lineRule="auto"/>
        <w:ind w:firstLine="562" w:firstLineChars="200"/>
        <w:rPr>
          <w:b/>
          <w:bCs/>
          <w:sz w:val="28"/>
          <w:szCs w:val="28"/>
        </w:rPr>
      </w:pPr>
      <w:r>
        <w:rPr>
          <w:rFonts w:hint="eastAsia"/>
          <w:b/>
          <w:bCs/>
          <w:sz w:val="28"/>
          <w:szCs w:val="28"/>
        </w:rPr>
        <w:t>2.消防通信规划</w:t>
      </w:r>
    </w:p>
    <w:p w14:paraId="315A82D1">
      <w:pPr>
        <w:spacing w:line="360" w:lineRule="auto"/>
        <w:ind w:firstLine="560" w:firstLineChars="200"/>
        <w:rPr>
          <w:sz w:val="28"/>
          <w:szCs w:val="28"/>
        </w:rPr>
      </w:pPr>
      <w:r>
        <w:rPr>
          <w:rFonts w:hint="eastAsia"/>
          <w:sz w:val="28"/>
          <w:szCs w:val="28"/>
        </w:rPr>
        <w:t>2.1有线通信系统</w:t>
      </w:r>
    </w:p>
    <w:p w14:paraId="6AEEE8E2">
      <w:pPr>
        <w:spacing w:line="360" w:lineRule="auto"/>
        <w:ind w:firstLine="560" w:firstLineChars="200"/>
        <w:rPr>
          <w:sz w:val="28"/>
          <w:szCs w:val="28"/>
        </w:rPr>
      </w:pPr>
      <w:r>
        <w:rPr>
          <w:rFonts w:hint="eastAsia"/>
          <w:sz w:val="28"/>
          <w:szCs w:val="28"/>
        </w:rPr>
        <w:t>规划范围内采用集中接警方式，指挥中心设119火警集中受理总台（采用数字式程控电话交换机、信号与市话网相同）。</w:t>
      </w:r>
    </w:p>
    <w:p w14:paraId="7F9136B3">
      <w:pPr>
        <w:spacing w:line="360" w:lineRule="auto"/>
        <w:ind w:firstLine="560" w:firstLineChars="200"/>
        <w:rPr>
          <w:sz w:val="28"/>
          <w:szCs w:val="28"/>
        </w:rPr>
      </w:pPr>
      <w:r>
        <w:rPr>
          <w:rFonts w:hint="eastAsia"/>
          <w:sz w:val="28"/>
          <w:szCs w:val="28"/>
        </w:rPr>
        <w:t>（1）119火警电话、消防指挥中心与城市电信网实现数字中继方式联网，并提供主叫信息显示，化工园区的火灾报警信息由电信中心通过PCM端口向消防指挥中心报警，为确保通信畅通，由电信部门提供2Mb/s光缆线路作为119报警线路，消防指挥中心通过E/M中继线与市应急管理局总机互联，实现内部等位拨号。</w:t>
      </w:r>
    </w:p>
    <w:p w14:paraId="320AAC69">
      <w:pPr>
        <w:spacing w:line="360" w:lineRule="auto"/>
        <w:ind w:firstLine="560" w:firstLineChars="200"/>
        <w:rPr>
          <w:sz w:val="28"/>
          <w:szCs w:val="28"/>
        </w:rPr>
      </w:pPr>
      <w:r>
        <w:rPr>
          <w:rFonts w:hint="eastAsia"/>
          <w:sz w:val="28"/>
          <w:szCs w:val="28"/>
        </w:rPr>
        <w:t>（2）消防指挥中心与防火重点保护单位建成报警专用网络，将防火重点保护单位的固定消防设施与指挥中心系统联网，实现报警、接警自动化，调度智能化。</w:t>
      </w:r>
    </w:p>
    <w:p w14:paraId="0D32522B">
      <w:pPr>
        <w:spacing w:line="360" w:lineRule="auto"/>
        <w:ind w:firstLine="560" w:firstLineChars="200"/>
        <w:rPr>
          <w:sz w:val="28"/>
          <w:szCs w:val="28"/>
        </w:rPr>
      </w:pPr>
      <w:r>
        <w:rPr>
          <w:rFonts w:hint="eastAsia"/>
          <w:sz w:val="28"/>
          <w:szCs w:val="28"/>
        </w:rPr>
        <w:t>（3）消防指挥中心与各消防站之间建立DDN数据专线、ISDN话音线及图像传输线。</w:t>
      </w:r>
    </w:p>
    <w:p w14:paraId="2A98B049">
      <w:pPr>
        <w:spacing w:line="360" w:lineRule="auto"/>
        <w:ind w:firstLine="560" w:firstLineChars="200"/>
        <w:rPr>
          <w:sz w:val="28"/>
          <w:szCs w:val="28"/>
        </w:rPr>
      </w:pPr>
      <w:r>
        <w:rPr>
          <w:rFonts w:hint="eastAsia"/>
          <w:sz w:val="28"/>
          <w:szCs w:val="28"/>
        </w:rPr>
        <w:t>（4）消防指挥中心与市政府、供水、供电、供气、医疗急救、交通管理、环保、气象、地震、各企业专职消防队等单位之间各设1对电话专线，以便发生火灾和其它灾害时统一调度和配合作战。</w:t>
      </w:r>
    </w:p>
    <w:p w14:paraId="5CE63F6D">
      <w:pPr>
        <w:spacing w:line="360" w:lineRule="auto"/>
        <w:ind w:firstLine="560" w:firstLineChars="200"/>
        <w:rPr>
          <w:sz w:val="28"/>
          <w:szCs w:val="28"/>
        </w:rPr>
      </w:pPr>
      <w:r>
        <w:rPr>
          <w:rFonts w:hint="eastAsia"/>
          <w:sz w:val="28"/>
          <w:szCs w:val="28"/>
        </w:rPr>
        <w:t>2.2无线通信系统</w:t>
      </w:r>
    </w:p>
    <w:p w14:paraId="7FADDD19">
      <w:pPr>
        <w:spacing w:line="360" w:lineRule="auto"/>
        <w:ind w:firstLine="560" w:firstLineChars="200"/>
        <w:rPr>
          <w:sz w:val="28"/>
          <w:szCs w:val="28"/>
        </w:rPr>
      </w:pPr>
      <w:r>
        <w:rPr>
          <w:rFonts w:hint="eastAsia"/>
          <w:sz w:val="28"/>
          <w:szCs w:val="28"/>
        </w:rPr>
        <w:t>该系统以实现火场无线通信“三级组网”和无线有线汇接为基本要求，远期在消防指挥中心建立化工园区火灾无线报警专用网，受理呼救和弥补有线电话报警的不足。</w:t>
      </w:r>
    </w:p>
    <w:p w14:paraId="39C1EE52">
      <w:pPr>
        <w:spacing w:line="360" w:lineRule="auto"/>
        <w:ind w:firstLine="560" w:firstLineChars="200"/>
        <w:rPr>
          <w:sz w:val="28"/>
          <w:szCs w:val="28"/>
        </w:rPr>
      </w:pPr>
      <w:r>
        <w:rPr>
          <w:rFonts w:hint="eastAsia"/>
          <w:sz w:val="28"/>
          <w:szCs w:val="28"/>
        </w:rPr>
        <w:t>消防无线通信系统仍按专用通信网设置，并可与其它通信网汇接。</w:t>
      </w:r>
    </w:p>
    <w:p w14:paraId="11D89D8D">
      <w:pPr>
        <w:spacing w:line="360" w:lineRule="auto"/>
        <w:ind w:firstLine="560" w:firstLineChars="200"/>
        <w:rPr>
          <w:sz w:val="28"/>
          <w:szCs w:val="28"/>
        </w:rPr>
      </w:pPr>
      <w:r>
        <w:rPr>
          <w:rFonts w:hint="eastAsia"/>
          <w:sz w:val="28"/>
          <w:szCs w:val="28"/>
        </w:rPr>
        <w:t>规划采用数字通信设备，该系统包括有线无线汇接设备、基地台及定向、全向天线系统，消防站固定台、车载台、便携台、袖珍台或头盔台从而实现无线通信三级组网。</w:t>
      </w:r>
    </w:p>
    <w:p w14:paraId="203FFFA3">
      <w:pPr>
        <w:spacing w:line="360" w:lineRule="auto"/>
        <w:ind w:firstLine="560" w:firstLineChars="200"/>
        <w:rPr>
          <w:sz w:val="28"/>
          <w:szCs w:val="28"/>
        </w:rPr>
      </w:pPr>
      <w:r>
        <w:rPr>
          <w:rFonts w:hint="eastAsia"/>
          <w:sz w:val="28"/>
          <w:szCs w:val="28"/>
        </w:rPr>
        <w:t>消防无线通信系统结合应急系统设立杭锦旗消防救援大队集群调度系统分调度台，并应与应急管理调度平台建立数据信息、话音链路，对于跨区的纵横向联网通过350m集群漫游功能，或有无线转接实现。</w:t>
      </w:r>
    </w:p>
    <w:p w14:paraId="50AB3A03">
      <w:pPr>
        <w:spacing w:line="360" w:lineRule="auto"/>
        <w:ind w:firstLine="560" w:firstLineChars="200"/>
        <w:rPr>
          <w:sz w:val="28"/>
          <w:szCs w:val="28"/>
        </w:rPr>
      </w:pPr>
      <w:r>
        <w:rPr>
          <w:rFonts w:hint="eastAsia"/>
          <w:sz w:val="28"/>
          <w:szCs w:val="28"/>
        </w:rPr>
        <w:t>2.3图像传输系统</w:t>
      </w:r>
    </w:p>
    <w:p w14:paraId="00A70DB2">
      <w:pPr>
        <w:spacing w:line="360" w:lineRule="auto"/>
        <w:ind w:firstLine="560" w:firstLineChars="200"/>
        <w:rPr>
          <w:sz w:val="28"/>
          <w:szCs w:val="28"/>
        </w:rPr>
      </w:pPr>
      <w:r>
        <w:rPr>
          <w:rFonts w:hint="eastAsia"/>
          <w:sz w:val="28"/>
          <w:szCs w:val="28"/>
        </w:rPr>
        <w:t>（1）指挥中心和通信指挥车各配备1台无线传真机，传输距离不小于30公里，通信指挥车上还需配备计算机、打印机、摄像机、无线移动分调度台，常规车台、集群手台、常规手台、发电机等。</w:t>
      </w:r>
    </w:p>
    <w:p w14:paraId="796407DE">
      <w:pPr>
        <w:spacing w:line="360" w:lineRule="auto"/>
        <w:ind w:firstLine="560" w:firstLineChars="200"/>
        <w:rPr>
          <w:sz w:val="28"/>
          <w:szCs w:val="28"/>
        </w:rPr>
      </w:pPr>
      <w:r>
        <w:rPr>
          <w:rFonts w:hint="eastAsia"/>
          <w:sz w:val="28"/>
          <w:szCs w:val="28"/>
        </w:rPr>
        <w:t>（2）指挥中心和通信指挥车各配备2-3</w:t>
      </w:r>
      <w:r>
        <w:rPr>
          <w:rFonts w:hint="eastAsia"/>
          <w:sz w:val="28"/>
          <w:szCs w:val="28"/>
          <w:lang w:eastAsia="zh-CN"/>
        </w:rPr>
        <w:t>台</w:t>
      </w:r>
      <w:r>
        <w:rPr>
          <w:rFonts w:hint="eastAsia"/>
          <w:sz w:val="28"/>
          <w:szCs w:val="28"/>
        </w:rPr>
        <w:t>火场开路电视传输设备。</w:t>
      </w:r>
    </w:p>
    <w:p w14:paraId="15FC695B">
      <w:pPr>
        <w:spacing w:line="360" w:lineRule="auto"/>
        <w:ind w:firstLine="560" w:firstLineChars="200"/>
        <w:rPr>
          <w:rFonts w:hint="eastAsia"/>
          <w:sz w:val="28"/>
          <w:szCs w:val="28"/>
        </w:rPr>
      </w:pPr>
      <w:r>
        <w:rPr>
          <w:rFonts w:hint="eastAsia"/>
          <w:sz w:val="28"/>
          <w:szCs w:val="28"/>
        </w:rPr>
        <w:t>2.4计算机系统</w:t>
      </w:r>
    </w:p>
    <w:p w14:paraId="108876CE">
      <w:pPr>
        <w:spacing w:line="360" w:lineRule="auto"/>
        <w:ind w:firstLine="560" w:firstLineChars="200"/>
        <w:rPr>
          <w:sz w:val="28"/>
          <w:szCs w:val="28"/>
        </w:rPr>
      </w:pPr>
      <w:r>
        <w:rPr>
          <w:rFonts w:hint="eastAsia"/>
          <w:sz w:val="28"/>
          <w:szCs w:val="28"/>
        </w:rPr>
        <w:t>（1）中心系统</w:t>
      </w:r>
    </w:p>
    <w:p w14:paraId="62CB402E">
      <w:pPr>
        <w:spacing w:line="360" w:lineRule="auto"/>
        <w:ind w:firstLine="560" w:firstLineChars="200"/>
        <w:rPr>
          <w:sz w:val="28"/>
          <w:szCs w:val="28"/>
        </w:rPr>
      </w:pPr>
      <w:r>
        <w:rPr>
          <w:rFonts w:hint="eastAsia"/>
          <w:sz w:val="28"/>
          <w:szCs w:val="28"/>
        </w:rPr>
        <w:t>在消防指挥中心建立计算机辅助处理系统，将有线通信系统、无线通信系统、图像传输系统等组成一个集计算、通信、控制、信息综合决策的调度指挥系统。</w:t>
      </w:r>
    </w:p>
    <w:p w14:paraId="264E6FAF">
      <w:pPr>
        <w:spacing w:line="360" w:lineRule="auto"/>
        <w:ind w:firstLine="560" w:firstLineChars="200"/>
        <w:rPr>
          <w:sz w:val="28"/>
          <w:szCs w:val="28"/>
        </w:rPr>
      </w:pPr>
      <w:r>
        <w:rPr>
          <w:rFonts w:hint="eastAsia"/>
          <w:sz w:val="28"/>
          <w:szCs w:val="28"/>
        </w:rPr>
        <w:t>（2）消防站系统</w:t>
      </w:r>
    </w:p>
    <w:p w14:paraId="34A6903C">
      <w:pPr>
        <w:spacing w:line="360" w:lineRule="auto"/>
        <w:ind w:firstLine="560" w:firstLineChars="200"/>
        <w:rPr>
          <w:sz w:val="28"/>
          <w:szCs w:val="28"/>
        </w:rPr>
      </w:pPr>
      <w:r>
        <w:rPr>
          <w:rFonts w:hint="eastAsia"/>
          <w:sz w:val="28"/>
          <w:szCs w:val="28"/>
        </w:rPr>
        <w:t>消防站系统是通信指挥系统的一个重要组成部分，是中心系统的远程终端，接收消防指挥中心传予的出动命令，消防指挥中心可监控每个消防站的出车及灯、铃、门的联动情况。</w:t>
      </w:r>
    </w:p>
    <w:p w14:paraId="1EC1E9B1">
      <w:pPr>
        <w:spacing w:line="360" w:lineRule="auto"/>
        <w:ind w:firstLine="560" w:firstLineChars="200"/>
        <w:rPr>
          <w:sz w:val="28"/>
          <w:szCs w:val="28"/>
        </w:rPr>
      </w:pPr>
      <w:r>
        <w:rPr>
          <w:rFonts w:hint="eastAsia"/>
          <w:sz w:val="28"/>
          <w:szCs w:val="28"/>
        </w:rPr>
        <w:t>（3）消防通信指挥车</w:t>
      </w:r>
    </w:p>
    <w:p w14:paraId="110C4320">
      <w:pPr>
        <w:spacing w:line="360" w:lineRule="auto"/>
        <w:ind w:firstLine="560" w:firstLineChars="200"/>
        <w:rPr>
          <w:sz w:val="28"/>
          <w:szCs w:val="28"/>
        </w:rPr>
      </w:pPr>
      <w:r>
        <w:rPr>
          <w:rFonts w:hint="eastAsia"/>
          <w:sz w:val="28"/>
          <w:szCs w:val="28"/>
        </w:rPr>
        <w:t>规划购买一辆大容量贮存灭火技术资料、灭火预案数据库的消防通信指挥车。</w:t>
      </w:r>
    </w:p>
    <w:p w14:paraId="7BED6F00">
      <w:pPr>
        <w:spacing w:line="360" w:lineRule="auto"/>
        <w:ind w:firstLine="560" w:firstLineChars="200"/>
        <w:rPr>
          <w:sz w:val="28"/>
          <w:szCs w:val="28"/>
        </w:rPr>
      </w:pPr>
      <w:r>
        <w:rPr>
          <w:rFonts w:hint="eastAsia"/>
          <w:sz w:val="28"/>
          <w:szCs w:val="28"/>
        </w:rPr>
        <w:t>（4）其他系统</w:t>
      </w:r>
    </w:p>
    <w:p w14:paraId="7FC0AA67">
      <w:pPr>
        <w:spacing w:line="360" w:lineRule="auto"/>
        <w:ind w:firstLine="560" w:firstLineChars="200"/>
        <w:rPr>
          <w:sz w:val="28"/>
          <w:szCs w:val="28"/>
        </w:rPr>
      </w:pPr>
      <w:r>
        <w:rPr>
          <w:rFonts w:hint="eastAsia"/>
          <w:sz w:val="28"/>
          <w:szCs w:val="28"/>
        </w:rPr>
        <w:t>消防通信系统还应具备会议电话、日常业务通信、全呼或分组全呼、广播等多种功能。专职消防队的通信配备应当与国家综合性消防救援站一致。</w:t>
      </w:r>
    </w:p>
    <w:p w14:paraId="7920A07C">
      <w:pPr>
        <w:pStyle w:val="5"/>
        <w:spacing w:line="360" w:lineRule="auto"/>
        <w:ind w:firstLine="562" w:firstLineChars="200"/>
        <w:rPr>
          <w:b/>
          <w:bCs/>
          <w:sz w:val="28"/>
          <w:szCs w:val="28"/>
        </w:rPr>
      </w:pPr>
      <w:r>
        <w:rPr>
          <w:rFonts w:hint="eastAsia"/>
          <w:b/>
          <w:bCs/>
          <w:sz w:val="28"/>
          <w:szCs w:val="28"/>
        </w:rPr>
        <w:t>3.化工园区应急指挥平台规划</w:t>
      </w:r>
    </w:p>
    <w:p w14:paraId="3D67326D">
      <w:pPr>
        <w:spacing w:line="360" w:lineRule="auto"/>
        <w:ind w:firstLine="560" w:firstLineChars="200"/>
        <w:rPr>
          <w:sz w:val="28"/>
          <w:szCs w:val="28"/>
        </w:rPr>
      </w:pPr>
      <w:r>
        <w:rPr>
          <w:rFonts w:hint="eastAsia"/>
          <w:sz w:val="28"/>
          <w:szCs w:val="28"/>
        </w:rPr>
        <w:t>接入市应急局应急指挥中心信息化系统和防火、安全生产等专业应用系统，建设化工园区应急指挥平台，构建集移动视频监控、消防火情侦察、辅助指挥决策、现场视频传输、消防移动执法等多种功能于一体的化工园区应急指挥系统。</w:t>
      </w:r>
    </w:p>
    <w:p w14:paraId="5B20DD85">
      <w:pPr>
        <w:spacing w:line="360" w:lineRule="auto"/>
        <w:ind w:firstLine="560" w:firstLineChars="200"/>
        <w:rPr>
          <w:sz w:val="28"/>
          <w:szCs w:val="28"/>
        </w:rPr>
      </w:pPr>
      <w:r>
        <w:rPr>
          <w:rFonts w:hint="eastAsia"/>
          <w:sz w:val="28"/>
          <w:szCs w:val="28"/>
        </w:rPr>
        <w:t>3.1多级联动系统</w:t>
      </w:r>
    </w:p>
    <w:p w14:paraId="431FF996">
      <w:pPr>
        <w:spacing w:line="360" w:lineRule="auto"/>
        <w:ind w:firstLine="560" w:firstLineChars="200"/>
        <w:rPr>
          <w:sz w:val="28"/>
          <w:szCs w:val="28"/>
        </w:rPr>
      </w:pPr>
      <w:r>
        <w:rPr>
          <w:rFonts w:hint="eastAsia"/>
          <w:sz w:val="28"/>
          <w:szCs w:val="28"/>
        </w:rPr>
        <w:t>形成由杭锦旗消防救援大队统筹，化工园区内各政府、企业专职消防队为重要节点的多层级联动系统，实现分级指挥和协同会商，采用移动指挥车和现场指挥实现协同指挥应用。</w:t>
      </w:r>
    </w:p>
    <w:p w14:paraId="3973339E">
      <w:pPr>
        <w:spacing w:line="360" w:lineRule="auto"/>
        <w:ind w:firstLine="560" w:firstLineChars="200"/>
        <w:rPr>
          <w:sz w:val="28"/>
          <w:szCs w:val="28"/>
        </w:rPr>
      </w:pPr>
      <w:r>
        <w:rPr>
          <w:rFonts w:hint="eastAsia"/>
          <w:sz w:val="28"/>
          <w:szCs w:val="28"/>
        </w:rPr>
        <w:t>3.2应急通信资源共享系统</w:t>
      </w:r>
    </w:p>
    <w:p w14:paraId="040CA8E0">
      <w:pPr>
        <w:spacing w:line="360" w:lineRule="auto"/>
        <w:ind w:firstLine="560" w:firstLineChars="200"/>
        <w:rPr>
          <w:sz w:val="28"/>
          <w:szCs w:val="28"/>
        </w:rPr>
      </w:pPr>
      <w:r>
        <w:rPr>
          <w:rFonts w:hint="eastAsia"/>
          <w:sz w:val="28"/>
          <w:szCs w:val="28"/>
        </w:rPr>
        <w:t>贯通应急指挥中心与灾害事故现场指挥部、救援队伍、应急物资储备库、待救援人员间的通讯网络。指挥调度中心同时支持固定和移动多手段指挥方式，通过有线网、无线网、卫星网实现对各种资源的统一调度。指挥中心通过现场图像和GIS地图实时掌握现场态势，高效下达指挥命令。</w:t>
      </w:r>
    </w:p>
    <w:p w14:paraId="633EECB4">
      <w:pPr>
        <w:ind w:right="2774" w:firstLine="3182" w:firstLineChars="1600"/>
        <w:jc w:val="both"/>
        <w:rPr>
          <w:b/>
          <w:spacing w:val="-11"/>
        </w:rPr>
      </w:pPr>
    </w:p>
    <w:p w14:paraId="3661DDF1">
      <w:pPr>
        <w:ind w:right="2774" w:firstLine="3182" w:firstLineChars="1600"/>
        <w:jc w:val="both"/>
        <w:rPr>
          <w:b/>
          <w:spacing w:val="-11"/>
        </w:rPr>
      </w:pPr>
    </w:p>
    <w:p w14:paraId="799905B7">
      <w:pPr>
        <w:ind w:right="2774" w:firstLine="3182" w:firstLineChars="1600"/>
        <w:jc w:val="both"/>
        <w:rPr>
          <w:b/>
          <w:spacing w:val="-11"/>
        </w:rPr>
      </w:pPr>
    </w:p>
    <w:p w14:paraId="40A133E2">
      <w:pPr>
        <w:ind w:right="2774" w:firstLine="3182" w:firstLineChars="1600"/>
        <w:jc w:val="both"/>
        <w:rPr>
          <w:b/>
          <w:spacing w:val="-11"/>
        </w:rPr>
      </w:pPr>
    </w:p>
    <w:p w14:paraId="36DECDF8">
      <w:pPr>
        <w:ind w:right="2774" w:firstLine="3182" w:firstLineChars="1600"/>
        <w:jc w:val="both"/>
        <w:rPr>
          <w:b/>
          <w:spacing w:val="-11"/>
        </w:rPr>
      </w:pPr>
    </w:p>
    <w:p w14:paraId="6DEAE9DB">
      <w:pPr>
        <w:ind w:right="2774" w:firstLine="3182" w:firstLineChars="1600"/>
        <w:jc w:val="both"/>
        <w:rPr>
          <w:b/>
          <w:spacing w:val="-11"/>
        </w:rPr>
      </w:pPr>
    </w:p>
    <w:p w14:paraId="6A109B57">
      <w:pPr>
        <w:ind w:right="2774" w:firstLine="3182" w:firstLineChars="1600"/>
        <w:jc w:val="both"/>
        <w:rPr>
          <w:b/>
        </w:rPr>
      </w:pPr>
      <w:r>
        <w:rPr>
          <w:rFonts w:hint="eastAsia"/>
          <w:b/>
          <w:spacing w:val="-11"/>
        </w:rPr>
        <w:t>化工</w:t>
      </w:r>
      <w:r>
        <w:rPr>
          <w:b/>
          <w:spacing w:val="-11"/>
        </w:rPr>
        <w:t>园</w:t>
      </w:r>
      <w:r>
        <w:rPr>
          <w:b/>
        </w:rPr>
        <w:t>区应急指挥系</w:t>
      </w:r>
      <w:r>
        <w:rPr>
          <w:b/>
          <w:spacing w:val="-10"/>
        </w:rPr>
        <w:t>统</w:t>
      </w:r>
    </w:p>
    <w:p w14:paraId="1EC314C0">
      <w:pPr>
        <w:pStyle w:val="5"/>
        <w:spacing w:line="360" w:lineRule="auto"/>
        <w:rPr>
          <w:b/>
          <w:bCs/>
          <w:sz w:val="28"/>
          <w:szCs w:val="28"/>
        </w:rPr>
      </w:pPr>
      <w:r>
        <w:rPr>
          <w:sz w:val="28"/>
          <w:szCs w:val="28"/>
        </w:rPr>
        <w:drawing>
          <wp:inline distT="0" distB="0" distL="114300" distR="114300">
            <wp:extent cx="5624830" cy="3015615"/>
            <wp:effectExtent l="0" t="0" r="13970" b="13335"/>
            <wp:docPr id="14" name="图片 14" descr="微信图片_2024061109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611092710"/>
                    <pic:cNvPicPr>
                      <a:picLocks noChangeAspect="1"/>
                    </pic:cNvPicPr>
                  </pic:nvPicPr>
                  <pic:blipFill>
                    <a:blip r:embed="rId8"/>
                    <a:stretch>
                      <a:fillRect/>
                    </a:stretch>
                  </pic:blipFill>
                  <pic:spPr>
                    <a:xfrm>
                      <a:off x="0" y="0"/>
                      <a:ext cx="5624830" cy="3015615"/>
                    </a:xfrm>
                    <a:prstGeom prst="rect">
                      <a:avLst/>
                    </a:prstGeom>
                  </pic:spPr>
                </pic:pic>
              </a:graphicData>
            </a:graphic>
          </wp:inline>
        </w:drawing>
      </w:r>
    </w:p>
    <w:p w14:paraId="1E135CF9">
      <w:pPr>
        <w:pStyle w:val="5"/>
        <w:spacing w:line="360" w:lineRule="auto"/>
        <w:ind w:firstLine="562" w:firstLineChars="200"/>
        <w:rPr>
          <w:b/>
          <w:bCs/>
          <w:sz w:val="28"/>
          <w:szCs w:val="28"/>
        </w:rPr>
      </w:pPr>
      <w:r>
        <w:rPr>
          <w:rFonts w:hint="eastAsia"/>
          <w:b/>
          <w:bCs/>
          <w:sz w:val="28"/>
          <w:szCs w:val="28"/>
        </w:rPr>
        <w:t>4.化工园区应急管理系统建设规划</w:t>
      </w:r>
    </w:p>
    <w:p w14:paraId="5689F5B3">
      <w:pPr>
        <w:spacing w:line="360" w:lineRule="auto"/>
        <w:ind w:firstLine="560" w:firstLineChars="200"/>
        <w:rPr>
          <w:sz w:val="28"/>
          <w:szCs w:val="28"/>
        </w:rPr>
      </w:pPr>
      <w:r>
        <w:rPr>
          <w:rFonts w:hint="eastAsia"/>
          <w:sz w:val="28"/>
          <w:szCs w:val="28"/>
        </w:rPr>
        <w:t>4.1数据管理系统</w:t>
      </w:r>
    </w:p>
    <w:p w14:paraId="3DD5C644">
      <w:pPr>
        <w:spacing w:line="360" w:lineRule="auto"/>
        <w:ind w:firstLine="560" w:firstLineChars="200"/>
        <w:rPr>
          <w:sz w:val="28"/>
          <w:szCs w:val="28"/>
        </w:rPr>
      </w:pPr>
      <w:r>
        <w:rPr>
          <w:rFonts w:hint="eastAsia"/>
          <w:sz w:val="28"/>
          <w:szCs w:val="28"/>
        </w:rPr>
        <w:t>依托“自治区数据共享交换平台”，将化工园区消防系统数据接入应急局应急指挥中心信息化系统和应急救援中心的数据进行统一管理。</w:t>
      </w:r>
    </w:p>
    <w:p w14:paraId="074A1E5A">
      <w:pPr>
        <w:spacing w:line="360" w:lineRule="auto"/>
        <w:ind w:firstLine="560" w:firstLineChars="200"/>
        <w:rPr>
          <w:sz w:val="28"/>
          <w:szCs w:val="28"/>
        </w:rPr>
      </w:pPr>
      <w:r>
        <w:rPr>
          <w:rFonts w:hint="eastAsia"/>
          <w:sz w:val="28"/>
          <w:szCs w:val="28"/>
        </w:rPr>
        <w:t>4.2生产安全与消防措施执行监管系统</w:t>
      </w:r>
    </w:p>
    <w:p w14:paraId="7C5BFC1C">
      <w:pPr>
        <w:spacing w:line="360" w:lineRule="auto"/>
        <w:ind w:firstLine="560" w:firstLineChars="200"/>
        <w:rPr>
          <w:sz w:val="28"/>
          <w:szCs w:val="28"/>
        </w:rPr>
      </w:pPr>
      <w:r>
        <w:rPr>
          <w:rFonts w:hint="eastAsia"/>
          <w:sz w:val="28"/>
          <w:szCs w:val="28"/>
        </w:rPr>
        <w:t>依托“自治区数据共享交换平台”，整合企业危险化学品安全生产监管信息，对化工园区消防措施任务及执行情况进行监管。</w:t>
      </w:r>
    </w:p>
    <w:p w14:paraId="5893E80F">
      <w:pPr>
        <w:spacing w:line="360" w:lineRule="auto"/>
        <w:ind w:firstLine="560" w:firstLineChars="200"/>
        <w:rPr>
          <w:sz w:val="28"/>
          <w:szCs w:val="28"/>
        </w:rPr>
      </w:pPr>
      <w:r>
        <w:rPr>
          <w:rFonts w:hint="eastAsia"/>
          <w:sz w:val="28"/>
          <w:szCs w:val="28"/>
        </w:rPr>
        <w:t>4.3化工园区风险管理系统</w:t>
      </w:r>
    </w:p>
    <w:p w14:paraId="22E0F87E">
      <w:pPr>
        <w:spacing w:line="360" w:lineRule="auto"/>
        <w:ind w:firstLine="560" w:firstLineChars="200"/>
        <w:rPr>
          <w:sz w:val="28"/>
          <w:szCs w:val="28"/>
        </w:rPr>
      </w:pPr>
      <w:r>
        <w:rPr>
          <w:rFonts w:hint="eastAsia"/>
          <w:sz w:val="28"/>
          <w:szCs w:val="28"/>
        </w:rPr>
        <w:t>利用大数据计算化工园区内的风险状况，根据风险评估结果和灾害风险普查结果，依托统一平台细化上报化工园区灾害类型和承灾体数据。</w:t>
      </w:r>
    </w:p>
    <w:p w14:paraId="3AFCD7B9">
      <w:pPr>
        <w:spacing w:line="360" w:lineRule="auto"/>
        <w:ind w:firstLine="560" w:firstLineChars="200"/>
        <w:rPr>
          <w:sz w:val="28"/>
          <w:szCs w:val="28"/>
        </w:rPr>
      </w:pPr>
      <w:r>
        <w:rPr>
          <w:rFonts w:hint="eastAsia"/>
          <w:sz w:val="28"/>
          <w:szCs w:val="28"/>
        </w:rPr>
        <w:t>4.4情景模拟应急救援培训系统</w:t>
      </w:r>
    </w:p>
    <w:p w14:paraId="0D983F88">
      <w:pPr>
        <w:spacing w:line="360" w:lineRule="auto"/>
        <w:ind w:firstLine="560" w:firstLineChars="200"/>
        <w:rPr>
          <w:sz w:val="28"/>
          <w:szCs w:val="28"/>
        </w:rPr>
      </w:pPr>
      <w:r>
        <w:rPr>
          <w:rFonts w:hint="eastAsia"/>
          <w:sz w:val="28"/>
          <w:szCs w:val="28"/>
        </w:rPr>
        <w:t>结合化工园区大数据，创新技术手段，提供多场景消防应急模拟演练，辅助生成消防预案。研发化工园区</w:t>
      </w:r>
      <w:r>
        <w:rPr>
          <w:rFonts w:hint="eastAsia"/>
          <w:sz w:val="28"/>
          <w:szCs w:val="28"/>
          <w:lang w:eastAsia="zh-CN"/>
        </w:rPr>
        <w:t>在</w:t>
      </w:r>
      <w:r>
        <w:rPr>
          <w:rFonts w:hint="eastAsia"/>
          <w:sz w:val="28"/>
          <w:szCs w:val="28"/>
        </w:rPr>
        <w:t>监测预警、监管执法、辅助指挥决策、救援实战、社会动员领域的应用模型。</w:t>
      </w:r>
    </w:p>
    <w:p w14:paraId="4CA5286A">
      <w:pPr>
        <w:spacing w:line="360" w:lineRule="auto"/>
        <w:ind w:firstLine="560" w:firstLineChars="200"/>
        <w:rPr>
          <w:sz w:val="28"/>
          <w:szCs w:val="28"/>
        </w:rPr>
      </w:pPr>
      <w:r>
        <w:rPr>
          <w:rFonts w:hint="eastAsia"/>
          <w:sz w:val="28"/>
          <w:szCs w:val="28"/>
        </w:rPr>
        <w:t>4.5灾情回溯与事故总结系统</w:t>
      </w:r>
    </w:p>
    <w:p w14:paraId="4ED60196">
      <w:pPr>
        <w:spacing w:line="360" w:lineRule="auto"/>
        <w:ind w:firstLine="560" w:firstLineChars="200"/>
        <w:rPr>
          <w:b/>
          <w:bCs/>
          <w:sz w:val="28"/>
          <w:szCs w:val="28"/>
        </w:rPr>
      </w:pPr>
      <w:r>
        <w:rPr>
          <w:rFonts w:hint="eastAsia"/>
          <w:sz w:val="28"/>
          <w:szCs w:val="28"/>
        </w:rPr>
        <w:t>做好化工园区事故灾情信息的采集上报及更新维护。</w:t>
      </w:r>
    </w:p>
    <w:p w14:paraId="48BE22BD">
      <w:pPr>
        <w:ind w:left="247" w:right="160"/>
        <w:jc w:val="center"/>
        <w:rPr>
          <w:b/>
        </w:rPr>
      </w:pPr>
      <w:r>
        <w:rPr>
          <w:rFonts w:hint="eastAsia"/>
          <w:b/>
        </w:rPr>
        <w:t>化工</w:t>
      </w:r>
      <w:r>
        <w:rPr>
          <w:b/>
          <w:spacing w:val="-11"/>
        </w:rPr>
        <w:t>园</w:t>
      </w:r>
      <w:r>
        <w:rPr>
          <w:b/>
        </w:rPr>
        <w:t>区应急管理系</w:t>
      </w:r>
      <w:r>
        <w:rPr>
          <w:b/>
          <w:spacing w:val="-10"/>
        </w:rPr>
        <w:t>统</w:t>
      </w:r>
    </w:p>
    <w:p w14:paraId="39211F55">
      <w:pPr>
        <w:ind w:left="247" w:right="160"/>
        <w:jc w:val="both"/>
        <w:rPr>
          <w:b/>
          <w:bCs/>
          <w:sz w:val="28"/>
          <w:szCs w:val="28"/>
        </w:rPr>
      </w:pPr>
      <w:r>
        <w:drawing>
          <wp:anchor distT="0" distB="0" distL="0" distR="0" simplePos="0" relativeHeight="251660288" behindDoc="0" locked="0" layoutInCell="1" allowOverlap="1">
            <wp:simplePos x="0" y="0"/>
            <wp:positionH relativeFrom="page">
              <wp:posOffset>923925</wp:posOffset>
            </wp:positionH>
            <wp:positionV relativeFrom="paragraph">
              <wp:posOffset>245745</wp:posOffset>
            </wp:positionV>
            <wp:extent cx="5802630" cy="2432050"/>
            <wp:effectExtent l="0" t="0" r="7620" b="6350"/>
            <wp:wrapTopAndBottom/>
            <wp:docPr id="16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2.jpeg"/>
                    <pic:cNvPicPr>
                      <a:picLocks noChangeAspect="1"/>
                    </pic:cNvPicPr>
                  </pic:nvPicPr>
                  <pic:blipFill>
                    <a:blip r:embed="rId9" cstate="print"/>
                    <a:stretch>
                      <a:fillRect/>
                    </a:stretch>
                  </pic:blipFill>
                  <pic:spPr>
                    <a:xfrm>
                      <a:off x="0" y="0"/>
                      <a:ext cx="5802630" cy="2432050"/>
                    </a:xfrm>
                    <a:prstGeom prst="rect">
                      <a:avLst/>
                    </a:prstGeom>
                  </pic:spPr>
                </pic:pic>
              </a:graphicData>
            </a:graphic>
          </wp:anchor>
        </w:drawing>
      </w:r>
    </w:p>
    <w:p w14:paraId="0728B315">
      <w:pPr>
        <w:pStyle w:val="5"/>
        <w:spacing w:line="360" w:lineRule="auto"/>
        <w:ind w:firstLine="562" w:firstLineChars="200"/>
        <w:rPr>
          <w:rFonts w:hint="eastAsia" w:eastAsia="宋体"/>
          <w:b/>
          <w:bCs/>
          <w:sz w:val="28"/>
          <w:szCs w:val="28"/>
          <w:lang w:eastAsia="zh-CN"/>
        </w:rPr>
      </w:pPr>
      <w:r>
        <w:rPr>
          <w:rFonts w:hint="eastAsia"/>
          <w:b/>
          <w:bCs/>
          <w:sz w:val="28"/>
          <w:szCs w:val="28"/>
        </w:rPr>
        <w:t>5.化工园区消防监测管控系统</w:t>
      </w:r>
    </w:p>
    <w:p w14:paraId="2BBFEA19">
      <w:pPr>
        <w:spacing w:line="360" w:lineRule="auto"/>
        <w:ind w:firstLine="560" w:firstLineChars="200"/>
        <w:rPr>
          <w:sz w:val="28"/>
          <w:szCs w:val="28"/>
        </w:rPr>
      </w:pPr>
      <w:r>
        <w:rPr>
          <w:rFonts w:hint="eastAsia"/>
          <w:sz w:val="28"/>
          <w:szCs w:val="28"/>
        </w:rPr>
        <w:t>5.1重大危险源监管平台及火灾事故感知预警系统</w:t>
      </w:r>
    </w:p>
    <w:p w14:paraId="6E659714">
      <w:pPr>
        <w:spacing w:line="360" w:lineRule="auto"/>
        <w:ind w:firstLine="560" w:firstLineChars="200"/>
        <w:rPr>
          <w:sz w:val="28"/>
          <w:szCs w:val="28"/>
        </w:rPr>
      </w:pPr>
      <w:r>
        <w:rPr>
          <w:rFonts w:hint="eastAsia"/>
          <w:sz w:val="28"/>
          <w:szCs w:val="28"/>
        </w:rPr>
        <w:t>组建危险化学品信息数据库，并利用物联网技术加快部署消防报警系统，联合企业推动建设消防设施远程监控管理系统和视频智能高空瞭望预警系统，实时接收、显示、处理联网企业消防设施的运行状态信息和火警智能监控，实现图像自动采集。</w:t>
      </w:r>
    </w:p>
    <w:p w14:paraId="7E22CA6B">
      <w:pPr>
        <w:spacing w:line="360" w:lineRule="auto"/>
        <w:ind w:firstLine="560" w:firstLineChars="200"/>
        <w:rPr>
          <w:sz w:val="28"/>
          <w:szCs w:val="28"/>
        </w:rPr>
      </w:pPr>
      <w:r>
        <w:rPr>
          <w:rFonts w:hint="eastAsia"/>
          <w:sz w:val="28"/>
          <w:szCs w:val="28"/>
        </w:rPr>
        <w:t>5.2危化产品生产安全事故预测预警及运输运送全程安全动态监管系统</w:t>
      </w:r>
    </w:p>
    <w:p w14:paraId="15CF4EC1">
      <w:pPr>
        <w:spacing w:line="360" w:lineRule="auto"/>
        <w:ind w:firstLine="560" w:firstLineChars="200"/>
        <w:rPr>
          <w:sz w:val="28"/>
          <w:szCs w:val="28"/>
        </w:rPr>
      </w:pPr>
      <w:r>
        <w:rPr>
          <w:rFonts w:hint="eastAsia"/>
          <w:sz w:val="28"/>
          <w:szCs w:val="28"/>
        </w:rPr>
        <w:t>对化工产品生产、存储、使用、运营和运输安全进行监管。建立油气输送管道生产安全事故预测预警和反应系统，实现管道阀门数据采集、实时控制、地理位置显示、故障预警、大数据分析、智能点检与维修智能化与自动化。</w:t>
      </w:r>
      <w:bookmarkStart w:id="260" w:name="_Toc4444"/>
      <w:bookmarkStart w:id="261" w:name="_Toc24544"/>
      <w:bookmarkStart w:id="262" w:name="_Toc26958"/>
      <w:bookmarkStart w:id="263" w:name="_Toc13809"/>
      <w:bookmarkStart w:id="264" w:name="_Toc1817"/>
      <w:bookmarkStart w:id="265" w:name="_Toc28305"/>
      <w:bookmarkStart w:id="266" w:name="_Toc25087"/>
      <w:bookmarkStart w:id="267" w:name="_Toc32072"/>
      <w:bookmarkStart w:id="268" w:name="_Toc6574"/>
    </w:p>
    <w:p w14:paraId="234F87BA">
      <w:pPr>
        <w:ind w:firstLine="420" w:firstLineChars="200"/>
        <w:rPr>
          <w:sz w:val="21"/>
          <w:szCs w:val="21"/>
        </w:rPr>
      </w:pPr>
    </w:p>
    <w:bookmarkEnd w:id="260"/>
    <w:bookmarkEnd w:id="261"/>
    <w:bookmarkEnd w:id="262"/>
    <w:bookmarkEnd w:id="263"/>
    <w:bookmarkEnd w:id="264"/>
    <w:bookmarkEnd w:id="265"/>
    <w:bookmarkEnd w:id="266"/>
    <w:bookmarkEnd w:id="267"/>
    <w:bookmarkEnd w:id="268"/>
    <w:p w14:paraId="5F85A10A">
      <w:pPr>
        <w:pStyle w:val="2"/>
        <w:numPr>
          <w:ilvl w:val="0"/>
          <w:numId w:val="1"/>
        </w:numPr>
        <w:spacing w:line="360" w:lineRule="auto"/>
        <w:ind w:left="0" w:firstLine="1807" w:firstLineChars="500"/>
        <w:jc w:val="both"/>
      </w:pPr>
      <w:bookmarkStart w:id="269" w:name="_Toc13334"/>
      <w:bookmarkStart w:id="270" w:name="_Toc4680"/>
      <w:bookmarkStart w:id="271" w:name="_Toc27910"/>
      <w:bookmarkStart w:id="272" w:name="_Toc12675"/>
      <w:bookmarkStart w:id="273" w:name="_Toc8187"/>
      <w:bookmarkStart w:id="274" w:name="_Toc7069"/>
      <w:bookmarkStart w:id="275" w:name="_Toc26495"/>
      <w:bookmarkStart w:id="276" w:name="_Toc9233"/>
      <w:bookmarkStart w:id="277" w:name="_Toc28747"/>
      <w:bookmarkStart w:id="278" w:name="_Toc1541"/>
      <w:bookmarkStart w:id="279" w:name="_Toc11333"/>
      <w:r>
        <w:t>消防软实力建设</w:t>
      </w:r>
      <w:bookmarkEnd w:id="269"/>
      <w:bookmarkEnd w:id="270"/>
      <w:bookmarkEnd w:id="271"/>
      <w:bookmarkEnd w:id="272"/>
      <w:bookmarkEnd w:id="273"/>
      <w:bookmarkEnd w:id="274"/>
      <w:bookmarkEnd w:id="275"/>
      <w:bookmarkEnd w:id="276"/>
      <w:bookmarkEnd w:id="277"/>
      <w:bookmarkEnd w:id="278"/>
      <w:bookmarkEnd w:id="279"/>
    </w:p>
    <w:p w14:paraId="5526871D">
      <w:pPr>
        <w:pStyle w:val="2"/>
        <w:ind w:left="1100" w:leftChars="500"/>
        <w:jc w:val="both"/>
        <w:rPr>
          <w:sz w:val="21"/>
          <w:szCs w:val="21"/>
        </w:rPr>
      </w:pPr>
    </w:p>
    <w:p w14:paraId="60AD5741">
      <w:pPr>
        <w:pStyle w:val="3"/>
        <w:spacing w:line="360" w:lineRule="auto"/>
        <w:ind w:left="0" w:firstLine="602" w:firstLineChars="200"/>
      </w:pPr>
      <w:bookmarkStart w:id="280" w:name="_Toc2535"/>
      <w:bookmarkStart w:id="281" w:name="_Toc3808"/>
      <w:bookmarkStart w:id="282" w:name="_Toc19437"/>
      <w:bookmarkStart w:id="283" w:name="_Toc25271"/>
      <w:bookmarkStart w:id="284" w:name="_Toc16264"/>
      <w:bookmarkStart w:id="285" w:name="_Toc10050"/>
      <w:r>
        <w:rPr>
          <w:rFonts w:hint="eastAsia"/>
        </w:rPr>
        <w:t>第三十三条　消防宣传</w:t>
      </w:r>
      <w:bookmarkEnd w:id="280"/>
      <w:bookmarkEnd w:id="281"/>
      <w:bookmarkEnd w:id="282"/>
      <w:bookmarkEnd w:id="283"/>
      <w:bookmarkEnd w:id="284"/>
      <w:bookmarkEnd w:id="285"/>
    </w:p>
    <w:p w14:paraId="1B7BC854">
      <w:pPr>
        <w:spacing w:line="360" w:lineRule="auto"/>
        <w:ind w:firstLine="560" w:firstLineChars="200"/>
        <w:rPr>
          <w:sz w:val="28"/>
          <w:szCs w:val="28"/>
        </w:rPr>
      </w:pPr>
      <w:r>
        <w:rPr>
          <w:rFonts w:hint="eastAsia"/>
          <w:sz w:val="28"/>
          <w:szCs w:val="28"/>
        </w:rPr>
        <w:t>加强化工园区内消防和应急管理宣传，针对性定制面向化工园区内企业的消防宣传材料，至少每月开展一次宣传。制定化工园区消防知识手册，与媒体合作加强对化工园区风险防范重要性的宣传，加强典型化工园区灾害案例分析，针对性普及危化产业相关消防安全知识。</w:t>
      </w:r>
    </w:p>
    <w:p w14:paraId="63DBB21F">
      <w:pPr>
        <w:pStyle w:val="3"/>
        <w:spacing w:line="360" w:lineRule="auto"/>
        <w:ind w:left="0" w:firstLine="602" w:firstLineChars="200"/>
      </w:pPr>
      <w:bookmarkStart w:id="286" w:name="_Toc26788"/>
      <w:bookmarkStart w:id="287" w:name="_Toc27783"/>
      <w:bookmarkStart w:id="288" w:name="_Toc30215"/>
      <w:bookmarkStart w:id="289" w:name="_Toc22540"/>
      <w:bookmarkStart w:id="290" w:name="_Toc14820"/>
      <w:bookmarkStart w:id="291" w:name="_Toc24690"/>
      <w:r>
        <w:rPr>
          <w:rFonts w:hint="eastAsia"/>
        </w:rPr>
        <w:t>第三十四条　消防教育</w:t>
      </w:r>
      <w:bookmarkEnd w:id="286"/>
      <w:bookmarkEnd w:id="287"/>
      <w:bookmarkEnd w:id="288"/>
      <w:bookmarkEnd w:id="289"/>
      <w:bookmarkEnd w:id="290"/>
      <w:bookmarkEnd w:id="291"/>
    </w:p>
    <w:p w14:paraId="1540F5F6">
      <w:pPr>
        <w:spacing w:line="360" w:lineRule="auto"/>
        <w:ind w:firstLine="560" w:firstLineChars="200"/>
        <w:rPr>
          <w:sz w:val="21"/>
          <w:szCs w:val="21"/>
        </w:rPr>
      </w:pPr>
      <w:r>
        <w:rPr>
          <w:rFonts w:hint="eastAsia"/>
          <w:sz w:val="28"/>
          <w:szCs w:val="28"/>
        </w:rPr>
        <w:t>联合相关单位开展化工园区消防教育，开设化工园区消防建设、危化企业火灾防控、危化品管理、区域联防联控等相关课程，将学校作为普及化工园区消防知识和培养化工园区消防救援、管理人才的平台。开展学院定向制人才培养，尤其注重联合企业消防力量开展“重型化工救援特勤队”的人才培养。将化工园区消防安全教育纳入基础教育阶段专题教育范畴。</w:t>
      </w:r>
    </w:p>
    <w:p w14:paraId="6C922EDA">
      <w:pPr>
        <w:pStyle w:val="3"/>
        <w:spacing w:line="360" w:lineRule="auto"/>
        <w:ind w:left="0" w:firstLine="602" w:firstLineChars="200"/>
      </w:pPr>
      <w:bookmarkStart w:id="292" w:name="_Toc25805"/>
      <w:bookmarkStart w:id="293" w:name="_Toc19808"/>
      <w:bookmarkStart w:id="294" w:name="_Toc21613"/>
      <w:bookmarkStart w:id="295" w:name="_Toc8348"/>
      <w:bookmarkStart w:id="296" w:name="_Toc3662"/>
      <w:bookmarkStart w:id="297" w:name="_Toc29909"/>
      <w:r>
        <w:rPr>
          <w:rFonts w:hint="eastAsia"/>
        </w:rPr>
        <w:t>第三十五条　消防培训</w:t>
      </w:r>
      <w:bookmarkEnd w:id="292"/>
      <w:bookmarkEnd w:id="293"/>
      <w:bookmarkEnd w:id="294"/>
      <w:bookmarkEnd w:id="295"/>
      <w:bookmarkEnd w:id="296"/>
      <w:bookmarkEnd w:id="297"/>
    </w:p>
    <w:p w14:paraId="0A8DBB74">
      <w:pPr>
        <w:spacing w:line="360" w:lineRule="auto"/>
        <w:ind w:firstLine="560" w:firstLineChars="200"/>
      </w:pPr>
      <w:r>
        <w:rPr>
          <w:rFonts w:hint="eastAsia"/>
          <w:sz w:val="28"/>
          <w:szCs w:val="28"/>
        </w:rPr>
        <w:t>消防管理人员由具备相关经验</w:t>
      </w:r>
      <w:r>
        <w:rPr>
          <w:rFonts w:hint="eastAsia"/>
          <w:sz w:val="28"/>
          <w:szCs w:val="28"/>
          <w:lang w:eastAsia="zh-CN"/>
        </w:rPr>
        <w:t>的</w:t>
      </w:r>
      <w:r>
        <w:rPr>
          <w:rFonts w:hint="eastAsia"/>
          <w:sz w:val="28"/>
          <w:szCs w:val="28"/>
        </w:rPr>
        <w:t>人员担任，并针对管理人员开展培训。将化工园区消防知识纳入党政领导培训、就业培训、职业培训和农民工培训内容，推动提升化工园区消防志愿者注册人数。在化工园区内建设消防培训场馆，丰富消防安全培训模式，联合杭锦旗消防救援大队、企业消防队、消防志愿者每月不定期开展涉及各类危险化学品的多</w:t>
      </w:r>
      <w:r>
        <w:rPr>
          <w:rFonts w:hint="eastAsia"/>
          <w:sz w:val="28"/>
          <w:szCs w:val="28"/>
          <w:lang w:eastAsia="zh-CN"/>
        </w:rPr>
        <w:t>场景</w:t>
      </w:r>
      <w:r>
        <w:rPr>
          <w:rFonts w:hint="eastAsia"/>
          <w:sz w:val="28"/>
          <w:szCs w:val="28"/>
        </w:rPr>
        <w:t>专业消防培训，至少每月开展一次消防培训。督促企业不定期开展危化产业相关事故应急救援的案例学习，开展相关应急救援演练。推进危化产业专项消防职业能力评级和认证，通过考试、考级等方式推进专项消防专业培训体系构建。</w:t>
      </w:r>
      <w:bookmarkStart w:id="298" w:name="_Toc4682"/>
      <w:bookmarkStart w:id="299" w:name="_Toc5306"/>
      <w:bookmarkStart w:id="300" w:name="_Toc22194"/>
      <w:bookmarkStart w:id="301" w:name="_Toc2080"/>
      <w:bookmarkStart w:id="302" w:name="_Toc2877"/>
      <w:bookmarkStart w:id="303" w:name="_Toc22241"/>
      <w:bookmarkStart w:id="304" w:name="_Toc20304"/>
      <w:bookmarkStart w:id="305" w:name="_Toc16646"/>
      <w:bookmarkStart w:id="306" w:name="_Toc5773"/>
    </w:p>
    <w:p w14:paraId="2ADF928C">
      <w:pPr>
        <w:pStyle w:val="2"/>
        <w:rPr>
          <w:sz w:val="21"/>
          <w:szCs w:val="21"/>
        </w:rPr>
      </w:pPr>
      <w:bookmarkStart w:id="307" w:name="_Toc30492"/>
    </w:p>
    <w:p w14:paraId="57433DD7">
      <w:pPr>
        <w:pStyle w:val="2"/>
        <w:numPr>
          <w:ilvl w:val="0"/>
          <w:numId w:val="2"/>
        </w:numPr>
        <w:spacing w:line="360" w:lineRule="auto"/>
      </w:pPr>
      <w:bookmarkStart w:id="308" w:name="_Toc13714"/>
      <w:r>
        <w:t>近期建设规划</w:t>
      </w:r>
      <w:bookmarkEnd w:id="298"/>
      <w:bookmarkEnd w:id="299"/>
      <w:bookmarkEnd w:id="300"/>
      <w:bookmarkEnd w:id="301"/>
      <w:bookmarkEnd w:id="302"/>
      <w:bookmarkEnd w:id="303"/>
      <w:bookmarkEnd w:id="304"/>
      <w:bookmarkEnd w:id="305"/>
      <w:bookmarkEnd w:id="306"/>
      <w:bookmarkEnd w:id="307"/>
      <w:bookmarkEnd w:id="308"/>
    </w:p>
    <w:p w14:paraId="72DB3163">
      <w:pPr>
        <w:pStyle w:val="2"/>
        <w:ind w:left="0"/>
        <w:jc w:val="both"/>
        <w:rPr>
          <w:sz w:val="21"/>
          <w:szCs w:val="21"/>
        </w:rPr>
      </w:pPr>
    </w:p>
    <w:p w14:paraId="3AEB2024">
      <w:pPr>
        <w:pStyle w:val="3"/>
        <w:spacing w:line="360" w:lineRule="auto"/>
        <w:ind w:left="0" w:firstLine="602" w:firstLineChars="200"/>
      </w:pPr>
      <w:bookmarkStart w:id="309" w:name="_Toc30400"/>
      <w:bookmarkStart w:id="310" w:name="_Toc8925"/>
      <w:bookmarkStart w:id="311" w:name="_Toc498"/>
      <w:bookmarkStart w:id="312" w:name="_Toc3506"/>
      <w:bookmarkStart w:id="313" w:name="_Toc19058"/>
      <w:bookmarkStart w:id="314" w:name="_Toc26940"/>
      <w:r>
        <w:rPr>
          <w:rFonts w:hint="eastAsia"/>
        </w:rPr>
        <w:t>第三十六条　消防站及其配套设施近期建设</w:t>
      </w:r>
      <w:bookmarkEnd w:id="309"/>
      <w:bookmarkEnd w:id="310"/>
      <w:bookmarkEnd w:id="311"/>
      <w:bookmarkEnd w:id="312"/>
      <w:bookmarkEnd w:id="313"/>
      <w:bookmarkEnd w:id="314"/>
    </w:p>
    <w:p w14:paraId="03B7EE06">
      <w:pPr>
        <w:pStyle w:val="5"/>
        <w:spacing w:line="360" w:lineRule="auto"/>
        <w:ind w:firstLine="562" w:firstLineChars="200"/>
        <w:rPr>
          <w:b/>
          <w:bCs/>
          <w:sz w:val="28"/>
          <w:szCs w:val="28"/>
        </w:rPr>
      </w:pPr>
      <w:r>
        <w:rPr>
          <w:rFonts w:hint="eastAsia"/>
          <w:b/>
          <w:bCs/>
          <w:sz w:val="28"/>
          <w:szCs w:val="28"/>
        </w:rPr>
        <w:t>1.消防站</w:t>
      </w:r>
    </w:p>
    <w:p w14:paraId="03CE57BA">
      <w:pPr>
        <w:spacing w:line="360" w:lineRule="auto"/>
        <w:ind w:firstLine="560" w:firstLineChars="200"/>
        <w:rPr>
          <w:sz w:val="28"/>
          <w:szCs w:val="28"/>
        </w:rPr>
      </w:pPr>
      <w:r>
        <w:rPr>
          <w:rFonts w:hint="eastAsia"/>
          <w:sz w:val="28"/>
          <w:szCs w:val="28"/>
        </w:rPr>
        <w:t>消防站的建设应与化工园区用地扩展同步进行，规划近期升级消防站3座，即新能源产特勤消防站；南区特勤消防站和北区特勤消防站。近期在研究范围内，新建3处危化停车场，和1处危险化学品处理站。</w:t>
      </w:r>
    </w:p>
    <w:p w14:paraId="61A2A30F">
      <w:pPr>
        <w:spacing w:line="360" w:lineRule="auto"/>
        <w:ind w:firstLine="560" w:firstLineChars="200"/>
        <w:rPr>
          <w:sz w:val="28"/>
          <w:szCs w:val="28"/>
        </w:rPr>
      </w:pPr>
      <w:r>
        <w:rPr>
          <w:rFonts w:hint="eastAsia"/>
          <w:sz w:val="28"/>
          <w:szCs w:val="28"/>
        </w:rPr>
        <w:t>近期增加消防队人员、添置车辆、装备、器材等，使得原有消防站的人员、消防车辆配备达到特勤消防站标准，抢险救援装备、个人防护器材配备率不低于80%。</w:t>
      </w:r>
    </w:p>
    <w:p w14:paraId="1492ADC9">
      <w:pPr>
        <w:pStyle w:val="5"/>
        <w:spacing w:line="360" w:lineRule="auto"/>
        <w:ind w:firstLine="562" w:firstLineChars="200"/>
        <w:rPr>
          <w:b/>
          <w:bCs/>
          <w:sz w:val="28"/>
          <w:szCs w:val="28"/>
        </w:rPr>
      </w:pPr>
      <w:r>
        <w:rPr>
          <w:rFonts w:hint="eastAsia"/>
          <w:b/>
          <w:bCs/>
          <w:sz w:val="28"/>
          <w:szCs w:val="28"/>
        </w:rPr>
        <w:t>2.消防供水</w:t>
      </w:r>
    </w:p>
    <w:p w14:paraId="41FF3CF1">
      <w:pPr>
        <w:spacing w:line="360" w:lineRule="auto"/>
        <w:ind w:firstLine="560" w:firstLineChars="200"/>
        <w:rPr>
          <w:sz w:val="28"/>
          <w:szCs w:val="28"/>
        </w:rPr>
      </w:pPr>
      <w:r>
        <w:rPr>
          <w:rFonts w:hint="eastAsia"/>
          <w:sz w:val="28"/>
          <w:szCs w:val="28"/>
        </w:rPr>
        <w:t>消火栓建设基本达到国家标准，新建消火栓与市政管网同步规划建设率达100%。新建22处消防水鹤。</w:t>
      </w:r>
    </w:p>
    <w:p w14:paraId="720EFFF8">
      <w:pPr>
        <w:pStyle w:val="5"/>
        <w:spacing w:line="360" w:lineRule="auto"/>
        <w:ind w:firstLine="562" w:firstLineChars="200"/>
        <w:rPr>
          <w:b/>
          <w:bCs/>
          <w:sz w:val="28"/>
          <w:szCs w:val="28"/>
        </w:rPr>
      </w:pPr>
      <w:r>
        <w:rPr>
          <w:rFonts w:hint="eastAsia"/>
          <w:b/>
          <w:bCs/>
          <w:sz w:val="28"/>
          <w:szCs w:val="28"/>
        </w:rPr>
        <w:t>3.消防通信及信息化建设</w:t>
      </w:r>
    </w:p>
    <w:p w14:paraId="15FAD597">
      <w:pPr>
        <w:spacing w:line="360" w:lineRule="auto"/>
        <w:ind w:firstLine="560" w:firstLineChars="200"/>
        <w:rPr>
          <w:sz w:val="28"/>
          <w:szCs w:val="28"/>
        </w:rPr>
      </w:pPr>
      <w:r>
        <w:rPr>
          <w:rFonts w:hint="eastAsia"/>
          <w:sz w:val="28"/>
          <w:szCs w:val="28"/>
        </w:rPr>
        <w:t>在应急救援指挥中心内建设以计算机技术为核心，采用有线通信和无线通信两种手段的调度系统。建设指挥中心与供电、供水、供气、交通管理、环保、医疗急救、政府等单位的专线电话，实现统一调度和配合救援。</w:t>
      </w:r>
    </w:p>
    <w:p w14:paraId="055E64FE">
      <w:pPr>
        <w:spacing w:line="360" w:lineRule="auto"/>
        <w:ind w:firstLine="560" w:firstLineChars="200"/>
        <w:rPr>
          <w:sz w:val="28"/>
          <w:szCs w:val="28"/>
        </w:rPr>
      </w:pPr>
      <w:r>
        <w:rPr>
          <w:rFonts w:hint="eastAsia"/>
          <w:sz w:val="28"/>
          <w:szCs w:val="28"/>
        </w:rPr>
        <w:t>信息化方面，近期将重点投入监控系统及智能维护系统建设。实行化工园区统一的监管，实时监测和上报化工园区安全隐患或事故。构建智能维护系统，实现消防设施和设备的日常维护和应急维护，为智慧消防建设打下基础。</w:t>
      </w:r>
    </w:p>
    <w:p w14:paraId="192E4809">
      <w:pPr>
        <w:pStyle w:val="5"/>
        <w:spacing w:line="360" w:lineRule="auto"/>
        <w:ind w:firstLine="562" w:firstLineChars="200"/>
        <w:rPr>
          <w:b/>
          <w:bCs/>
          <w:sz w:val="28"/>
          <w:szCs w:val="28"/>
        </w:rPr>
      </w:pPr>
      <w:r>
        <w:rPr>
          <w:rFonts w:hint="eastAsia"/>
          <w:b/>
          <w:bCs/>
          <w:sz w:val="28"/>
          <w:szCs w:val="28"/>
        </w:rPr>
        <w:t>4.消防通道</w:t>
      </w:r>
    </w:p>
    <w:p w14:paraId="44424860">
      <w:pPr>
        <w:spacing w:line="360" w:lineRule="auto"/>
        <w:ind w:firstLine="560" w:firstLineChars="200"/>
        <w:rPr>
          <w:sz w:val="28"/>
          <w:szCs w:val="28"/>
        </w:rPr>
      </w:pPr>
      <w:r>
        <w:rPr>
          <w:rFonts w:hint="eastAsia"/>
          <w:sz w:val="28"/>
          <w:szCs w:val="28"/>
        </w:rPr>
        <w:t>消防通道近期结合化工园区道路建设，形成完整的交通格局。在交通堵塞点附近预留足够的空旷地，清理违章占道的路边停车点，拆除侵占消防通道的违章建筑，改善消防灭火扑救条件，保障消防车的正常通行。</w:t>
      </w:r>
    </w:p>
    <w:p w14:paraId="78FEEBA5">
      <w:pPr>
        <w:spacing w:line="360" w:lineRule="auto"/>
        <w:ind w:firstLine="560" w:firstLineChars="200"/>
        <w:rPr>
          <w:sz w:val="28"/>
          <w:szCs w:val="28"/>
        </w:rPr>
      </w:pPr>
      <w:r>
        <w:rPr>
          <w:rFonts w:hint="eastAsia"/>
          <w:sz w:val="28"/>
          <w:szCs w:val="28"/>
        </w:rPr>
        <w:t>近期规划建设3处危险化学品停车场，目前</w:t>
      </w:r>
      <w:r>
        <w:rPr>
          <w:rFonts w:hint="eastAsia"/>
          <w:sz w:val="28"/>
          <w:szCs w:val="28"/>
          <w:lang w:eastAsia="zh-CN"/>
        </w:rPr>
        <w:t>已</w:t>
      </w:r>
      <w:r>
        <w:rPr>
          <w:rFonts w:hint="eastAsia"/>
          <w:sz w:val="28"/>
          <w:szCs w:val="28"/>
        </w:rPr>
        <w:t>开展前期工作。</w:t>
      </w:r>
      <w:bookmarkStart w:id="315" w:name="_Toc6747"/>
      <w:bookmarkStart w:id="316" w:name="_Toc15264"/>
      <w:bookmarkStart w:id="317" w:name="_Toc14234"/>
      <w:bookmarkStart w:id="318" w:name="_Toc15776"/>
      <w:bookmarkStart w:id="319" w:name="_Toc14640"/>
      <w:bookmarkStart w:id="320" w:name="_Toc17864"/>
      <w:bookmarkStart w:id="321" w:name="_Toc28725"/>
      <w:bookmarkStart w:id="322" w:name="_Toc26528"/>
      <w:bookmarkStart w:id="323" w:name="_Toc27314"/>
      <w:bookmarkStart w:id="324" w:name="_Toc12987"/>
    </w:p>
    <w:p w14:paraId="266D2106">
      <w:pPr>
        <w:spacing w:line="360" w:lineRule="auto"/>
        <w:ind w:firstLine="2650" w:firstLineChars="1200"/>
        <w:outlineLvl w:val="0"/>
        <w:rPr>
          <w:b/>
          <w:bCs/>
        </w:rPr>
      </w:pPr>
      <w:bookmarkStart w:id="325" w:name="_Toc24551"/>
      <w:bookmarkStart w:id="326" w:name="_Toc29049"/>
      <w:r>
        <w:rPr>
          <w:rFonts w:hint="eastAsia"/>
          <w:b/>
          <w:bCs/>
        </w:rPr>
        <w:t>杭锦经济开发区近期建设规划图</w:t>
      </w:r>
      <w:bookmarkEnd w:id="325"/>
      <w:bookmarkEnd w:id="326"/>
    </w:p>
    <w:p w14:paraId="7BCBB11A">
      <w:pPr>
        <w:spacing w:line="360" w:lineRule="auto"/>
        <w:rPr>
          <w:sz w:val="24"/>
          <w:szCs w:val="24"/>
        </w:rPr>
      </w:pPr>
      <w:r>
        <w:drawing>
          <wp:inline distT="0" distB="0" distL="114300" distR="114300">
            <wp:extent cx="5614670" cy="3968750"/>
            <wp:effectExtent l="0" t="0" r="5080" b="1270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0"/>
                    <a:stretch>
                      <a:fillRect/>
                    </a:stretch>
                  </pic:blipFill>
                  <pic:spPr>
                    <a:xfrm>
                      <a:off x="0" y="0"/>
                      <a:ext cx="5614670" cy="3968750"/>
                    </a:xfrm>
                    <a:prstGeom prst="rect">
                      <a:avLst/>
                    </a:prstGeom>
                    <a:noFill/>
                    <a:ln>
                      <a:noFill/>
                    </a:ln>
                  </pic:spPr>
                </pic:pic>
              </a:graphicData>
            </a:graphic>
          </wp:inline>
        </w:drawing>
      </w:r>
    </w:p>
    <w:p w14:paraId="251F8904">
      <w:pPr>
        <w:pStyle w:val="2"/>
        <w:numPr>
          <w:ilvl w:val="0"/>
          <w:numId w:val="2"/>
        </w:numPr>
      </w:pPr>
      <w:bookmarkStart w:id="327" w:name="_Toc26785"/>
      <w:r>
        <w:t>实施措施及建议</w:t>
      </w:r>
      <w:bookmarkEnd w:id="315"/>
      <w:bookmarkEnd w:id="316"/>
      <w:bookmarkEnd w:id="317"/>
      <w:bookmarkEnd w:id="318"/>
      <w:bookmarkEnd w:id="319"/>
      <w:bookmarkEnd w:id="320"/>
      <w:bookmarkEnd w:id="321"/>
      <w:bookmarkEnd w:id="322"/>
      <w:bookmarkEnd w:id="323"/>
      <w:bookmarkEnd w:id="324"/>
      <w:bookmarkEnd w:id="327"/>
    </w:p>
    <w:p w14:paraId="6408E41A"/>
    <w:p w14:paraId="1FE49F03">
      <w:pPr>
        <w:pStyle w:val="3"/>
        <w:spacing w:line="360" w:lineRule="auto"/>
        <w:ind w:left="0" w:firstLine="602" w:firstLineChars="200"/>
      </w:pPr>
      <w:bookmarkStart w:id="328" w:name="_Toc20091"/>
      <w:bookmarkStart w:id="329" w:name="_Toc2213"/>
      <w:bookmarkStart w:id="330" w:name="_Toc22490"/>
      <w:bookmarkStart w:id="331" w:name="_Toc31278"/>
      <w:bookmarkStart w:id="332" w:name="_Toc18769"/>
      <w:bookmarkStart w:id="333" w:name="_Toc9948"/>
      <w:r>
        <w:rPr>
          <w:rFonts w:hint="eastAsia"/>
        </w:rPr>
        <w:t>第三十七条　加强规划引领，合理引导设施共建共享</w:t>
      </w:r>
      <w:bookmarkEnd w:id="328"/>
      <w:bookmarkEnd w:id="329"/>
      <w:bookmarkEnd w:id="330"/>
      <w:bookmarkEnd w:id="331"/>
      <w:bookmarkEnd w:id="332"/>
      <w:bookmarkEnd w:id="333"/>
    </w:p>
    <w:p w14:paraId="2004BF2A">
      <w:pPr>
        <w:spacing w:line="360" w:lineRule="auto"/>
        <w:ind w:firstLine="560" w:firstLineChars="200"/>
        <w:rPr>
          <w:sz w:val="21"/>
          <w:szCs w:val="21"/>
        </w:rPr>
      </w:pPr>
      <w:r>
        <w:rPr>
          <w:rFonts w:hint="eastAsia"/>
          <w:sz w:val="28"/>
          <w:szCs w:val="28"/>
        </w:rPr>
        <w:t>对化工园区早期“先企业、后规划”带来的遗留问题进行深入研究，不断完善规划体系，统筹化工园区消防设计，明确各阶段任务和相关保障，逐步完善化工园区消防建设。强化规划引领，杭锦经济开发区国土空间总体规划应结合鄂尔多斯市总体发展规划、本专项规划，统筹协调好化工园区及相邻园区的消防设施布局。后续编制的控制性详细规划应严格落实消防设施用地，控制好消防通道及避难疏散空间，化工园区内企业作业区与生活区之间须设置隔离带等方式形成空间分隔，并在化工园区及其周边预留足够的消防车辆及危险品运输车辆停车场用地。</w:t>
      </w:r>
    </w:p>
    <w:p w14:paraId="70E977B5">
      <w:pPr>
        <w:pStyle w:val="3"/>
        <w:spacing w:line="360" w:lineRule="auto"/>
        <w:ind w:left="0" w:firstLine="602" w:firstLineChars="200"/>
      </w:pPr>
      <w:bookmarkStart w:id="334" w:name="_Toc7676"/>
      <w:bookmarkStart w:id="335" w:name="_Toc12784"/>
      <w:bookmarkStart w:id="336" w:name="_Toc16520"/>
      <w:bookmarkStart w:id="337" w:name="_Toc23766"/>
      <w:bookmarkStart w:id="338" w:name="_Toc7509"/>
      <w:bookmarkStart w:id="339" w:name="_Toc1989"/>
      <w:r>
        <w:rPr>
          <w:rFonts w:hint="eastAsia"/>
        </w:rPr>
        <w:t>第三十八条　优化顶层，构建站站联动、园园联动与区域联动的多级应急联防联动机制</w:t>
      </w:r>
      <w:bookmarkEnd w:id="334"/>
      <w:bookmarkEnd w:id="335"/>
      <w:bookmarkEnd w:id="336"/>
      <w:bookmarkEnd w:id="337"/>
      <w:bookmarkEnd w:id="338"/>
      <w:bookmarkEnd w:id="339"/>
    </w:p>
    <w:p w14:paraId="75E546B1">
      <w:pPr>
        <w:pStyle w:val="5"/>
        <w:spacing w:line="364" w:lineRule="auto"/>
        <w:ind w:right="38"/>
        <w:rPr>
          <w:sz w:val="28"/>
          <w:szCs w:val="28"/>
        </w:rPr>
      </w:pPr>
      <w:r>
        <w:rPr>
          <w:rFonts w:hint="eastAsia"/>
          <w:sz w:val="28"/>
          <w:szCs w:val="28"/>
        </w:rPr>
        <w:t>　　针对化工园区组团分离和化工园区火灾的突发性、危险性和破坏性，打破传统单一辖区制的壁垒，构建站站联动、园园联动与区域联动的多级应急联防联动机制。建立政府统一领导下的化工园区危化品应急救援中心，根据火情大小触发不同层级的应急联动，建立火灾事故预防和灭火救援决策平台系统，要求企业消防队最先到达事故现场，完善应急救援指挥调度体系建设，推动完善化工园区灭火和应急救援队联动机制。</w:t>
      </w:r>
    </w:p>
    <w:p w14:paraId="53B0EC85">
      <w:pPr>
        <w:pStyle w:val="3"/>
        <w:spacing w:line="360" w:lineRule="auto"/>
        <w:ind w:left="0" w:firstLine="602" w:firstLineChars="200"/>
      </w:pPr>
      <w:bookmarkStart w:id="340" w:name="_Toc15917"/>
      <w:bookmarkStart w:id="341" w:name="_Toc29676"/>
      <w:bookmarkStart w:id="342" w:name="_Toc17594"/>
      <w:bookmarkStart w:id="343" w:name="_Toc1268"/>
      <w:bookmarkStart w:id="344" w:name="_Toc12616"/>
      <w:bookmarkStart w:id="345" w:name="_Toc21236"/>
      <w:r>
        <w:rPr>
          <w:rFonts w:hint="eastAsia"/>
        </w:rPr>
        <w:t>第三十九条　多管齐下，完善</w:t>
      </w:r>
      <w:r>
        <w:rPr>
          <w:rFonts w:hint="eastAsia"/>
          <w:lang w:eastAsia="zh-CN"/>
        </w:rPr>
        <w:t>以</w:t>
      </w:r>
      <w:r>
        <w:rPr>
          <w:rFonts w:hint="eastAsia"/>
        </w:rPr>
        <w:t>杭锦旗消防救援</w:t>
      </w:r>
      <w:r>
        <w:rPr>
          <w:rFonts w:hint="eastAsia"/>
          <w:sz w:val="28"/>
          <w:szCs w:val="28"/>
        </w:rPr>
        <w:t>大队</w:t>
      </w:r>
      <w:r>
        <w:rPr>
          <w:rFonts w:hint="eastAsia"/>
        </w:rPr>
        <w:t>为主导的消防安全管理体系</w:t>
      </w:r>
      <w:bookmarkEnd w:id="340"/>
      <w:bookmarkEnd w:id="341"/>
      <w:bookmarkEnd w:id="342"/>
      <w:bookmarkEnd w:id="343"/>
      <w:bookmarkEnd w:id="344"/>
      <w:bookmarkEnd w:id="345"/>
    </w:p>
    <w:p w14:paraId="2665BE7B">
      <w:pPr>
        <w:pStyle w:val="5"/>
        <w:spacing w:line="365" w:lineRule="auto"/>
        <w:ind w:right="40" w:firstLine="560"/>
        <w:rPr>
          <w:sz w:val="21"/>
          <w:szCs w:val="21"/>
        </w:rPr>
      </w:pPr>
      <w:r>
        <w:rPr>
          <w:rFonts w:hint="eastAsia"/>
          <w:sz w:val="28"/>
          <w:szCs w:val="28"/>
        </w:rPr>
        <w:t>健全消防安全制度和标准建设。建立发展服务中心服务平台，通过化工园区对外合作、招商引资、学习交流等方式，引进先进消防安全管理体系，明确政府的监管职责，由杭锦旗消防救援大队进行消防安全管理，事故发生时由杭锦旗消防救援大队进行统一调度。优化监管模式，完善企业监管，推进企业监管信息化建设。完善监管工作体系。依托信息化平台，建立网格化防控体系。</w:t>
      </w:r>
    </w:p>
    <w:p w14:paraId="7BDFFD39">
      <w:pPr>
        <w:pStyle w:val="3"/>
        <w:spacing w:line="360" w:lineRule="auto"/>
        <w:ind w:left="0" w:firstLine="602" w:firstLineChars="200"/>
      </w:pPr>
      <w:bookmarkStart w:id="346" w:name="_Toc29543"/>
      <w:bookmarkStart w:id="347" w:name="_Toc14034"/>
      <w:bookmarkStart w:id="348" w:name="_Toc22578"/>
      <w:bookmarkStart w:id="349" w:name="_Toc22164"/>
      <w:bookmarkStart w:id="350" w:name="_Toc25700"/>
      <w:bookmarkStart w:id="351" w:name="_Toc19392"/>
      <w:r>
        <w:rPr>
          <w:rFonts w:hint="eastAsia"/>
        </w:rPr>
        <w:t>第四十条　加强预案编制和管理，结合</w:t>
      </w:r>
      <w:r>
        <w:rPr>
          <w:rFonts w:hint="eastAsia"/>
          <w:sz w:val="28"/>
          <w:szCs w:val="28"/>
        </w:rPr>
        <w:t>化工</w:t>
      </w:r>
      <w:r>
        <w:rPr>
          <w:rFonts w:hint="eastAsia"/>
        </w:rPr>
        <w:t>园区大数据丰富预案演练模式</w:t>
      </w:r>
      <w:bookmarkEnd w:id="346"/>
      <w:bookmarkEnd w:id="347"/>
      <w:bookmarkEnd w:id="348"/>
      <w:bookmarkEnd w:id="349"/>
      <w:bookmarkEnd w:id="350"/>
      <w:bookmarkEnd w:id="351"/>
    </w:p>
    <w:p w14:paraId="536A66B9">
      <w:pPr>
        <w:pStyle w:val="5"/>
        <w:spacing w:line="364" w:lineRule="auto"/>
        <w:ind w:right="38" w:firstLine="560"/>
        <w:rPr>
          <w:sz w:val="21"/>
          <w:szCs w:val="21"/>
        </w:rPr>
      </w:pPr>
      <w:r>
        <w:rPr>
          <w:rFonts w:hint="eastAsia"/>
          <w:sz w:val="28"/>
          <w:szCs w:val="28"/>
        </w:rPr>
        <w:t>结合大数据完善应急预案，结合智能化平台的情景模拟功能，丰富预案演练形式，采取实战演练、桌面推演等方式，组织开展人员广泛参与、处置联动性强、形式多样、节约高效的应急演练。依托智慧消防平台，制订标准化、规范化应急预案编制指南，建立健全标准统一、措施有力、衔接顺畅的应急预案。建立应急演练制度，组织开展人员广泛参与、处置联动性强、形式多样、节约高效的应急演练。</w:t>
      </w:r>
    </w:p>
    <w:p w14:paraId="37FB59DE">
      <w:pPr>
        <w:pStyle w:val="3"/>
        <w:spacing w:line="360" w:lineRule="auto"/>
        <w:ind w:left="0" w:firstLine="602" w:firstLineChars="200"/>
      </w:pPr>
      <w:bookmarkStart w:id="352" w:name="_Toc5044"/>
      <w:bookmarkStart w:id="353" w:name="_Toc29132"/>
      <w:bookmarkStart w:id="354" w:name="_Toc2733"/>
      <w:bookmarkStart w:id="355" w:name="_Toc31681"/>
      <w:bookmarkStart w:id="356" w:name="_Toc7185"/>
      <w:bookmarkStart w:id="357" w:name="_Toc15022"/>
      <w:r>
        <w:rPr>
          <w:rFonts w:hint="eastAsia"/>
        </w:rPr>
        <w:t>第四十一条　针对</w:t>
      </w:r>
      <w:r>
        <w:rPr>
          <w:rFonts w:hint="eastAsia"/>
          <w:sz w:val="28"/>
          <w:szCs w:val="28"/>
        </w:rPr>
        <w:t>化工</w:t>
      </w:r>
      <w:r>
        <w:rPr>
          <w:rFonts w:hint="eastAsia"/>
        </w:rPr>
        <w:t>园区特点与产品特性打造专业危化品救援特勤队伍</w:t>
      </w:r>
      <w:bookmarkEnd w:id="352"/>
      <w:bookmarkEnd w:id="353"/>
      <w:bookmarkEnd w:id="354"/>
      <w:bookmarkEnd w:id="355"/>
      <w:bookmarkEnd w:id="356"/>
      <w:bookmarkEnd w:id="357"/>
    </w:p>
    <w:p w14:paraId="7CBC6686">
      <w:pPr>
        <w:pStyle w:val="5"/>
        <w:spacing w:line="364" w:lineRule="auto"/>
        <w:ind w:right="38"/>
      </w:pPr>
      <w:r>
        <w:rPr>
          <w:rFonts w:hint="eastAsia"/>
          <w:sz w:val="28"/>
          <w:szCs w:val="28"/>
        </w:rPr>
        <w:t>　　完善专业消防队伍，尤其是以重型化工灭火编队和搜救应急队为主的专业危化品救援特勤队伍，加强消防救援能力建设。保障应急救援物资，健全应急救援战勤保障体系。提高在储装备物资精细化管理机制，完善针对危险化学品火灾和其他事故的应急医疗救援队伍，提升医院救治能力。</w:t>
      </w:r>
      <w:bookmarkStart w:id="358" w:name="_Toc13759"/>
      <w:bookmarkStart w:id="359" w:name="_Toc17609"/>
      <w:bookmarkStart w:id="360" w:name="_Toc18820"/>
      <w:bookmarkStart w:id="361" w:name="_Toc20932"/>
      <w:bookmarkStart w:id="362" w:name="_Toc20223"/>
    </w:p>
    <w:p w14:paraId="01CCA56B">
      <w:pPr>
        <w:pStyle w:val="3"/>
        <w:spacing w:line="360" w:lineRule="auto"/>
        <w:ind w:left="0" w:firstLine="602" w:firstLineChars="200"/>
      </w:pPr>
    </w:p>
    <w:p w14:paraId="13B82029">
      <w:pPr>
        <w:pStyle w:val="3"/>
        <w:spacing w:line="360" w:lineRule="auto"/>
        <w:ind w:left="0" w:firstLine="602" w:firstLineChars="200"/>
      </w:pPr>
      <w:bookmarkStart w:id="363" w:name="_Toc23980"/>
      <w:r>
        <w:rPr>
          <w:rFonts w:hint="eastAsia"/>
        </w:rPr>
        <w:t>第四十二条　建立化学危险品安全科技支撑及安全生产管控一体化封闭管理体系</w:t>
      </w:r>
      <w:bookmarkEnd w:id="358"/>
      <w:bookmarkEnd w:id="359"/>
      <w:bookmarkEnd w:id="360"/>
      <w:bookmarkEnd w:id="361"/>
      <w:bookmarkEnd w:id="362"/>
      <w:bookmarkEnd w:id="363"/>
    </w:p>
    <w:p w14:paraId="16A9E02C">
      <w:pPr>
        <w:pStyle w:val="5"/>
        <w:spacing w:line="365" w:lineRule="auto"/>
        <w:ind w:right="40" w:firstLine="560" w:firstLineChars="200"/>
        <w:rPr>
          <w:sz w:val="28"/>
          <w:szCs w:val="28"/>
        </w:rPr>
      </w:pPr>
      <w:r>
        <w:rPr>
          <w:rFonts w:hint="eastAsia"/>
          <w:sz w:val="28"/>
          <w:szCs w:val="28"/>
        </w:rPr>
        <w:t>鼓励企业采用先进适用的工艺、技术和设备。对生产、储存重点监管的危险化学品设施以及危险化学品重大危险源安装监控系统。建立完善的化学品安全管理体系，为政府和企业提供化工园区危险化学品处置、应急的完整解决方案。</w:t>
      </w:r>
    </w:p>
    <w:p w14:paraId="1AB770EB">
      <w:pPr>
        <w:pStyle w:val="5"/>
        <w:spacing w:line="365" w:lineRule="auto"/>
        <w:ind w:right="40" w:firstLine="560" w:firstLineChars="200"/>
        <w:rPr>
          <w:sz w:val="21"/>
          <w:szCs w:val="21"/>
        </w:rPr>
      </w:pPr>
      <w:r>
        <w:rPr>
          <w:rFonts w:hint="eastAsia"/>
          <w:sz w:val="28"/>
          <w:szCs w:val="28"/>
        </w:rPr>
        <w:t>分期对化工园区</w:t>
      </w:r>
      <w:r>
        <w:rPr>
          <w:rFonts w:hint="eastAsia"/>
          <w:sz w:val="28"/>
          <w:szCs w:val="28"/>
          <w:lang w:eastAsia="zh-CN"/>
        </w:rPr>
        <w:t>实</w:t>
      </w:r>
      <w:r>
        <w:rPr>
          <w:rFonts w:hint="eastAsia"/>
          <w:sz w:val="28"/>
          <w:szCs w:val="28"/>
        </w:rPr>
        <w:t>行封闭式管理，通过建立围墙、绿化带等隔离体系，设定门禁，实行专用车道、专用停车场等制度，实行危险化学品运输车辆全程监控等措施，实现化工园区封闭式管理。前期实施局部封闭式管理，三年内实现区域封闭式</w:t>
      </w:r>
      <w:bookmarkStart w:id="384" w:name="_GoBack"/>
      <w:bookmarkEnd w:id="384"/>
      <w:r>
        <w:rPr>
          <w:rFonts w:hint="eastAsia"/>
          <w:sz w:val="28"/>
          <w:szCs w:val="28"/>
        </w:rPr>
        <w:t>管理，三至五年实现全封闭管理。</w:t>
      </w:r>
      <w:bookmarkStart w:id="364" w:name="_Toc25009"/>
      <w:bookmarkStart w:id="365" w:name="_Toc22802"/>
      <w:bookmarkStart w:id="366" w:name="_Toc14740"/>
      <w:bookmarkStart w:id="367" w:name="_Toc13521"/>
      <w:bookmarkStart w:id="368" w:name="_Toc12536"/>
    </w:p>
    <w:p w14:paraId="56ED1DBE">
      <w:pPr>
        <w:pStyle w:val="3"/>
        <w:spacing w:line="360" w:lineRule="auto"/>
        <w:ind w:left="0" w:firstLine="602" w:firstLineChars="200"/>
      </w:pPr>
      <w:bookmarkStart w:id="369" w:name="_Toc26662"/>
      <w:r>
        <w:rPr>
          <w:rFonts w:hint="eastAsia"/>
        </w:rPr>
        <w:t>第四十三条</w:t>
      </w:r>
      <w:r>
        <w:rPr>
          <w:rFonts w:hint="eastAsia"/>
          <w:lang w:val="en-US" w:eastAsia="zh-CN"/>
        </w:rPr>
        <w:t xml:space="preserve"> </w:t>
      </w:r>
      <w:r>
        <w:rPr>
          <w:rFonts w:hint="eastAsia"/>
        </w:rPr>
        <w:t>丰富资金来源，保障</w:t>
      </w:r>
      <w:r>
        <w:rPr>
          <w:rFonts w:hint="eastAsia"/>
          <w:sz w:val="28"/>
          <w:szCs w:val="28"/>
        </w:rPr>
        <w:t>化工</w:t>
      </w:r>
      <w:r>
        <w:rPr>
          <w:rFonts w:hint="eastAsia"/>
        </w:rPr>
        <w:t>园区消防建设资金</w:t>
      </w:r>
      <w:bookmarkEnd w:id="364"/>
      <w:bookmarkEnd w:id="365"/>
      <w:bookmarkEnd w:id="366"/>
      <w:bookmarkEnd w:id="367"/>
      <w:bookmarkEnd w:id="368"/>
      <w:bookmarkEnd w:id="369"/>
    </w:p>
    <w:p w14:paraId="66CCDE98">
      <w:pPr>
        <w:spacing w:line="360" w:lineRule="auto"/>
        <w:ind w:firstLine="560" w:firstLineChars="200"/>
        <w:rPr>
          <w:sz w:val="21"/>
          <w:szCs w:val="21"/>
        </w:rPr>
      </w:pPr>
      <w:r>
        <w:rPr>
          <w:rFonts w:hint="eastAsia"/>
          <w:sz w:val="28"/>
          <w:szCs w:val="28"/>
        </w:rPr>
        <w:t>按本规划和其他相关规划的各阶段建设发展目标，做好消防站、消防装备、消防车、消防信息化建设预算，争取建设资金。通过政府与企业联建方式建设消防站与相关消防设施，按照“事权与财权相一致”的原则，进一步健全权责明确、规范高效、分类负担、分级保障的经费长效管理机制。</w:t>
      </w:r>
    </w:p>
    <w:p w14:paraId="527F9E28">
      <w:pPr>
        <w:pStyle w:val="3"/>
        <w:spacing w:line="360" w:lineRule="auto"/>
        <w:ind w:left="0" w:firstLine="602" w:firstLineChars="200"/>
      </w:pPr>
      <w:bookmarkStart w:id="370" w:name="_Toc17125"/>
      <w:bookmarkStart w:id="371" w:name="_Toc29150"/>
      <w:bookmarkStart w:id="372" w:name="_Toc26124"/>
      <w:bookmarkStart w:id="373" w:name="_Toc16527"/>
      <w:bookmarkStart w:id="374" w:name="_Toc22411"/>
      <w:bookmarkStart w:id="375" w:name="_Toc29238"/>
      <w:r>
        <w:rPr>
          <w:rFonts w:hint="eastAsia"/>
        </w:rPr>
        <w:t>第四十四条　融合互训，健全消防应急救援人才保障</w:t>
      </w:r>
      <w:bookmarkEnd w:id="370"/>
      <w:bookmarkEnd w:id="371"/>
      <w:bookmarkEnd w:id="372"/>
      <w:bookmarkEnd w:id="373"/>
      <w:bookmarkEnd w:id="374"/>
      <w:bookmarkEnd w:id="375"/>
    </w:p>
    <w:p w14:paraId="3D0F963B">
      <w:pPr>
        <w:spacing w:line="360" w:lineRule="auto"/>
        <w:ind w:firstLine="560" w:firstLineChars="200"/>
        <w:rPr>
          <w:sz w:val="21"/>
          <w:szCs w:val="21"/>
        </w:rPr>
      </w:pPr>
      <w:r>
        <w:rPr>
          <w:rFonts w:hint="eastAsia"/>
          <w:sz w:val="28"/>
          <w:szCs w:val="28"/>
        </w:rPr>
        <w:t>完善消防管理人培训与管理机制。消防管理人员须由具备相关经验人员担任，建立消防管理人员培训与考核机制，培养专业化管理人才。开展区域联动互训，构筑“队企共进、高校协同”的危化应急处置人才培训机制；构建杭锦旗消防救援大队灭火业务骨干和化工园区企业消防人员学习交流、共同训练、联动交流的人才融合互训机制；建立建强相关行业和领域专家组成的应急救援专家组，依托专业平台进行消防救援培训和高素质消防人才储备。推动健全消防救援人员职业保障机制，如优先政策、职业荣誉保障、生活待遇保障、社会优待保障等，从薪资、医疗、伤亡抚恤、住房和子女教育等方面为消防救援人员提供保障。</w:t>
      </w:r>
    </w:p>
    <w:p w14:paraId="50D600E4">
      <w:pPr>
        <w:pStyle w:val="3"/>
        <w:spacing w:line="360" w:lineRule="auto"/>
        <w:ind w:left="0" w:firstLine="602" w:firstLineChars="200"/>
      </w:pPr>
      <w:bookmarkStart w:id="376" w:name="_Toc26134"/>
      <w:bookmarkStart w:id="377" w:name="_Toc25896"/>
      <w:bookmarkStart w:id="378" w:name="_Toc762"/>
      <w:bookmarkStart w:id="379" w:name="_Toc13003"/>
      <w:bookmarkStart w:id="380" w:name="_Toc14370"/>
      <w:bookmarkStart w:id="381" w:name="_Toc22374"/>
      <w:r>
        <w:rPr>
          <w:rFonts w:hint="eastAsia"/>
        </w:rPr>
        <w:t>第四十五条　加强规划评估落实与督查督办</w:t>
      </w:r>
      <w:bookmarkEnd w:id="376"/>
      <w:bookmarkEnd w:id="377"/>
      <w:bookmarkEnd w:id="378"/>
      <w:bookmarkEnd w:id="379"/>
      <w:bookmarkEnd w:id="380"/>
      <w:bookmarkEnd w:id="381"/>
    </w:p>
    <w:p w14:paraId="16ADA229">
      <w:pPr>
        <w:spacing w:line="360" w:lineRule="auto"/>
        <w:ind w:firstLine="560" w:firstLineChars="200"/>
        <w:rPr>
          <w:sz w:val="21"/>
          <w:szCs w:val="21"/>
        </w:rPr>
      </w:pPr>
      <w:r>
        <w:rPr>
          <w:rFonts w:hint="eastAsia"/>
          <w:sz w:val="28"/>
          <w:szCs w:val="28"/>
        </w:rPr>
        <w:t>建立科学的规划推进评价机制，对重大任务实行项目化管理，并逐项明确具体目标、时间节点及完成标准。加强对规划推进工作的检查督导，健全督查督办和帮扶指导制度，确保目标任务按时保质完成。</w:t>
      </w:r>
    </w:p>
    <w:p w14:paraId="42E9DBC1">
      <w:pPr>
        <w:pStyle w:val="3"/>
        <w:spacing w:line="360" w:lineRule="auto"/>
        <w:ind w:left="0" w:firstLine="602" w:firstLineChars="200"/>
      </w:pPr>
      <w:bookmarkStart w:id="382" w:name="_Toc7291"/>
      <w:bookmarkStart w:id="383" w:name="_Toc24042"/>
      <w:r>
        <w:rPr>
          <w:rFonts w:hint="eastAsia"/>
        </w:rPr>
        <w:t>第四十六条　完善多部门联动、企业配合的事故后环境恢复与卫生整治工作机制</w:t>
      </w:r>
      <w:bookmarkEnd w:id="382"/>
      <w:bookmarkEnd w:id="383"/>
    </w:p>
    <w:p w14:paraId="7FBA07B4">
      <w:pPr>
        <w:spacing w:line="360" w:lineRule="auto"/>
        <w:ind w:firstLine="560" w:firstLineChars="200"/>
      </w:pPr>
      <w:r>
        <w:rPr>
          <w:rFonts w:hint="eastAsia"/>
          <w:sz w:val="28"/>
          <w:szCs w:val="28"/>
        </w:rPr>
        <w:t>完善应急、环保等部门联动、企业配合的灾后环境恢复与卫生整治工作机制，环保部门对大气和水体环境进行监测，化工园区和化工园区内企业严格落实环境恢复与卫生整治措施，有序实现化工园区灾后环境卫生恢复。</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瀹嬩綋">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F99B4">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59B5E">
                          <w:pPr>
                            <w:pStyle w:val="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D859B5E">
                    <w:pPr>
                      <w:pStyle w:val="7"/>
                    </w:pPr>
                    <w:r>
                      <w:fldChar w:fldCharType="begin"/>
                    </w:r>
                    <w:r>
                      <w:instrText xml:space="preserve"> PAGE  \* MERGEFORMAT </w:instrText>
                    </w:r>
                    <w:r>
                      <w:fldChar w:fldCharType="separate"/>
                    </w:r>
                    <w:r>
                      <w:t>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73D305"/>
    <w:multiLevelType w:val="singleLevel"/>
    <w:tmpl w:val="0373D305"/>
    <w:lvl w:ilvl="0" w:tentative="0">
      <w:start w:val="4"/>
      <w:numFmt w:val="chineseCounting"/>
      <w:suff w:val="space"/>
      <w:lvlText w:val="第%1章"/>
      <w:lvlJc w:val="left"/>
      <w:rPr>
        <w:rFonts w:hint="eastAsia"/>
      </w:rPr>
    </w:lvl>
  </w:abstractNum>
  <w:abstractNum w:abstractNumId="1">
    <w:nsid w:val="53147D1E"/>
    <w:multiLevelType w:val="singleLevel"/>
    <w:tmpl w:val="53147D1E"/>
    <w:lvl w:ilvl="0" w:tentative="0">
      <w:start w:val="10"/>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1MzQ5YjJjYTY4ZmZjN2I1YmFhNzM4MjFjYTdlY2IifQ=="/>
  </w:docVars>
  <w:rsids>
    <w:rsidRoot w:val="003128D0"/>
    <w:rsid w:val="00142CC1"/>
    <w:rsid w:val="00203085"/>
    <w:rsid w:val="002A37F0"/>
    <w:rsid w:val="003128D0"/>
    <w:rsid w:val="003D218D"/>
    <w:rsid w:val="004557D9"/>
    <w:rsid w:val="004A226D"/>
    <w:rsid w:val="00747B5E"/>
    <w:rsid w:val="06E255FD"/>
    <w:rsid w:val="0FB25767"/>
    <w:rsid w:val="1A8970B1"/>
    <w:rsid w:val="26243349"/>
    <w:rsid w:val="2F9904EA"/>
    <w:rsid w:val="36863047"/>
    <w:rsid w:val="3E676B50"/>
    <w:rsid w:val="3F7C57D7"/>
    <w:rsid w:val="4AE4089B"/>
    <w:rsid w:val="5B366403"/>
    <w:rsid w:val="5D98233A"/>
    <w:rsid w:val="5F264FF7"/>
    <w:rsid w:val="647B5838"/>
    <w:rsid w:val="67823AD4"/>
    <w:rsid w:val="6A0F6C91"/>
    <w:rsid w:val="6DD96E48"/>
    <w:rsid w:val="733A0CF5"/>
    <w:rsid w:val="775F461C"/>
    <w:rsid w:val="7F3D1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zh-CN" w:bidi="ar-SA"/>
    </w:rPr>
  </w:style>
  <w:style w:type="paragraph" w:styleId="2">
    <w:name w:val="heading 1"/>
    <w:basedOn w:val="1"/>
    <w:link w:val="12"/>
    <w:qFormat/>
    <w:uiPriority w:val="0"/>
    <w:pPr>
      <w:ind w:left="221"/>
      <w:jc w:val="center"/>
      <w:outlineLvl w:val="0"/>
    </w:pPr>
    <w:rPr>
      <w:b/>
      <w:bCs/>
      <w:sz w:val="36"/>
      <w:szCs w:val="36"/>
    </w:rPr>
  </w:style>
  <w:style w:type="paragraph" w:styleId="3">
    <w:name w:val="heading 2"/>
    <w:basedOn w:val="1"/>
    <w:qFormat/>
    <w:uiPriority w:val="0"/>
    <w:pPr>
      <w:ind w:left="903"/>
      <w:outlineLvl w:val="1"/>
    </w:pPr>
    <w:rPr>
      <w:b/>
      <w:bCs/>
      <w:sz w:val="30"/>
      <w:szCs w:val="30"/>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annotation text"/>
    <w:basedOn w:val="1"/>
    <w:qFormat/>
    <w:uiPriority w:val="0"/>
  </w:style>
  <w:style w:type="paragraph" w:styleId="5">
    <w:name w:val="Body Text"/>
    <w:basedOn w:val="1"/>
    <w:qFormat/>
    <w:uiPriority w:val="1"/>
    <w:rPr>
      <w:sz w:val="24"/>
      <w:szCs w:val="24"/>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List Paragraph"/>
    <w:basedOn w:val="1"/>
    <w:qFormat/>
    <w:uiPriority w:val="1"/>
    <w:pPr>
      <w:ind w:left="1783" w:hanging="602"/>
    </w:pPr>
  </w:style>
  <w:style w:type="character" w:customStyle="1" w:styleId="12">
    <w:name w:val="标题 1 Char"/>
    <w:link w:val="2"/>
    <w:qFormat/>
    <w:uiPriority w:val="0"/>
    <w:rPr>
      <w:b/>
      <w:bCs/>
      <w:sz w:val="36"/>
      <w:szCs w:val="36"/>
    </w:rPr>
  </w:style>
  <w:style w:type="character" w:customStyle="1" w:styleId="13">
    <w:name w:val="font21"/>
    <w:basedOn w:val="10"/>
    <w:qFormat/>
    <w:uiPriority w:val="0"/>
    <w:rPr>
      <w:rFonts w:hint="default" w:ascii="Calibri" w:hAnsi="Calibri" w:cs="Calibri"/>
      <w:color w:val="000000"/>
      <w:sz w:val="21"/>
      <w:szCs w:val="21"/>
      <w:u w:val="none"/>
    </w:rPr>
  </w:style>
  <w:style w:type="paragraph" w:customStyle="1" w:styleId="14">
    <w:name w:val="Table Paragraph"/>
    <w:basedOn w:val="1"/>
    <w:qFormat/>
    <w:uiPriority w:val="1"/>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17">
    <w:name w:val="批注框文本 Char"/>
    <w:basedOn w:val="10"/>
    <w:link w:val="6"/>
    <w:qFormat/>
    <w:uiPriority w:val="0"/>
    <w:rPr>
      <w:rFonts w:ascii="宋体" w:hAnsi="宋体"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46</Pages>
  <Words>934</Words>
  <Characters>993</Characters>
  <Lines>171</Lines>
  <Paragraphs>48</Paragraphs>
  <TotalTime>57</TotalTime>
  <ScaleCrop>false</ScaleCrop>
  <LinksUpToDate>false</LinksUpToDate>
  <CharactersWithSpaces>1240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2024-11-12T02:45:00Z</dcterms:created>
  <dc:creator>DELL</dc:creator>
  <cp:lastModifiedBy>火龙果</cp:lastModifiedBy>
  <cp:lastPrinted>2024-11-12T09:43:00Z</cp:lastPrinted>
  <dcterms:modified xsi:type="dcterms:W3CDTF">2024-11-13T02:34:08Z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E4B084D4F499465785B73CCF164F5279_12</vt:lpwstr>
  </property>
</Properties>
</file>