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AD0B4">
      <w:pPr>
        <w:pStyle w:val="3"/>
        <w:keepNext w:val="0"/>
        <w:keepLines w:val="0"/>
        <w:widowControl/>
        <w:suppressLineNumbers w:val="0"/>
      </w:pPr>
      <w:r>
        <w:t>                     </w:t>
      </w:r>
      <w:r>
        <w:rPr>
          <w:rFonts w:ascii="鏂规灏忔爣瀹嬬畝浣?" w:hAnsi="鏂规灏忔爣瀹嬬畝浣?" w:eastAsia="鏂规灏忔爣瀹嬬畝浣?" w:cs="鏂规灏忔爣瀹嬬畝浣?"/>
          <w:color w:val="333333"/>
          <w:sz w:val="31"/>
          <w:szCs w:val="31"/>
        </w:rPr>
        <w:t> </w:t>
      </w:r>
      <w:bookmarkStart w:id="0" w:name="_GoBack"/>
      <w:r>
        <w:rPr>
          <w:rFonts w:hint="eastAsia" w:ascii="鏂规灏忔爣瀹嬬畝浣?" w:hAnsi="鏂规灏忔爣瀹嬬畝浣?" w:eastAsia="鏂规灏忔爣瀹嬬畝浣?" w:cs="鏂规灏忔爣瀹嬬畝浣?"/>
          <w:color w:val="333333"/>
          <w:sz w:val="31"/>
          <w:szCs w:val="31"/>
          <w:lang w:val="en-US" w:eastAsia="zh-CN"/>
        </w:rPr>
        <w:t>杭锦旗发展和改革委员会</w:t>
      </w:r>
      <w:r>
        <w:rPr>
          <w:rFonts w:ascii="鏂规灏忔爣瀹嬬畝浣?" w:hAnsi="鏂规灏忔爣瀹嬬畝浣?" w:eastAsia="鏂规灏忔爣瀹嬬畝浣?" w:cs="鏂规灏忔爣瀹嬬畝浣?"/>
          <w:color w:val="333333"/>
          <w:sz w:val="31"/>
          <w:szCs w:val="31"/>
        </w:rPr>
        <w:t>主动公开事项目录</w:t>
      </w:r>
      <w:bookmarkEnd w:id="0"/>
    </w:p>
    <w:tbl>
      <w:tblPr>
        <w:tblStyle w:val="6"/>
        <w:tblpPr w:leftFromText="180" w:rightFromText="180" w:vertAnchor="text" w:tblpXSpec="center" w:tblpY="270"/>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541"/>
        <w:gridCol w:w="1734"/>
        <w:gridCol w:w="1128"/>
        <w:gridCol w:w="2249"/>
        <w:gridCol w:w="731"/>
        <w:gridCol w:w="1026"/>
        <w:gridCol w:w="1134"/>
        <w:gridCol w:w="934"/>
        <w:gridCol w:w="791"/>
        <w:gridCol w:w="731"/>
        <w:gridCol w:w="731"/>
        <w:gridCol w:w="791"/>
        <w:gridCol w:w="1229"/>
      </w:tblGrid>
      <w:tr w14:paraId="5E7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pct"/>
            <w:gridSpan w:val="2"/>
            <w:vAlign w:val="center"/>
          </w:tcPr>
          <w:p w14:paraId="00D3A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lang w:val="en-US" w:eastAsia="zh-CN"/>
              </w:rPr>
              <w:t>公开事项</w:t>
            </w:r>
          </w:p>
        </w:tc>
        <w:tc>
          <w:tcPr>
            <w:tcW w:w="546" w:type="pct"/>
            <w:vMerge w:val="restart"/>
            <w:vAlign w:val="center"/>
          </w:tcPr>
          <w:p w14:paraId="4F82A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公开内容（要素）</w:t>
            </w:r>
          </w:p>
        </w:tc>
        <w:tc>
          <w:tcPr>
            <w:tcW w:w="355" w:type="pct"/>
            <w:vMerge w:val="restart"/>
            <w:vAlign w:val="center"/>
          </w:tcPr>
          <w:p w14:paraId="67473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公开依据</w:t>
            </w:r>
          </w:p>
        </w:tc>
        <w:tc>
          <w:tcPr>
            <w:tcW w:w="708" w:type="pct"/>
            <w:vMerge w:val="restart"/>
            <w:vAlign w:val="center"/>
          </w:tcPr>
          <w:p w14:paraId="13B8A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rPr>
              <w:t>条款内容</w:t>
            </w:r>
          </w:p>
        </w:tc>
        <w:tc>
          <w:tcPr>
            <w:tcW w:w="230" w:type="pct"/>
            <w:vMerge w:val="restart"/>
            <w:vAlign w:val="center"/>
          </w:tcPr>
          <w:p w14:paraId="5F538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依据效力位阶</w:t>
            </w:r>
          </w:p>
        </w:tc>
        <w:tc>
          <w:tcPr>
            <w:tcW w:w="323" w:type="pct"/>
            <w:vMerge w:val="restart"/>
            <w:vAlign w:val="center"/>
          </w:tcPr>
          <w:p w14:paraId="7C992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公开时限</w:t>
            </w:r>
          </w:p>
        </w:tc>
        <w:tc>
          <w:tcPr>
            <w:tcW w:w="357" w:type="pct"/>
            <w:vMerge w:val="restart"/>
            <w:vAlign w:val="center"/>
          </w:tcPr>
          <w:p w14:paraId="43A9B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公开主体</w:t>
            </w:r>
          </w:p>
        </w:tc>
        <w:tc>
          <w:tcPr>
            <w:tcW w:w="294" w:type="pct"/>
            <w:vMerge w:val="restart"/>
            <w:vAlign w:val="center"/>
          </w:tcPr>
          <w:p w14:paraId="32786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事项类别（法定公开、其他）</w:t>
            </w:r>
          </w:p>
        </w:tc>
        <w:tc>
          <w:tcPr>
            <w:tcW w:w="249" w:type="pct"/>
            <w:vMerge w:val="restart"/>
            <w:vAlign w:val="center"/>
          </w:tcPr>
          <w:p w14:paraId="3BDC6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公开渠道和载</w:t>
            </w:r>
            <w:r>
              <w:rPr>
                <w:rFonts w:hint="eastAsia" w:ascii="Times New Roman" w:hAnsi="Times New Roman"/>
                <w:sz w:val="21"/>
                <w:szCs w:val="21"/>
                <w:vertAlign w:val="baseline"/>
                <w:lang w:val="en-US" w:eastAsia="zh-CN"/>
              </w:rPr>
              <w:t>体</w:t>
            </w:r>
          </w:p>
        </w:tc>
        <w:tc>
          <w:tcPr>
            <w:tcW w:w="460" w:type="pct"/>
            <w:gridSpan w:val="2"/>
            <w:vAlign w:val="center"/>
          </w:tcPr>
          <w:p w14:paraId="68F44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rPr>
              <w:t>公开对象</w:t>
            </w:r>
          </w:p>
        </w:tc>
        <w:tc>
          <w:tcPr>
            <w:tcW w:w="249" w:type="pct"/>
            <w:vMerge w:val="restart"/>
            <w:vAlign w:val="center"/>
          </w:tcPr>
          <w:p w14:paraId="3BFD7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责任科室</w:t>
            </w:r>
          </w:p>
        </w:tc>
        <w:tc>
          <w:tcPr>
            <w:tcW w:w="387" w:type="pct"/>
            <w:vMerge w:val="restart"/>
            <w:vAlign w:val="center"/>
          </w:tcPr>
          <w:p w14:paraId="2DBD1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r>
              <w:rPr>
                <w:rFonts w:hint="eastAsia" w:ascii="Times New Roman" w:hAnsi="Times New Roman"/>
                <w:sz w:val="21"/>
                <w:szCs w:val="21"/>
                <w:vertAlign w:val="baseline"/>
                <w:lang w:eastAsia="zh-CN"/>
              </w:rPr>
              <w:t>对应职责</w:t>
            </w:r>
          </w:p>
        </w:tc>
      </w:tr>
      <w:tr w14:paraId="249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Align w:val="center"/>
          </w:tcPr>
          <w:p w14:paraId="55EED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一级事项</w:t>
            </w:r>
          </w:p>
        </w:tc>
        <w:tc>
          <w:tcPr>
            <w:tcW w:w="485" w:type="pct"/>
            <w:vAlign w:val="center"/>
          </w:tcPr>
          <w:p w14:paraId="48E09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二级事项</w:t>
            </w:r>
          </w:p>
        </w:tc>
        <w:tc>
          <w:tcPr>
            <w:tcW w:w="546" w:type="pct"/>
            <w:vMerge w:val="continue"/>
            <w:vAlign w:val="center"/>
          </w:tcPr>
          <w:p w14:paraId="54749F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355" w:type="pct"/>
            <w:vMerge w:val="continue"/>
            <w:vAlign w:val="center"/>
          </w:tcPr>
          <w:p w14:paraId="3E578A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708" w:type="pct"/>
            <w:vMerge w:val="continue"/>
            <w:vAlign w:val="center"/>
          </w:tcPr>
          <w:p w14:paraId="38300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230" w:type="pct"/>
            <w:vMerge w:val="continue"/>
            <w:vAlign w:val="center"/>
          </w:tcPr>
          <w:p w14:paraId="018C05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323" w:type="pct"/>
            <w:vMerge w:val="continue"/>
            <w:vAlign w:val="center"/>
          </w:tcPr>
          <w:p w14:paraId="6ED9BB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357" w:type="pct"/>
            <w:vMerge w:val="continue"/>
            <w:vAlign w:val="center"/>
          </w:tcPr>
          <w:p w14:paraId="023E6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294" w:type="pct"/>
            <w:vMerge w:val="continue"/>
            <w:vAlign w:val="center"/>
          </w:tcPr>
          <w:p w14:paraId="59E53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249" w:type="pct"/>
            <w:vMerge w:val="continue"/>
            <w:vAlign w:val="center"/>
          </w:tcPr>
          <w:p w14:paraId="5CF0D2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230" w:type="pct"/>
            <w:vAlign w:val="center"/>
          </w:tcPr>
          <w:p w14:paraId="12CABC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default" w:ascii="Times New Roman" w:hAnsi="Times New Roman"/>
                <w:sz w:val="21"/>
                <w:szCs w:val="21"/>
                <w:vertAlign w:val="baseline"/>
                <w:lang w:val="en-US" w:eastAsia="zh-CN"/>
              </w:rPr>
              <w:t>社会</w:t>
            </w:r>
          </w:p>
        </w:tc>
        <w:tc>
          <w:tcPr>
            <w:tcW w:w="230" w:type="pct"/>
            <w:vAlign w:val="center"/>
          </w:tcPr>
          <w:p w14:paraId="02E46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rPr>
              <w:t>特</w:t>
            </w:r>
            <w:r>
              <w:rPr>
                <w:rFonts w:hint="default" w:ascii="Times New Roman" w:hAnsi="Times New Roman"/>
                <w:sz w:val="21"/>
                <w:szCs w:val="21"/>
                <w:vertAlign w:val="baseline"/>
              </w:rPr>
              <w:t>定群体</w:t>
            </w:r>
          </w:p>
        </w:tc>
        <w:tc>
          <w:tcPr>
            <w:tcW w:w="249" w:type="pct"/>
            <w:vMerge w:val="continue"/>
            <w:vAlign w:val="center"/>
          </w:tcPr>
          <w:p w14:paraId="56F675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p>
        </w:tc>
        <w:tc>
          <w:tcPr>
            <w:tcW w:w="387" w:type="pct"/>
            <w:vMerge w:val="continue"/>
            <w:vAlign w:val="center"/>
          </w:tcPr>
          <w:p w14:paraId="703695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p>
        </w:tc>
      </w:tr>
      <w:tr w14:paraId="664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restart"/>
            <w:vAlign w:val="center"/>
          </w:tcPr>
          <w:p w14:paraId="5890F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机关日常运转和综合协调及政务公开工作</w:t>
            </w:r>
          </w:p>
          <w:p w14:paraId="2F91E1A9">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485" w:type="pct"/>
            <w:vAlign w:val="center"/>
          </w:tcPr>
          <w:p w14:paraId="29E76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rPr>
              <w:t>机构</w:t>
            </w:r>
          </w:p>
          <w:p w14:paraId="5566E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rPr>
              <w:t>职能</w:t>
            </w:r>
          </w:p>
          <w:p w14:paraId="013E8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546" w:type="pct"/>
            <w:vAlign w:val="center"/>
          </w:tcPr>
          <w:p w14:paraId="015EA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lang w:val="en-US" w:eastAsia="zh-CN"/>
              </w:rPr>
              <w:t>办公地址、联系方式、办公时间、负责人姓名等</w:t>
            </w:r>
          </w:p>
        </w:tc>
        <w:tc>
          <w:tcPr>
            <w:tcW w:w="355" w:type="pct"/>
            <w:vAlign w:val="center"/>
          </w:tcPr>
          <w:p w14:paraId="7DD7D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lang w:val="en-US" w:eastAsia="zh-CN"/>
              </w:rPr>
              <w:t>《中华人民共和国政府信息公开条例》</w:t>
            </w:r>
          </w:p>
        </w:tc>
        <w:tc>
          <w:tcPr>
            <w:tcW w:w="708" w:type="pct"/>
            <w:vAlign w:val="center"/>
          </w:tcPr>
          <w:p w14:paraId="1E83A7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rPr>
            </w:pPr>
            <w:r>
              <w:rPr>
                <w:rFonts w:hint="eastAsia" w:ascii="Times New Roman" w:hAnsi="Times New Roman"/>
                <w:sz w:val="21"/>
                <w:szCs w:val="21"/>
                <w:vertAlign w:val="baseline"/>
                <w:lang w:val="en-US" w:eastAsia="zh-CN"/>
              </w:rPr>
              <w:t>《中华人民共和国政府信息公开条例》</w:t>
            </w:r>
            <w:r>
              <w:rPr>
                <w:rFonts w:hint="eastAsia"/>
                <w:sz w:val="21"/>
                <w:szCs w:val="21"/>
                <w:vertAlign w:val="baseline"/>
                <w:lang w:val="en-US" w:eastAsia="zh-CN"/>
              </w:rPr>
              <w:t>第二十条</w:t>
            </w:r>
          </w:p>
        </w:tc>
        <w:tc>
          <w:tcPr>
            <w:tcW w:w="230" w:type="pct"/>
            <w:vAlign w:val="center"/>
          </w:tcPr>
          <w:p w14:paraId="054E2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r>
              <w:rPr>
                <w:rFonts w:hint="eastAsia" w:ascii="Times New Roman" w:hAnsi="Times New Roman"/>
                <w:sz w:val="21"/>
                <w:szCs w:val="21"/>
                <w:vertAlign w:val="baseline"/>
                <w:lang w:eastAsia="zh-CN"/>
              </w:rPr>
              <w:t>行政法规</w:t>
            </w:r>
          </w:p>
        </w:tc>
        <w:tc>
          <w:tcPr>
            <w:tcW w:w="323" w:type="pct"/>
            <w:vAlign w:val="center"/>
          </w:tcPr>
          <w:p w14:paraId="5E0EE0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lang w:val="en-US" w:eastAsia="zh-CN"/>
              </w:rPr>
              <w:t>信息形成（变更）之日起20个工作日内</w:t>
            </w:r>
          </w:p>
        </w:tc>
        <w:tc>
          <w:tcPr>
            <w:tcW w:w="357" w:type="pct"/>
            <w:vAlign w:val="center"/>
          </w:tcPr>
          <w:p w14:paraId="55AF5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rPr>
              <w:t> 杭锦旗发展和改革委员会</w:t>
            </w:r>
          </w:p>
        </w:tc>
        <w:tc>
          <w:tcPr>
            <w:tcW w:w="294" w:type="pct"/>
            <w:vAlign w:val="center"/>
          </w:tcPr>
          <w:p w14:paraId="170AB0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lang w:val="en-US" w:eastAsia="zh-CN"/>
              </w:rPr>
              <w:t>法定公开</w:t>
            </w:r>
          </w:p>
        </w:tc>
        <w:tc>
          <w:tcPr>
            <w:tcW w:w="249" w:type="pct"/>
            <w:vAlign w:val="center"/>
          </w:tcPr>
          <w:p w14:paraId="252C08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ascii="Times New Roman" w:hAnsi="Times New Roman"/>
                <w:sz w:val="21"/>
                <w:szCs w:val="21"/>
                <w:vertAlign w:val="baseline"/>
                <w:lang w:val="en-US" w:eastAsia="zh-CN"/>
              </w:rPr>
              <w:t>■政府网站</w:t>
            </w:r>
          </w:p>
        </w:tc>
        <w:tc>
          <w:tcPr>
            <w:tcW w:w="230" w:type="pct"/>
            <w:vAlign w:val="center"/>
          </w:tcPr>
          <w:p w14:paraId="19004F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r>
              <w:rPr>
                <w:rFonts w:hint="eastAsia" w:ascii="Times New Roman" w:hAnsi="Times New Roman"/>
                <w:sz w:val="21"/>
                <w:szCs w:val="21"/>
                <w:vertAlign w:val="baseline"/>
                <w:lang w:eastAsia="zh-CN"/>
              </w:rPr>
              <w:t>√</w:t>
            </w:r>
          </w:p>
        </w:tc>
        <w:tc>
          <w:tcPr>
            <w:tcW w:w="230" w:type="pct"/>
            <w:vAlign w:val="center"/>
          </w:tcPr>
          <w:p w14:paraId="327AE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p>
        </w:tc>
        <w:tc>
          <w:tcPr>
            <w:tcW w:w="249" w:type="pct"/>
            <w:vAlign w:val="center"/>
          </w:tcPr>
          <w:p w14:paraId="2D7F8B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r>
              <w:rPr>
                <w:rFonts w:hint="eastAsia" w:ascii="Times New Roman" w:hAnsi="Times New Roman"/>
                <w:sz w:val="21"/>
                <w:szCs w:val="21"/>
                <w:vertAlign w:val="baseline"/>
                <w:lang w:val="en-US" w:eastAsia="zh-CN"/>
              </w:rPr>
              <w:t>办公室</w:t>
            </w:r>
          </w:p>
        </w:tc>
        <w:tc>
          <w:tcPr>
            <w:tcW w:w="387" w:type="pct"/>
            <w:vMerge w:val="restart"/>
            <w:vAlign w:val="center"/>
          </w:tcPr>
          <w:p w14:paraId="513A3F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rPr>
            </w:pPr>
            <w:r>
              <w:rPr>
                <w:rFonts w:hint="eastAsia"/>
                <w:sz w:val="21"/>
                <w:szCs w:val="21"/>
                <w:vertAlign w:val="baseline"/>
                <w:lang w:val="en-US" w:eastAsia="zh-CN"/>
              </w:rPr>
              <w:t>保障</w:t>
            </w:r>
            <w:r>
              <w:rPr>
                <w:rFonts w:hint="eastAsia" w:ascii="Times New Roman" w:hAnsi="Times New Roman"/>
                <w:sz w:val="21"/>
                <w:szCs w:val="21"/>
                <w:vertAlign w:val="baseline"/>
                <w:lang w:val="en-US" w:eastAsia="zh-CN"/>
              </w:rPr>
              <w:t>机关日常运转和综合协调</w:t>
            </w:r>
          </w:p>
        </w:tc>
      </w:tr>
      <w:tr w14:paraId="6AB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continue"/>
            <w:vAlign w:val="center"/>
          </w:tcPr>
          <w:p w14:paraId="4A65C8E2">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vertAlign w:val="baseline"/>
              </w:rPr>
            </w:pPr>
          </w:p>
        </w:tc>
        <w:tc>
          <w:tcPr>
            <w:tcW w:w="485" w:type="pct"/>
            <w:vAlign w:val="center"/>
          </w:tcPr>
          <w:p w14:paraId="76A78A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sz w:val="21"/>
                <w:szCs w:val="21"/>
                <w:vertAlign w:val="baseline"/>
              </w:rPr>
            </w:pPr>
            <w:r>
              <w:rPr>
                <w:rFonts w:ascii="仿宋_GB2312" w:hAnsi="微软雅黑" w:eastAsia="仿宋_GB2312" w:cs="仿宋_GB2312"/>
                <w:i w:val="0"/>
                <w:iCs w:val="0"/>
                <w:caps w:val="0"/>
                <w:color w:val="000000"/>
                <w:spacing w:val="0"/>
                <w:kern w:val="0"/>
                <w:sz w:val="21"/>
                <w:szCs w:val="21"/>
                <w:shd w:val="clear" w:fill="FFFFFF"/>
                <w:lang w:val="en-US" w:eastAsia="zh-CN" w:bidi="ar"/>
              </w:rPr>
              <w:t>政府信息公开指南</w:t>
            </w:r>
          </w:p>
        </w:tc>
        <w:tc>
          <w:tcPr>
            <w:tcW w:w="546" w:type="pct"/>
            <w:vAlign w:val="center"/>
          </w:tcPr>
          <w:p w14:paraId="50DCA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vertAlign w:val="baseline"/>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政府信息的分类、编排体系、获取方式、政府信息公开工作部门地址、联系电话、传真号码、互联网联系方式等</w:t>
            </w:r>
          </w:p>
        </w:tc>
        <w:tc>
          <w:tcPr>
            <w:tcW w:w="355" w:type="pct"/>
            <w:vAlign w:val="center"/>
          </w:tcPr>
          <w:p w14:paraId="5ACF68A6">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vertAlign w:val="baseline"/>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《中华人民共和国政府信息公开条例》</w:t>
            </w:r>
          </w:p>
        </w:tc>
        <w:tc>
          <w:tcPr>
            <w:tcW w:w="708" w:type="pct"/>
            <w:vAlign w:val="center"/>
          </w:tcPr>
          <w:p w14:paraId="53F80B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r>
              <w:rPr>
                <w:rFonts w:hint="eastAsia" w:ascii="Times New Roman" w:hAnsi="Times New Roman"/>
                <w:sz w:val="21"/>
                <w:szCs w:val="21"/>
                <w:vertAlign w:val="baseline"/>
                <w:lang w:val="en-US" w:eastAsia="zh-CN"/>
              </w:rPr>
              <w:t>《中华人民共和国政府信息公开条例》</w:t>
            </w:r>
            <w:r>
              <w:rPr>
                <w:rFonts w:hint="eastAsia"/>
                <w:sz w:val="21"/>
                <w:szCs w:val="21"/>
                <w:vertAlign w:val="baseline"/>
                <w:lang w:val="en-US" w:eastAsia="zh-CN"/>
              </w:rPr>
              <w:t>第二十条</w:t>
            </w:r>
          </w:p>
        </w:tc>
        <w:tc>
          <w:tcPr>
            <w:tcW w:w="230" w:type="pct"/>
            <w:vAlign w:val="center"/>
          </w:tcPr>
          <w:p w14:paraId="23605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r>
              <w:rPr>
                <w:rFonts w:hint="eastAsia" w:ascii="Times New Roman" w:hAnsi="Times New Roman"/>
                <w:sz w:val="21"/>
                <w:szCs w:val="21"/>
                <w:vertAlign w:val="baseline"/>
                <w:lang w:eastAsia="zh-CN"/>
              </w:rPr>
              <w:t>行政法规</w:t>
            </w:r>
          </w:p>
        </w:tc>
        <w:tc>
          <w:tcPr>
            <w:tcW w:w="323" w:type="pct"/>
            <w:vAlign w:val="center"/>
          </w:tcPr>
          <w:p w14:paraId="7F28B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信息形成</w:t>
            </w:r>
            <w:r>
              <w:rPr>
                <w:rFonts w:hint="eastAsia" w:ascii="仿宋_GB2312" w:hAnsi="微软雅黑" w:cs="仿宋_GB2312"/>
                <w:i w:val="0"/>
                <w:iCs w:val="0"/>
                <w:caps w:val="0"/>
                <w:color w:val="000000"/>
                <w:spacing w:val="0"/>
                <w:kern w:val="0"/>
                <w:sz w:val="21"/>
                <w:szCs w:val="21"/>
                <w:shd w:val="clear" w:fill="FFFFFF"/>
                <w:lang w:val="en-US" w:eastAsia="zh-CN" w:bidi="ar"/>
              </w:rPr>
              <w:t>（</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变更</w:t>
            </w:r>
            <w:r>
              <w:rPr>
                <w:rFonts w:hint="eastAsia" w:ascii="仿宋_GB2312" w:hAnsi="微软雅黑" w:cs="仿宋_GB2312"/>
                <w:i w:val="0"/>
                <w:iCs w:val="0"/>
                <w:caps w:val="0"/>
                <w:color w:val="000000"/>
                <w:spacing w:val="0"/>
                <w:kern w:val="0"/>
                <w:sz w:val="21"/>
                <w:szCs w:val="21"/>
                <w:shd w:val="clear" w:fill="FFFFFF"/>
                <w:lang w:val="en-US" w:eastAsia="zh-CN" w:bidi="ar"/>
              </w:rPr>
              <w:t>）</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之日起20个工作日内</w:t>
            </w:r>
          </w:p>
        </w:tc>
        <w:tc>
          <w:tcPr>
            <w:tcW w:w="357" w:type="pct"/>
            <w:shd w:val="clear" w:color="auto" w:fill="auto"/>
            <w:vAlign w:val="center"/>
          </w:tcPr>
          <w:p w14:paraId="30169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eastAsia="仿宋_GB2312" w:cstheme="minorBidi"/>
                <w:kern w:val="2"/>
                <w:sz w:val="21"/>
                <w:szCs w:val="21"/>
                <w:vertAlign w:val="baseline"/>
                <w:lang w:val="en-US" w:eastAsia="zh-CN" w:bidi="ar-SA"/>
              </w:rPr>
            </w:pPr>
            <w:r>
              <w:rPr>
                <w:rFonts w:hint="eastAsia"/>
                <w:sz w:val="21"/>
                <w:szCs w:val="21"/>
                <w:vertAlign w:val="baseline"/>
              </w:rPr>
              <w:t> 杭锦旗发展和改革委员会</w:t>
            </w:r>
          </w:p>
        </w:tc>
        <w:tc>
          <w:tcPr>
            <w:tcW w:w="294" w:type="pct"/>
            <w:shd w:val="clear" w:color="auto" w:fill="auto"/>
            <w:vAlign w:val="center"/>
          </w:tcPr>
          <w:p w14:paraId="75E4999C">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vertAlign w:val="baseline"/>
                <w:lang w:val="en-US" w:eastAsia="zh-CN" w:bidi="ar"/>
              </w:rPr>
            </w:pPr>
            <w:r>
              <w:rPr>
                <w:rFonts w:hint="eastAsia" w:ascii="仿宋_GB2312" w:hAnsi="微软雅黑" w:eastAsia="仿宋_GB2312" w:cs="仿宋_GB2312"/>
                <w:i w:val="0"/>
                <w:iCs w:val="0"/>
                <w:caps w:val="0"/>
                <w:color w:val="000000"/>
                <w:spacing w:val="0"/>
                <w:kern w:val="0"/>
                <w:sz w:val="21"/>
                <w:szCs w:val="21"/>
                <w:lang w:val="en-US" w:eastAsia="zh-CN" w:bidi="ar"/>
              </w:rPr>
              <w:t>法定公开</w:t>
            </w:r>
          </w:p>
        </w:tc>
        <w:tc>
          <w:tcPr>
            <w:tcW w:w="249" w:type="pct"/>
            <w:shd w:val="clear" w:color="auto" w:fill="auto"/>
            <w:vAlign w:val="center"/>
          </w:tcPr>
          <w:p w14:paraId="035E2268">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vertAlign w:val="baseline"/>
                <w:lang w:val="en-US" w:eastAsia="zh-CN" w:bidi="ar"/>
              </w:rPr>
            </w:pPr>
            <w:r>
              <w:rPr>
                <w:rFonts w:hint="eastAsia" w:ascii="仿宋_GB2312" w:hAnsi="微软雅黑" w:eastAsia="仿宋_GB2312" w:cs="仿宋_GB2312"/>
                <w:i w:val="0"/>
                <w:iCs w:val="0"/>
                <w:caps w:val="0"/>
                <w:color w:val="000000"/>
                <w:spacing w:val="0"/>
                <w:kern w:val="0"/>
                <w:sz w:val="21"/>
                <w:szCs w:val="21"/>
                <w:lang w:val="en-US" w:eastAsia="zh-CN" w:bidi="ar"/>
              </w:rPr>
              <w:t>■政府网站</w:t>
            </w:r>
          </w:p>
        </w:tc>
        <w:tc>
          <w:tcPr>
            <w:tcW w:w="230" w:type="pct"/>
            <w:shd w:val="clear" w:color="auto" w:fill="auto"/>
            <w:vAlign w:val="center"/>
          </w:tcPr>
          <w:p w14:paraId="1BBA139D">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vertAlign w:val="baseline"/>
                <w:lang w:val="en-US" w:eastAsia="zh-CN" w:bidi="ar"/>
              </w:rPr>
            </w:pPr>
            <w:r>
              <w:rPr>
                <w:rFonts w:hint="eastAsia"/>
                <w:vertAlign w:val="baseline"/>
                <w:lang w:eastAsia="zh-CN"/>
              </w:rPr>
              <w:t>√</w:t>
            </w:r>
          </w:p>
        </w:tc>
        <w:tc>
          <w:tcPr>
            <w:tcW w:w="230" w:type="pct"/>
            <w:vAlign w:val="center"/>
          </w:tcPr>
          <w:p w14:paraId="6102E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p>
        </w:tc>
        <w:tc>
          <w:tcPr>
            <w:tcW w:w="249" w:type="pct"/>
            <w:vAlign w:val="center"/>
          </w:tcPr>
          <w:p w14:paraId="19397A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r>
              <w:rPr>
                <w:rFonts w:hint="eastAsia" w:ascii="Times New Roman" w:hAnsi="Times New Roman" w:eastAsia="仿宋_GB2312" w:cstheme="minorBidi"/>
                <w:kern w:val="2"/>
                <w:sz w:val="21"/>
                <w:szCs w:val="21"/>
                <w:vertAlign w:val="baseline"/>
                <w:lang w:val="en-US" w:eastAsia="zh-CN" w:bidi="ar-SA"/>
              </w:rPr>
              <w:t>办公室</w:t>
            </w:r>
          </w:p>
        </w:tc>
        <w:tc>
          <w:tcPr>
            <w:tcW w:w="387" w:type="pct"/>
            <w:vMerge w:val="continue"/>
            <w:vAlign w:val="center"/>
          </w:tcPr>
          <w:p w14:paraId="3A0652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eastAsia="zh-CN"/>
              </w:rPr>
            </w:pPr>
          </w:p>
        </w:tc>
      </w:tr>
      <w:tr w14:paraId="076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continue"/>
            <w:shd w:val="clear" w:color="auto" w:fill="auto"/>
            <w:vAlign w:val="center"/>
          </w:tcPr>
          <w:p w14:paraId="0EF8294E">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vertAlign w:val="baseline"/>
                <w:lang w:val="en-US" w:eastAsia="zh-CN" w:bidi="ar"/>
              </w:rPr>
            </w:pPr>
          </w:p>
        </w:tc>
        <w:tc>
          <w:tcPr>
            <w:tcW w:w="485" w:type="pct"/>
            <w:shd w:val="clear" w:color="auto" w:fill="auto"/>
            <w:vAlign w:val="center"/>
          </w:tcPr>
          <w:p w14:paraId="2189361E">
            <w:pPr>
              <w:pStyle w:val="3"/>
              <w:keepNext w:val="0"/>
              <w:keepLines w:val="0"/>
              <w:widowControl/>
              <w:suppressLineNumbers w:val="0"/>
              <w:jc w:val="center"/>
              <w:rPr>
                <w:vertAlign w:val="baseline"/>
              </w:rPr>
            </w:pPr>
            <w:r>
              <w:rPr>
                <w:rFonts w:hint="eastAsia" w:ascii="Times New Roman" w:hAnsi="Times New Roman" w:eastAsia="仿宋_GB2312" w:cstheme="minorBidi"/>
                <w:kern w:val="2"/>
                <w:sz w:val="21"/>
                <w:szCs w:val="21"/>
                <w:vertAlign w:val="baseline"/>
                <w:lang w:val="en-US" w:eastAsia="zh-CN" w:bidi="ar-SA"/>
              </w:rPr>
              <w:t>政府信息公开年度报告</w:t>
            </w:r>
          </w:p>
        </w:tc>
        <w:tc>
          <w:tcPr>
            <w:tcW w:w="546" w:type="pct"/>
            <w:vAlign w:val="center"/>
          </w:tcPr>
          <w:p w14:paraId="5B720C2C">
            <w:pPr>
              <w:pStyle w:val="3"/>
              <w:keepNext w:val="0"/>
              <w:keepLines w:val="0"/>
              <w:widowControl/>
              <w:suppressLineNumbers w:val="0"/>
              <w:jc w:val="center"/>
              <w:rPr>
                <w:vertAlign w:val="baseline"/>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总体情况；主动公开政府信息的情况；收到和处理政府信息公开申请的情况；因政府信息公开工作被申请行政复议、提起行政诉讼的情况等</w:t>
            </w:r>
          </w:p>
        </w:tc>
        <w:tc>
          <w:tcPr>
            <w:tcW w:w="355" w:type="pct"/>
            <w:vAlign w:val="center"/>
          </w:tcPr>
          <w:p w14:paraId="72825E4F">
            <w:pPr>
              <w:pStyle w:val="3"/>
              <w:keepNext w:val="0"/>
              <w:keepLines w:val="0"/>
              <w:widowControl/>
              <w:suppressLineNumbers w:val="0"/>
              <w:jc w:val="center"/>
              <w:rPr>
                <w:vertAlign w:val="baseline"/>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《中华人民共和国政府信息公开条例》</w:t>
            </w:r>
          </w:p>
        </w:tc>
        <w:tc>
          <w:tcPr>
            <w:tcW w:w="708" w:type="pct"/>
            <w:vAlign w:val="center"/>
          </w:tcPr>
          <w:p w14:paraId="10FE10BD">
            <w:pPr>
              <w:pStyle w:val="3"/>
              <w:keepNext w:val="0"/>
              <w:keepLines w:val="0"/>
              <w:widowControl/>
              <w:suppressLineNumbers w:val="0"/>
              <w:jc w:val="center"/>
              <w:rPr>
                <w:vertAlign w:val="baseline"/>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《中华人民共和国政府信息公开条例》第四条</w:t>
            </w:r>
          </w:p>
        </w:tc>
        <w:tc>
          <w:tcPr>
            <w:tcW w:w="230" w:type="pct"/>
            <w:vAlign w:val="center"/>
          </w:tcPr>
          <w:p w14:paraId="0246E76A">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行政法规</w:t>
            </w:r>
          </w:p>
        </w:tc>
        <w:tc>
          <w:tcPr>
            <w:tcW w:w="323" w:type="pct"/>
            <w:vAlign w:val="center"/>
          </w:tcPr>
          <w:p w14:paraId="3CFEF08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1月31日之前公布上一年度报告</w:t>
            </w:r>
          </w:p>
        </w:tc>
        <w:tc>
          <w:tcPr>
            <w:tcW w:w="357" w:type="pct"/>
            <w:shd w:val="clear" w:color="auto" w:fill="auto"/>
            <w:vAlign w:val="center"/>
          </w:tcPr>
          <w:p w14:paraId="5568A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eastAsia="仿宋_GB2312" w:cstheme="minorBidi"/>
                <w:kern w:val="2"/>
                <w:sz w:val="21"/>
                <w:szCs w:val="21"/>
                <w:vertAlign w:val="baseline"/>
                <w:lang w:val="en-US" w:eastAsia="zh-CN" w:bidi="ar-SA"/>
              </w:rPr>
            </w:pPr>
            <w:r>
              <w:rPr>
                <w:rFonts w:hint="eastAsia"/>
                <w:sz w:val="21"/>
                <w:szCs w:val="21"/>
                <w:vertAlign w:val="baseline"/>
              </w:rPr>
              <w:t> 杭锦旗发展和改革委员会</w:t>
            </w:r>
          </w:p>
        </w:tc>
        <w:tc>
          <w:tcPr>
            <w:tcW w:w="294" w:type="pct"/>
            <w:shd w:val="clear" w:color="auto" w:fill="auto"/>
            <w:vAlign w:val="center"/>
          </w:tcPr>
          <w:p w14:paraId="44BF0A23">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vertAlign w:val="baseline"/>
                <w:lang w:val="en-US" w:eastAsia="zh-CN" w:bidi="ar"/>
              </w:rPr>
            </w:pPr>
            <w:r>
              <w:rPr>
                <w:rFonts w:hint="eastAsia" w:ascii="仿宋_GB2312" w:hAnsi="微软雅黑" w:eastAsia="仿宋_GB2312" w:cs="仿宋_GB2312"/>
                <w:i w:val="0"/>
                <w:iCs w:val="0"/>
                <w:caps w:val="0"/>
                <w:color w:val="000000"/>
                <w:spacing w:val="0"/>
                <w:kern w:val="0"/>
                <w:sz w:val="21"/>
                <w:szCs w:val="21"/>
                <w:lang w:val="en-US" w:eastAsia="zh-CN" w:bidi="ar"/>
              </w:rPr>
              <w:t>法定公开</w:t>
            </w:r>
          </w:p>
        </w:tc>
        <w:tc>
          <w:tcPr>
            <w:tcW w:w="249" w:type="pct"/>
            <w:shd w:val="clear" w:color="auto" w:fill="auto"/>
            <w:vAlign w:val="center"/>
          </w:tcPr>
          <w:p w14:paraId="22185DE6">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vertAlign w:val="baseline"/>
                <w:lang w:val="en-US" w:eastAsia="zh-CN" w:bidi="ar"/>
              </w:rPr>
            </w:pPr>
            <w:r>
              <w:rPr>
                <w:rFonts w:hint="eastAsia" w:ascii="仿宋_GB2312" w:hAnsi="微软雅黑" w:eastAsia="仿宋_GB2312" w:cs="仿宋_GB2312"/>
                <w:i w:val="0"/>
                <w:iCs w:val="0"/>
                <w:caps w:val="0"/>
                <w:color w:val="000000"/>
                <w:spacing w:val="0"/>
                <w:kern w:val="0"/>
                <w:sz w:val="21"/>
                <w:szCs w:val="21"/>
                <w:lang w:val="en-US" w:eastAsia="zh-CN" w:bidi="ar"/>
              </w:rPr>
              <w:t>■政府网站</w:t>
            </w:r>
          </w:p>
        </w:tc>
        <w:tc>
          <w:tcPr>
            <w:tcW w:w="230" w:type="pct"/>
            <w:shd w:val="clear" w:color="auto" w:fill="auto"/>
            <w:vAlign w:val="center"/>
          </w:tcPr>
          <w:p w14:paraId="2960EB04">
            <w:pPr>
              <w:pStyle w:val="3"/>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vertAlign w:val="baseline"/>
                <w:lang w:val="en-US" w:eastAsia="zh-CN" w:bidi="ar"/>
              </w:rPr>
            </w:pPr>
            <w:r>
              <w:rPr>
                <w:rFonts w:hint="eastAsia"/>
                <w:vertAlign w:val="baseline"/>
                <w:lang w:eastAsia="zh-CN"/>
              </w:rPr>
              <w:t>√</w:t>
            </w:r>
          </w:p>
        </w:tc>
        <w:tc>
          <w:tcPr>
            <w:tcW w:w="230" w:type="pct"/>
            <w:vAlign w:val="center"/>
          </w:tcPr>
          <w:p w14:paraId="5FC2B401">
            <w:pPr>
              <w:pStyle w:val="3"/>
              <w:keepNext w:val="0"/>
              <w:keepLines w:val="0"/>
              <w:widowControl/>
              <w:suppressLineNumbers w:val="0"/>
              <w:jc w:val="center"/>
              <w:rPr>
                <w:vertAlign w:val="baseline"/>
              </w:rPr>
            </w:pPr>
          </w:p>
        </w:tc>
        <w:tc>
          <w:tcPr>
            <w:tcW w:w="249" w:type="pct"/>
            <w:vAlign w:val="center"/>
          </w:tcPr>
          <w:p w14:paraId="1DDBD504">
            <w:pPr>
              <w:pStyle w:val="3"/>
              <w:keepNext w:val="0"/>
              <w:keepLines w:val="0"/>
              <w:widowControl/>
              <w:suppressLineNumbers w:val="0"/>
              <w:jc w:val="center"/>
              <w:rPr>
                <w:vertAlign w:val="baseline"/>
              </w:rPr>
            </w:pPr>
            <w:r>
              <w:rPr>
                <w:rFonts w:hint="eastAsia" w:ascii="Times New Roman" w:hAnsi="Times New Roman" w:eastAsia="仿宋_GB2312" w:cstheme="minorBidi"/>
                <w:kern w:val="2"/>
                <w:sz w:val="21"/>
                <w:szCs w:val="21"/>
                <w:vertAlign w:val="baseline"/>
                <w:lang w:val="en-US" w:eastAsia="zh-CN" w:bidi="ar-SA"/>
              </w:rPr>
              <w:t>办公室</w:t>
            </w:r>
          </w:p>
        </w:tc>
        <w:tc>
          <w:tcPr>
            <w:tcW w:w="387" w:type="pct"/>
            <w:vMerge w:val="continue"/>
            <w:vAlign w:val="center"/>
          </w:tcPr>
          <w:p w14:paraId="3D0B61AF">
            <w:pPr>
              <w:pStyle w:val="3"/>
              <w:keepNext w:val="0"/>
              <w:keepLines w:val="0"/>
              <w:widowControl/>
              <w:suppressLineNumbers w:val="0"/>
              <w:jc w:val="center"/>
              <w:rPr>
                <w:vertAlign w:val="baseline"/>
              </w:rPr>
            </w:pPr>
          </w:p>
        </w:tc>
      </w:tr>
      <w:tr w14:paraId="2C0E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continue"/>
            <w:vAlign w:val="center"/>
          </w:tcPr>
          <w:p w14:paraId="2B77A2B4">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485" w:type="pct"/>
            <w:tcBorders>
              <w:bottom w:val="single" w:color="auto" w:sz="4" w:space="0"/>
            </w:tcBorders>
            <w:vAlign w:val="center"/>
          </w:tcPr>
          <w:p w14:paraId="52E7FDED">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依申请公开告知事项</w:t>
            </w:r>
          </w:p>
        </w:tc>
        <w:tc>
          <w:tcPr>
            <w:tcW w:w="546" w:type="pct"/>
            <w:tcBorders>
              <w:bottom w:val="single" w:color="auto" w:sz="4" w:space="0"/>
            </w:tcBorders>
            <w:vAlign w:val="center"/>
          </w:tcPr>
          <w:p w14:paraId="20B189F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依申请公开受理表、告知书、受理流程、公开电话等</w:t>
            </w:r>
          </w:p>
        </w:tc>
        <w:tc>
          <w:tcPr>
            <w:tcW w:w="355" w:type="pct"/>
            <w:tcBorders>
              <w:bottom w:val="single" w:color="auto" w:sz="4" w:space="0"/>
            </w:tcBorders>
            <w:vAlign w:val="center"/>
          </w:tcPr>
          <w:p w14:paraId="1818B2B3">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《中华人民共和国政府信息公开条例》</w:t>
            </w:r>
          </w:p>
        </w:tc>
        <w:tc>
          <w:tcPr>
            <w:tcW w:w="708" w:type="pct"/>
            <w:vAlign w:val="center"/>
          </w:tcPr>
          <w:p w14:paraId="56FD19F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《中华人民共和国政府信息公开条例》第四章</w:t>
            </w:r>
          </w:p>
        </w:tc>
        <w:tc>
          <w:tcPr>
            <w:tcW w:w="230" w:type="pct"/>
            <w:vAlign w:val="center"/>
          </w:tcPr>
          <w:p w14:paraId="4ECFA948">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行政法规</w:t>
            </w:r>
          </w:p>
        </w:tc>
        <w:tc>
          <w:tcPr>
            <w:tcW w:w="323" w:type="pct"/>
            <w:vAlign w:val="center"/>
          </w:tcPr>
          <w:p w14:paraId="713A45C7">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实时公开</w:t>
            </w:r>
          </w:p>
        </w:tc>
        <w:tc>
          <w:tcPr>
            <w:tcW w:w="357" w:type="pct"/>
            <w:vAlign w:val="center"/>
          </w:tcPr>
          <w:p w14:paraId="0A2C0BB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Times New Roman" w:hAnsi="Times New Roman" w:eastAsia="仿宋_GB2312" w:cstheme="minorBidi"/>
                <w:kern w:val="2"/>
                <w:sz w:val="21"/>
                <w:szCs w:val="21"/>
                <w:vertAlign w:val="baseline"/>
                <w:lang w:val="en-US" w:eastAsia="zh-CN" w:bidi="ar-SA"/>
              </w:rPr>
              <w:t>杭锦旗发展和改革委员会 </w:t>
            </w:r>
          </w:p>
        </w:tc>
        <w:tc>
          <w:tcPr>
            <w:tcW w:w="294" w:type="pct"/>
            <w:vAlign w:val="center"/>
          </w:tcPr>
          <w:p w14:paraId="1CD255C1">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依申请公开</w:t>
            </w:r>
          </w:p>
        </w:tc>
        <w:tc>
          <w:tcPr>
            <w:tcW w:w="249" w:type="pct"/>
            <w:vAlign w:val="center"/>
          </w:tcPr>
          <w:p w14:paraId="2C75B5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微软雅黑" w:eastAsia="仿宋_GB2312" w:cs="仿宋_GB2312"/>
                <w:i w:val="0"/>
                <w:iCs w:val="0"/>
                <w:caps w:val="0"/>
                <w:color w:val="000000"/>
                <w:spacing w:val="0"/>
                <w:kern w:val="0"/>
                <w:sz w:val="21"/>
                <w:szCs w:val="21"/>
                <w:lang w:val="en-US" w:eastAsia="zh-CN" w:bidi="ar"/>
              </w:rPr>
            </w:pPr>
            <w:r>
              <w:rPr>
                <w:rFonts w:hint="eastAsia" w:ascii="仿宋_GB2312" w:hAnsi="微软雅黑" w:eastAsia="仿宋_GB2312" w:cs="仿宋_GB2312"/>
                <w:i w:val="0"/>
                <w:iCs w:val="0"/>
                <w:caps w:val="0"/>
                <w:color w:val="000000"/>
                <w:spacing w:val="0"/>
                <w:kern w:val="0"/>
                <w:sz w:val="21"/>
                <w:szCs w:val="21"/>
                <w:lang w:val="en-US" w:eastAsia="zh-CN" w:bidi="ar"/>
              </w:rPr>
              <w:t>■政府网站</w:t>
            </w:r>
          </w:p>
          <w:p w14:paraId="7F8FD0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微软雅黑" w:eastAsia="仿宋_GB2312" w:cs="仿宋_GB2312"/>
                <w:i w:val="0"/>
                <w:iCs w:val="0"/>
                <w:caps w:val="0"/>
                <w:color w:val="000000"/>
                <w:spacing w:val="0"/>
                <w:kern w:val="0"/>
                <w:sz w:val="21"/>
                <w:szCs w:val="21"/>
                <w:lang w:val="en-US" w:eastAsia="zh-CN" w:bidi="ar"/>
              </w:rPr>
            </w:pPr>
            <w:r>
              <w:rPr>
                <w:rFonts w:hint="eastAsia" w:ascii="仿宋_GB2312" w:hAnsi="微软雅黑" w:eastAsia="仿宋_GB2312" w:cs="仿宋_GB2312"/>
                <w:i w:val="0"/>
                <w:iCs w:val="0"/>
                <w:caps w:val="0"/>
                <w:color w:val="000000"/>
                <w:spacing w:val="0"/>
                <w:kern w:val="0"/>
                <w:sz w:val="21"/>
                <w:szCs w:val="21"/>
                <w:lang w:val="en-US" w:eastAsia="zh-CN" w:bidi="ar"/>
              </w:rPr>
              <w:t>■办公现场</w:t>
            </w:r>
          </w:p>
          <w:p w14:paraId="41C905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微软雅黑" w:eastAsia="仿宋_GB2312" w:cs="仿宋_GB2312"/>
                <w:i w:val="0"/>
                <w:iCs w:val="0"/>
                <w:caps w:val="0"/>
                <w:color w:val="000000"/>
                <w:spacing w:val="0"/>
                <w:kern w:val="0"/>
                <w:sz w:val="21"/>
                <w:szCs w:val="21"/>
                <w:lang w:val="en-US" w:eastAsia="zh-CN" w:bidi="ar"/>
              </w:rPr>
            </w:pPr>
            <w:r>
              <w:rPr>
                <w:rFonts w:hint="eastAsia" w:ascii="仿宋_GB2312" w:hAnsi="微软雅黑" w:eastAsia="仿宋_GB2312" w:cs="仿宋_GB2312"/>
                <w:i w:val="0"/>
                <w:iCs w:val="0"/>
                <w:caps w:val="0"/>
                <w:color w:val="000000"/>
                <w:spacing w:val="0"/>
                <w:kern w:val="0"/>
                <w:sz w:val="21"/>
                <w:szCs w:val="21"/>
                <w:lang w:val="en-US" w:eastAsia="zh-CN" w:bidi="ar"/>
              </w:rPr>
              <w:t>■邮政EMS</w:t>
            </w:r>
          </w:p>
          <w:p w14:paraId="6DA9B13F">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lang w:val="en-US" w:eastAsia="zh-CN" w:bidi="ar"/>
              </w:rPr>
            </w:pPr>
          </w:p>
        </w:tc>
        <w:tc>
          <w:tcPr>
            <w:tcW w:w="230" w:type="pct"/>
            <w:vAlign w:val="center"/>
          </w:tcPr>
          <w:p w14:paraId="6DAE63B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lang w:val="en-US" w:eastAsia="zh-CN" w:bidi="ar"/>
              </w:rPr>
            </w:pPr>
          </w:p>
        </w:tc>
        <w:tc>
          <w:tcPr>
            <w:tcW w:w="230" w:type="pct"/>
            <w:vAlign w:val="center"/>
          </w:tcPr>
          <w:p w14:paraId="09177D08">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w:t>
            </w:r>
          </w:p>
        </w:tc>
        <w:tc>
          <w:tcPr>
            <w:tcW w:w="249" w:type="pct"/>
            <w:vAlign w:val="center"/>
          </w:tcPr>
          <w:p w14:paraId="27CA4CD4">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各责任股室</w:t>
            </w:r>
          </w:p>
        </w:tc>
        <w:tc>
          <w:tcPr>
            <w:tcW w:w="387" w:type="pct"/>
            <w:vAlign w:val="center"/>
          </w:tcPr>
          <w:p w14:paraId="26B4A86E">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各股室业务职责</w:t>
            </w:r>
          </w:p>
        </w:tc>
      </w:tr>
      <w:tr w14:paraId="080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restart"/>
            <w:tcBorders>
              <w:right w:val="single" w:color="auto" w:sz="4" w:space="0"/>
            </w:tcBorders>
            <w:vAlign w:val="center"/>
          </w:tcPr>
          <w:p w14:paraId="4D4B637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批准结果信息</w:t>
            </w:r>
          </w:p>
          <w:p w14:paraId="21A25A2E">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485" w:type="pct"/>
            <w:tcBorders>
              <w:top w:val="single" w:color="auto" w:sz="4" w:space="0"/>
              <w:left w:val="single" w:color="auto" w:sz="4" w:space="0"/>
              <w:bottom w:val="single" w:color="auto" w:sz="4" w:space="0"/>
              <w:right w:val="single" w:color="auto" w:sz="4" w:space="0"/>
            </w:tcBorders>
            <w:vAlign w:val="center"/>
          </w:tcPr>
          <w:p w14:paraId="1D452AC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政府投资项目建议书审批</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ab/>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 xml:space="preserve"> </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ab/>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审批结果、批复时间、批复文号、批复单位、项目名称、项目统一代码等</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ab/>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《政府投资条例》</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ab/>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《政府投资条例》第二十八条投资主管部门和依法对政府投资项目负有监督管理职责的其他部门应当建立政府投资项目信息共享机制，通过在线平台实现信息共享。</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ab/>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行政法规</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ab/>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实时公开</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ab/>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发改部门</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ab/>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法定公开</w:t>
            </w:r>
          </w:p>
        </w:tc>
        <w:tc>
          <w:tcPr>
            <w:tcW w:w="546" w:type="pct"/>
            <w:tcBorders>
              <w:top w:val="single" w:color="auto" w:sz="4" w:space="0"/>
              <w:left w:val="single" w:color="auto" w:sz="4" w:space="0"/>
              <w:bottom w:val="single" w:color="auto" w:sz="4" w:space="0"/>
              <w:right w:val="single" w:color="auto" w:sz="4" w:space="0"/>
            </w:tcBorders>
            <w:vAlign w:val="center"/>
          </w:tcPr>
          <w:p w14:paraId="5894270F">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审批结果、批复时间、批复文号、批复单位、项目名称、项目统一代码等</w:t>
            </w:r>
          </w:p>
        </w:tc>
        <w:tc>
          <w:tcPr>
            <w:tcW w:w="355" w:type="pct"/>
            <w:tcBorders>
              <w:top w:val="single" w:color="auto" w:sz="4" w:space="0"/>
              <w:left w:val="single" w:color="auto" w:sz="4" w:space="0"/>
              <w:bottom w:val="single" w:color="auto" w:sz="4" w:space="0"/>
              <w:right w:val="single" w:color="auto" w:sz="4" w:space="0"/>
            </w:tcBorders>
            <w:vAlign w:val="center"/>
          </w:tcPr>
          <w:p w14:paraId="5F659DC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《政府投资条例》</w:t>
            </w:r>
          </w:p>
        </w:tc>
        <w:tc>
          <w:tcPr>
            <w:tcW w:w="708" w:type="pct"/>
            <w:tcBorders>
              <w:left w:val="single" w:color="auto" w:sz="4" w:space="0"/>
            </w:tcBorders>
            <w:vAlign w:val="center"/>
          </w:tcPr>
          <w:p w14:paraId="467CF8CD">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《政府投资条例》第二十八条投资主管部门和依法对政府投资项目负有监督管理职责的其他部门应当建立政府投资项目信息共享机制，通过在线平台实现信息共享。</w:t>
            </w:r>
          </w:p>
        </w:tc>
        <w:tc>
          <w:tcPr>
            <w:tcW w:w="230" w:type="pct"/>
            <w:shd w:val="clear" w:color="auto" w:fill="auto"/>
            <w:vAlign w:val="center"/>
          </w:tcPr>
          <w:p w14:paraId="3C76E1A6">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行政法规</w:t>
            </w:r>
          </w:p>
        </w:tc>
        <w:tc>
          <w:tcPr>
            <w:tcW w:w="323" w:type="pct"/>
            <w:shd w:val="clear" w:color="auto" w:fill="auto"/>
            <w:vAlign w:val="center"/>
          </w:tcPr>
          <w:p w14:paraId="54E12F2F">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实时公开</w:t>
            </w:r>
          </w:p>
        </w:tc>
        <w:tc>
          <w:tcPr>
            <w:tcW w:w="357" w:type="pct"/>
            <w:shd w:val="clear" w:color="auto" w:fill="auto"/>
            <w:vAlign w:val="center"/>
          </w:tcPr>
          <w:p w14:paraId="5295CFC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Times New Roman" w:hAnsi="Times New Roman" w:eastAsia="仿宋_GB2312" w:cstheme="minorBidi"/>
                <w:kern w:val="2"/>
                <w:sz w:val="21"/>
                <w:szCs w:val="21"/>
                <w:vertAlign w:val="baseline"/>
                <w:lang w:val="en-US" w:eastAsia="zh-CN" w:bidi="ar-SA"/>
              </w:rPr>
              <w:t>杭锦旗发展和改革委员会 </w:t>
            </w:r>
          </w:p>
        </w:tc>
        <w:tc>
          <w:tcPr>
            <w:tcW w:w="294" w:type="pct"/>
            <w:vAlign w:val="center"/>
          </w:tcPr>
          <w:p w14:paraId="49130E8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法定公开</w:t>
            </w:r>
          </w:p>
        </w:tc>
        <w:tc>
          <w:tcPr>
            <w:tcW w:w="249" w:type="pct"/>
            <w:vAlign w:val="center"/>
          </w:tcPr>
          <w:p w14:paraId="4599E835">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■投资项目在线审批监管平台</w:t>
            </w:r>
          </w:p>
        </w:tc>
        <w:tc>
          <w:tcPr>
            <w:tcW w:w="230" w:type="pct"/>
            <w:vAlign w:val="center"/>
          </w:tcPr>
          <w:p w14:paraId="143DA3B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w:t>
            </w:r>
          </w:p>
        </w:tc>
        <w:tc>
          <w:tcPr>
            <w:tcW w:w="230" w:type="pct"/>
            <w:vAlign w:val="center"/>
          </w:tcPr>
          <w:p w14:paraId="6BDDB39B">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249" w:type="pct"/>
            <w:vAlign w:val="center"/>
          </w:tcPr>
          <w:p w14:paraId="15D3C0F9">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行政审批股</w:t>
            </w:r>
          </w:p>
        </w:tc>
        <w:tc>
          <w:tcPr>
            <w:tcW w:w="387" w:type="pct"/>
            <w:vMerge w:val="restart"/>
            <w:vAlign w:val="center"/>
          </w:tcPr>
          <w:p w14:paraId="5D1A43E4">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按规定权限完成项目的审核、批准、备案</w:t>
            </w:r>
          </w:p>
        </w:tc>
      </w:tr>
      <w:tr w14:paraId="23C1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continue"/>
            <w:vAlign w:val="center"/>
          </w:tcPr>
          <w:p w14:paraId="04069209">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485" w:type="pct"/>
            <w:tcBorders>
              <w:top w:val="single" w:color="auto" w:sz="4" w:space="0"/>
            </w:tcBorders>
            <w:vAlign w:val="center"/>
          </w:tcPr>
          <w:p w14:paraId="1190BC8F">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政府投资项目可行性研究报告审批</w:t>
            </w:r>
          </w:p>
        </w:tc>
        <w:tc>
          <w:tcPr>
            <w:tcW w:w="546" w:type="pct"/>
            <w:tcBorders>
              <w:top w:val="single" w:color="auto" w:sz="4" w:space="0"/>
            </w:tcBorders>
            <w:vAlign w:val="center"/>
          </w:tcPr>
          <w:p w14:paraId="3F976D95">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审批结果、批复时间、批复单位、批复文号、项目名称、项目统一代码等</w:t>
            </w:r>
          </w:p>
        </w:tc>
        <w:tc>
          <w:tcPr>
            <w:tcW w:w="355" w:type="pct"/>
            <w:tcBorders>
              <w:top w:val="single" w:color="auto" w:sz="4" w:space="0"/>
            </w:tcBorders>
            <w:vAlign w:val="center"/>
          </w:tcPr>
          <w:p w14:paraId="6EDEA821">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708" w:type="pct"/>
            <w:vAlign w:val="center"/>
          </w:tcPr>
          <w:p w14:paraId="3BEF92B2">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《政府投资条例》第二十八条投资主管部门和依法对政府投资项目负有监督管理职责的其他部门应当建立政府投资项目信息共享机制，通过在线平台实现信息共享。</w:t>
            </w:r>
          </w:p>
        </w:tc>
        <w:tc>
          <w:tcPr>
            <w:tcW w:w="230" w:type="pct"/>
            <w:shd w:val="clear" w:color="auto" w:fill="auto"/>
            <w:vAlign w:val="center"/>
          </w:tcPr>
          <w:p w14:paraId="2D0995B6">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行政法规</w:t>
            </w:r>
          </w:p>
        </w:tc>
        <w:tc>
          <w:tcPr>
            <w:tcW w:w="323" w:type="pct"/>
            <w:shd w:val="clear" w:color="auto" w:fill="auto"/>
            <w:vAlign w:val="center"/>
          </w:tcPr>
          <w:p w14:paraId="3C8E67FF">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实时公开</w:t>
            </w:r>
          </w:p>
        </w:tc>
        <w:tc>
          <w:tcPr>
            <w:tcW w:w="357" w:type="pct"/>
            <w:shd w:val="clear" w:color="auto" w:fill="auto"/>
            <w:vAlign w:val="center"/>
          </w:tcPr>
          <w:p w14:paraId="00009B06">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Times New Roman" w:hAnsi="Times New Roman" w:eastAsia="仿宋_GB2312" w:cstheme="minorBidi"/>
                <w:kern w:val="2"/>
                <w:sz w:val="21"/>
                <w:szCs w:val="21"/>
                <w:vertAlign w:val="baseline"/>
                <w:lang w:val="en-US" w:eastAsia="zh-CN" w:bidi="ar-SA"/>
              </w:rPr>
              <w:t>杭锦旗发展和改革委员会 </w:t>
            </w:r>
          </w:p>
        </w:tc>
        <w:tc>
          <w:tcPr>
            <w:tcW w:w="294" w:type="pct"/>
            <w:shd w:val="clear" w:color="auto" w:fill="auto"/>
            <w:vAlign w:val="center"/>
          </w:tcPr>
          <w:p w14:paraId="7730C59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法定公开</w:t>
            </w:r>
          </w:p>
        </w:tc>
        <w:tc>
          <w:tcPr>
            <w:tcW w:w="249" w:type="pct"/>
            <w:shd w:val="clear" w:color="auto" w:fill="auto"/>
            <w:vAlign w:val="center"/>
          </w:tcPr>
          <w:p w14:paraId="0982D50A">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■投资项目在线审批监管平台</w:t>
            </w:r>
          </w:p>
        </w:tc>
        <w:tc>
          <w:tcPr>
            <w:tcW w:w="230" w:type="pct"/>
            <w:shd w:val="clear" w:color="auto" w:fill="auto"/>
            <w:vAlign w:val="center"/>
          </w:tcPr>
          <w:p w14:paraId="28051C63">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w:t>
            </w:r>
          </w:p>
        </w:tc>
        <w:tc>
          <w:tcPr>
            <w:tcW w:w="230" w:type="pct"/>
            <w:vAlign w:val="center"/>
          </w:tcPr>
          <w:p w14:paraId="609261ED">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249" w:type="pct"/>
            <w:vAlign w:val="center"/>
          </w:tcPr>
          <w:p w14:paraId="01A20B9F">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行政审批股、涉及业务股室</w:t>
            </w:r>
          </w:p>
        </w:tc>
        <w:tc>
          <w:tcPr>
            <w:tcW w:w="387" w:type="pct"/>
            <w:vMerge w:val="continue"/>
            <w:vAlign w:val="center"/>
          </w:tcPr>
          <w:p w14:paraId="41876963">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r>
      <w:tr w14:paraId="766E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continue"/>
            <w:vAlign w:val="center"/>
          </w:tcPr>
          <w:p w14:paraId="1033F773">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485" w:type="pct"/>
            <w:vAlign w:val="center"/>
          </w:tcPr>
          <w:p w14:paraId="7BAA3B41">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政府投资项目初步设计审批</w:t>
            </w:r>
          </w:p>
        </w:tc>
        <w:tc>
          <w:tcPr>
            <w:tcW w:w="546" w:type="pct"/>
            <w:vAlign w:val="center"/>
          </w:tcPr>
          <w:p w14:paraId="1C10DB9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审批结果、批复时间、批复单位、批复文号、项目名称、项目统一代码等</w:t>
            </w:r>
          </w:p>
        </w:tc>
        <w:tc>
          <w:tcPr>
            <w:tcW w:w="355" w:type="pct"/>
            <w:vAlign w:val="center"/>
          </w:tcPr>
          <w:p w14:paraId="57231B65">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《政府投资条例》</w:t>
            </w:r>
          </w:p>
        </w:tc>
        <w:tc>
          <w:tcPr>
            <w:tcW w:w="708" w:type="pct"/>
            <w:vAlign w:val="center"/>
          </w:tcPr>
          <w:p w14:paraId="1E92B031">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《政府投资条例》第二十八条投资主管部门和依法对政府投资项目负有监督管理职责的其他部门应当建立政府投资项目信息共享机制，通过在线平台实现信息共享。</w:t>
            </w:r>
          </w:p>
        </w:tc>
        <w:tc>
          <w:tcPr>
            <w:tcW w:w="230" w:type="pct"/>
            <w:shd w:val="clear" w:color="auto" w:fill="auto"/>
            <w:vAlign w:val="center"/>
          </w:tcPr>
          <w:p w14:paraId="67343955">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行政法规</w:t>
            </w:r>
          </w:p>
        </w:tc>
        <w:tc>
          <w:tcPr>
            <w:tcW w:w="323" w:type="pct"/>
            <w:shd w:val="clear" w:color="auto" w:fill="auto"/>
            <w:vAlign w:val="center"/>
          </w:tcPr>
          <w:p w14:paraId="615FB07F">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实时公开</w:t>
            </w:r>
          </w:p>
        </w:tc>
        <w:tc>
          <w:tcPr>
            <w:tcW w:w="357" w:type="pct"/>
            <w:shd w:val="clear" w:color="auto" w:fill="auto"/>
            <w:vAlign w:val="center"/>
          </w:tcPr>
          <w:p w14:paraId="29132052">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Times New Roman" w:hAnsi="Times New Roman" w:eastAsia="仿宋_GB2312" w:cstheme="minorBidi"/>
                <w:kern w:val="2"/>
                <w:sz w:val="21"/>
                <w:szCs w:val="21"/>
                <w:vertAlign w:val="baseline"/>
                <w:lang w:val="en-US" w:eastAsia="zh-CN" w:bidi="ar-SA"/>
              </w:rPr>
              <w:t>杭锦旗发展和改革委员会 </w:t>
            </w:r>
          </w:p>
        </w:tc>
        <w:tc>
          <w:tcPr>
            <w:tcW w:w="294" w:type="pct"/>
            <w:shd w:val="clear" w:color="auto" w:fill="auto"/>
            <w:vAlign w:val="center"/>
          </w:tcPr>
          <w:p w14:paraId="6D87116A">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法定公开</w:t>
            </w:r>
          </w:p>
        </w:tc>
        <w:tc>
          <w:tcPr>
            <w:tcW w:w="249" w:type="pct"/>
            <w:shd w:val="clear" w:color="auto" w:fill="auto"/>
            <w:vAlign w:val="center"/>
          </w:tcPr>
          <w:p w14:paraId="54B91CC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■投资项目在线审批监管平台</w:t>
            </w:r>
          </w:p>
        </w:tc>
        <w:tc>
          <w:tcPr>
            <w:tcW w:w="230" w:type="pct"/>
            <w:shd w:val="clear" w:color="auto" w:fill="auto"/>
            <w:vAlign w:val="center"/>
          </w:tcPr>
          <w:p w14:paraId="4F2D8388">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w:t>
            </w:r>
          </w:p>
        </w:tc>
        <w:tc>
          <w:tcPr>
            <w:tcW w:w="230" w:type="pct"/>
            <w:vAlign w:val="center"/>
          </w:tcPr>
          <w:p w14:paraId="08B3CD44">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249" w:type="pct"/>
            <w:vAlign w:val="center"/>
          </w:tcPr>
          <w:p w14:paraId="085FF622">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行政审批股、涉及业务股室</w:t>
            </w:r>
          </w:p>
        </w:tc>
        <w:tc>
          <w:tcPr>
            <w:tcW w:w="387" w:type="pct"/>
            <w:vMerge w:val="continue"/>
            <w:vAlign w:val="center"/>
          </w:tcPr>
          <w:p w14:paraId="7984EF36">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r>
      <w:tr w14:paraId="56F6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continue"/>
            <w:vAlign w:val="center"/>
          </w:tcPr>
          <w:p w14:paraId="725E86DD">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485" w:type="pct"/>
            <w:vAlign w:val="center"/>
          </w:tcPr>
          <w:p w14:paraId="1AD79C89">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企业投资项目备案</w:t>
            </w:r>
          </w:p>
        </w:tc>
        <w:tc>
          <w:tcPr>
            <w:tcW w:w="546" w:type="pct"/>
            <w:vAlign w:val="center"/>
          </w:tcPr>
          <w:p w14:paraId="18277F58">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备案号、备案时间、备案单位、项目名称、项目统一代码等</w:t>
            </w:r>
          </w:p>
        </w:tc>
        <w:tc>
          <w:tcPr>
            <w:tcW w:w="355" w:type="pct"/>
            <w:vAlign w:val="center"/>
          </w:tcPr>
          <w:p w14:paraId="215DD123">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《企业投资项目核准和备案管理条例》</w:t>
            </w:r>
          </w:p>
        </w:tc>
        <w:tc>
          <w:tcPr>
            <w:tcW w:w="708" w:type="pct"/>
            <w:vAlign w:val="center"/>
          </w:tcPr>
          <w:p w14:paraId="121CF22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第十七条 核准机关、备案机关以及依法对项目负有监督管 理职责的其他有关部门应当建立项目信息共享机制，通过在线平 台实现信息共享。企业在项目核准、备案以及项目实施中的违法行为及其处理信息，通过国家社会信用信息平台向社会公示。</w:t>
            </w:r>
          </w:p>
        </w:tc>
        <w:tc>
          <w:tcPr>
            <w:tcW w:w="230" w:type="pct"/>
            <w:shd w:val="clear" w:color="auto" w:fill="auto"/>
            <w:vAlign w:val="center"/>
          </w:tcPr>
          <w:p w14:paraId="14E4B40A">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行政法规</w:t>
            </w:r>
          </w:p>
        </w:tc>
        <w:tc>
          <w:tcPr>
            <w:tcW w:w="323" w:type="pct"/>
            <w:shd w:val="clear" w:color="auto" w:fill="auto"/>
            <w:vAlign w:val="center"/>
          </w:tcPr>
          <w:p w14:paraId="7DA7C65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实时公开</w:t>
            </w:r>
          </w:p>
        </w:tc>
        <w:tc>
          <w:tcPr>
            <w:tcW w:w="357" w:type="pct"/>
            <w:shd w:val="clear" w:color="auto" w:fill="auto"/>
            <w:vAlign w:val="center"/>
          </w:tcPr>
          <w:p w14:paraId="2CFC8347">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Times New Roman" w:hAnsi="Times New Roman" w:eastAsia="仿宋_GB2312" w:cstheme="minorBidi"/>
                <w:kern w:val="2"/>
                <w:sz w:val="21"/>
                <w:szCs w:val="21"/>
                <w:vertAlign w:val="baseline"/>
                <w:lang w:val="en-US" w:eastAsia="zh-CN" w:bidi="ar-SA"/>
              </w:rPr>
              <w:t>杭锦旗发展和改革委员会 </w:t>
            </w:r>
          </w:p>
        </w:tc>
        <w:tc>
          <w:tcPr>
            <w:tcW w:w="294" w:type="pct"/>
            <w:shd w:val="clear" w:color="auto" w:fill="auto"/>
            <w:vAlign w:val="center"/>
          </w:tcPr>
          <w:p w14:paraId="2B27F4C9">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法定公开</w:t>
            </w:r>
          </w:p>
        </w:tc>
        <w:tc>
          <w:tcPr>
            <w:tcW w:w="249" w:type="pct"/>
            <w:shd w:val="clear" w:color="auto" w:fill="auto"/>
            <w:vAlign w:val="center"/>
          </w:tcPr>
          <w:p w14:paraId="340CDE4C">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■投资项目在线审批监管平台</w:t>
            </w:r>
          </w:p>
        </w:tc>
        <w:tc>
          <w:tcPr>
            <w:tcW w:w="230" w:type="pct"/>
            <w:shd w:val="clear" w:color="auto" w:fill="auto"/>
            <w:vAlign w:val="center"/>
          </w:tcPr>
          <w:p w14:paraId="0E6D1EEB">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w:t>
            </w:r>
          </w:p>
        </w:tc>
        <w:tc>
          <w:tcPr>
            <w:tcW w:w="230" w:type="pct"/>
            <w:vAlign w:val="center"/>
          </w:tcPr>
          <w:p w14:paraId="07D4C76A">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249" w:type="pct"/>
            <w:vAlign w:val="center"/>
          </w:tcPr>
          <w:p w14:paraId="7D73C25E">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行政审批股</w:t>
            </w:r>
          </w:p>
        </w:tc>
        <w:tc>
          <w:tcPr>
            <w:tcW w:w="387" w:type="pct"/>
            <w:vMerge w:val="continue"/>
            <w:vAlign w:val="center"/>
          </w:tcPr>
          <w:p w14:paraId="17A9C958">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r>
      <w:tr w14:paraId="2BB5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pct"/>
            <w:vMerge w:val="continue"/>
            <w:vAlign w:val="center"/>
          </w:tcPr>
          <w:p w14:paraId="4EFC5A17">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485" w:type="pct"/>
            <w:vAlign w:val="center"/>
          </w:tcPr>
          <w:p w14:paraId="26E036F4">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节能审查</w:t>
            </w:r>
          </w:p>
        </w:tc>
        <w:tc>
          <w:tcPr>
            <w:tcW w:w="546" w:type="pct"/>
            <w:vAlign w:val="center"/>
          </w:tcPr>
          <w:p w14:paraId="16078AE3">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审查结果、批复时间、批复单位、批复文号、项目名称、项目统一代码等</w:t>
            </w:r>
          </w:p>
        </w:tc>
        <w:tc>
          <w:tcPr>
            <w:tcW w:w="355" w:type="pct"/>
            <w:vAlign w:val="center"/>
          </w:tcPr>
          <w:p w14:paraId="43DFE38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《固定资产投资项目节能审查办法》</w:t>
            </w:r>
          </w:p>
        </w:tc>
        <w:tc>
          <w:tcPr>
            <w:tcW w:w="708" w:type="pct"/>
            <w:vAlign w:val="center"/>
          </w:tcPr>
          <w:p w14:paraId="2EC1F68E">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《固定资产投资项目节能审查办法》第十八条 固定资产投资项目节能审查应纳入投资项目在线审批监管平台统一管理，实行网上受理、办理、监管和服务，实现</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br w:type="textWrapping"/>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审查过程和结果的可查询、可监督。不单独进行节能审查的固定</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br w:type="textWrapping"/>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资产投资项目应通过投资项目在线审批监管平台报送项目能源消</w:t>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br w:type="textWrapping"/>
            </w: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费等情况。</w:t>
            </w:r>
          </w:p>
        </w:tc>
        <w:tc>
          <w:tcPr>
            <w:tcW w:w="230" w:type="pct"/>
            <w:shd w:val="clear" w:color="auto" w:fill="auto"/>
            <w:vAlign w:val="center"/>
          </w:tcPr>
          <w:p w14:paraId="3C626CC9">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行政法规</w:t>
            </w:r>
          </w:p>
        </w:tc>
        <w:tc>
          <w:tcPr>
            <w:tcW w:w="323" w:type="pct"/>
            <w:shd w:val="clear" w:color="auto" w:fill="auto"/>
            <w:vAlign w:val="center"/>
          </w:tcPr>
          <w:p w14:paraId="5F8E784E">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实时公开</w:t>
            </w:r>
          </w:p>
        </w:tc>
        <w:tc>
          <w:tcPr>
            <w:tcW w:w="357" w:type="pct"/>
            <w:shd w:val="clear" w:color="auto" w:fill="auto"/>
            <w:vAlign w:val="center"/>
          </w:tcPr>
          <w:p w14:paraId="1DC54BD2">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Times New Roman" w:hAnsi="Times New Roman" w:eastAsia="仿宋_GB2312" w:cstheme="minorBidi"/>
                <w:kern w:val="2"/>
                <w:sz w:val="21"/>
                <w:szCs w:val="21"/>
                <w:vertAlign w:val="baseline"/>
                <w:lang w:val="en-US" w:eastAsia="zh-CN" w:bidi="ar-SA"/>
              </w:rPr>
              <w:t>杭锦旗发展和改革委员会 </w:t>
            </w:r>
          </w:p>
        </w:tc>
        <w:tc>
          <w:tcPr>
            <w:tcW w:w="294" w:type="pct"/>
            <w:shd w:val="clear" w:color="auto" w:fill="auto"/>
            <w:vAlign w:val="center"/>
          </w:tcPr>
          <w:p w14:paraId="5CFE61DA">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法定公开</w:t>
            </w:r>
          </w:p>
        </w:tc>
        <w:tc>
          <w:tcPr>
            <w:tcW w:w="249" w:type="pct"/>
            <w:shd w:val="clear" w:color="auto" w:fill="auto"/>
            <w:vAlign w:val="center"/>
          </w:tcPr>
          <w:p w14:paraId="71E19FA6">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■投资项目在线审批监管平台</w:t>
            </w:r>
          </w:p>
        </w:tc>
        <w:tc>
          <w:tcPr>
            <w:tcW w:w="230" w:type="pct"/>
            <w:shd w:val="clear" w:color="auto" w:fill="auto"/>
            <w:vAlign w:val="center"/>
          </w:tcPr>
          <w:p w14:paraId="5C57D7C0">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w:t>
            </w:r>
          </w:p>
        </w:tc>
        <w:tc>
          <w:tcPr>
            <w:tcW w:w="230" w:type="pct"/>
            <w:vAlign w:val="center"/>
          </w:tcPr>
          <w:p w14:paraId="61E3715B">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p>
        </w:tc>
        <w:tc>
          <w:tcPr>
            <w:tcW w:w="249" w:type="pct"/>
            <w:vAlign w:val="center"/>
          </w:tcPr>
          <w:p w14:paraId="40F0FDDB">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产业发展和环资股</w:t>
            </w:r>
          </w:p>
        </w:tc>
        <w:tc>
          <w:tcPr>
            <w:tcW w:w="387" w:type="pct"/>
            <w:vAlign w:val="center"/>
          </w:tcPr>
          <w:p w14:paraId="123DBB5E">
            <w:pPr>
              <w:pStyle w:val="3"/>
              <w:keepNext w:val="0"/>
              <w:keepLines w:val="0"/>
              <w:widowControl/>
              <w:suppressLineNumbers w:val="0"/>
              <w:jc w:val="center"/>
              <w:rPr>
                <w:rFonts w:hint="eastAsia" w:ascii="仿宋_GB2312" w:hAnsi="微软雅黑" w:eastAsia="仿宋_GB2312" w:cs="仿宋_GB2312"/>
                <w:i w:val="0"/>
                <w:iCs w:val="0"/>
                <w:caps w:val="0"/>
                <w:color w:val="000000"/>
                <w:spacing w:val="0"/>
                <w:kern w:val="0"/>
                <w:sz w:val="21"/>
                <w:szCs w:val="21"/>
                <w:shd w:val="clear" w:fill="FFFFFF"/>
                <w:lang w:val="en-US" w:eastAsia="zh-CN" w:bidi="ar"/>
              </w:rPr>
            </w:pPr>
            <w:r>
              <w:rPr>
                <w:rFonts w:hint="eastAsia" w:ascii="仿宋_GB2312" w:hAnsi="微软雅黑" w:eastAsia="仿宋_GB2312" w:cs="仿宋_GB2312"/>
                <w:i w:val="0"/>
                <w:iCs w:val="0"/>
                <w:caps w:val="0"/>
                <w:color w:val="000000"/>
                <w:spacing w:val="0"/>
                <w:kern w:val="0"/>
                <w:sz w:val="21"/>
                <w:szCs w:val="21"/>
                <w:shd w:val="clear" w:fill="FFFFFF"/>
                <w:lang w:val="en-US" w:eastAsia="zh-CN" w:bidi="ar"/>
              </w:rPr>
              <w:t>固定资产投资项目节能审查</w:t>
            </w:r>
          </w:p>
        </w:tc>
      </w:tr>
    </w:tbl>
    <w:p w14:paraId="675F3EF5">
      <w:pPr>
        <w:pStyle w:val="3"/>
        <w:keepNext w:val="0"/>
        <w:keepLines w:val="0"/>
        <w:widowControl/>
        <w:suppressLineNumbers w:val="0"/>
        <w:ind w:left="0" w:firstLine="640"/>
      </w:pPr>
      <w:r>
        <w:t>                    </w:t>
      </w:r>
    </w:p>
    <w:p w14:paraId="201D8590">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79EFDF5">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36C25C91">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875CABD">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761689B">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64CFE401">
      <w:pPr>
        <w:pStyle w:val="3"/>
        <w:keepNext w:val="0"/>
        <w:keepLines w:val="0"/>
        <w:widowControl/>
        <w:suppressLineNumbers w:val="0"/>
        <w:ind w:left="0" w:firstLine="640"/>
      </w:pPr>
      <w:r>
        <w:rPr>
          <w:rFonts w:ascii="鏂规妤蜂綋_GBK" w:hAnsi="鏂规妤蜂綋_GBK" w:eastAsia="鏂规妤蜂綋_GBK" w:cs="鏂规妤蜂綋_GBK"/>
          <w:color w:val="333333"/>
          <w:sz w:val="24"/>
          <w:szCs w:val="24"/>
        </w:rPr>
        <w:t>注：公开依据、条款内容、依据效力位阶、事项类别、对应职责内部掌握。</w:t>
      </w:r>
    </w:p>
    <w:p w14:paraId="65E73E8A">
      <w:pPr>
        <w:pStyle w:val="3"/>
        <w:keepNext w:val="0"/>
        <w:keepLines w:val="0"/>
        <w:widowControl/>
        <w:suppressLineNumbers w:val="0"/>
        <w:ind w:left="0" w:firstLine="640"/>
      </w:pPr>
    </w:p>
    <w:p w14:paraId="13BEB907">
      <w:pPr>
        <w:pStyle w:val="3"/>
        <w:keepNext w:val="0"/>
        <w:keepLines w:val="0"/>
        <w:widowControl/>
        <w:suppressLineNumbers w:val="0"/>
        <w:ind w:left="0" w:firstLine="640"/>
      </w:pPr>
    </w:p>
    <w:p w14:paraId="01A03204">
      <w:pPr>
        <w:pStyle w:val="3"/>
        <w:keepNext w:val="0"/>
        <w:keepLines w:val="0"/>
        <w:widowControl/>
        <w:suppressLineNumbers w:val="0"/>
        <w:ind w:left="0" w:firstLine="640"/>
        <w:rPr>
          <w:rFonts w:hint="eastAsia"/>
          <w:lang w:eastAsia="zh-CN"/>
        </w:rPr>
      </w:pPr>
    </w:p>
    <w:sectPr>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鏂规灏忔爣瀹嬬畝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鏂规妤蜂綋_GBK">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70F7C"/>
    <w:rsid w:val="0053174B"/>
    <w:rsid w:val="05C05C27"/>
    <w:rsid w:val="0D076C75"/>
    <w:rsid w:val="100E1F63"/>
    <w:rsid w:val="16CC6AA2"/>
    <w:rsid w:val="1CB700FB"/>
    <w:rsid w:val="1D9413D1"/>
    <w:rsid w:val="1E220F8B"/>
    <w:rsid w:val="25CE228A"/>
    <w:rsid w:val="2BAB5677"/>
    <w:rsid w:val="2C8A3813"/>
    <w:rsid w:val="30B70F7C"/>
    <w:rsid w:val="31AE0864"/>
    <w:rsid w:val="32D67EFB"/>
    <w:rsid w:val="35597D79"/>
    <w:rsid w:val="36671DDF"/>
    <w:rsid w:val="38704DA6"/>
    <w:rsid w:val="3C783AE0"/>
    <w:rsid w:val="3FB55B14"/>
    <w:rsid w:val="41806997"/>
    <w:rsid w:val="46BE72C9"/>
    <w:rsid w:val="4DE343E2"/>
    <w:rsid w:val="5382528E"/>
    <w:rsid w:val="58564083"/>
    <w:rsid w:val="596A073D"/>
    <w:rsid w:val="5A7D1263"/>
    <w:rsid w:val="5EA90223"/>
    <w:rsid w:val="607E751E"/>
    <w:rsid w:val="6A3C4A04"/>
    <w:rsid w:val="6AAB11AA"/>
    <w:rsid w:val="7548217D"/>
    <w:rsid w:val="7824107E"/>
    <w:rsid w:val="7AE2194A"/>
    <w:rsid w:val="7DFB3CED"/>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1804</Words>
  <Characters>1809</Characters>
  <Lines>0</Lines>
  <Paragraphs>0</Paragraphs>
  <TotalTime>11</TotalTime>
  <ScaleCrop>false</ScaleCrop>
  <LinksUpToDate>false</LinksUpToDate>
  <CharactersWithSpaces>1874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演示人</dc:creator>
  <cp:lastModifiedBy>火龙果</cp:lastModifiedBy>
  <dcterms:modified xsi:type="dcterms:W3CDTF">2025-03-06T07:31:25Z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4DCEAC78E5FE4269A432768698AB4CA6_13</vt:lpwstr>
  </property>
  <property fmtid="{D5CDD505-2E9C-101B-9397-08002B2CF9AE}" pid="4" name="KSOTemplateDocerSaveRecord">
    <vt:lpwstr>eyJoZGlkIjoiM2M1MzQ5YjJjYTY4ZmZjN2I1YmFhNzM4MjFjYTdlY2IiLCJ1c2VySWQiOiIzMjc5MTc5NjUifQ==</vt:lpwstr>
  </property>
</Properties>
</file>