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4FDF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jc w:val="center"/>
        <w:textAlignment w:val="auto"/>
        <w:rPr>
          <w:rFonts w:hint="eastAsia" w:ascii="鏂规灏忔爣瀹嬬畝浣?" w:hAnsi="鏂规灏忔爣瀹嬬畝浣?" w:eastAsia="鏂规灏忔爣瀹嬬畝浣?" w:cs="鏂规灏忔爣瀹嬬畝浣?"/>
          <w:color w:val="333333"/>
          <w:kern w:val="0"/>
          <w:sz w:val="31"/>
          <w:szCs w:val="31"/>
          <w:lang w:val="en-US" w:eastAsia="zh-CN" w:bidi="ar"/>
        </w:rPr>
      </w:pPr>
      <w:r>
        <w:rPr>
          <w:rFonts w:hint="eastAsia" w:ascii="鏂规灏忔爣瀹嬬畝浣?" w:hAnsi="鏂规灏忔爣瀹嬬畝浣?" w:eastAsia="鏂规灏忔爣瀹嬬畝浣?" w:cs="鏂规灏忔爣瀹嬬畝浣?"/>
          <w:color w:val="333333"/>
          <w:kern w:val="0"/>
          <w:sz w:val="31"/>
          <w:szCs w:val="31"/>
          <w:lang w:val="en-US" w:eastAsia="zh-CN" w:bidi="ar"/>
        </w:rPr>
        <w:t>杭锦旗信访局主动公开事项目录</w:t>
      </w:r>
    </w:p>
    <w:tbl>
      <w:tblPr>
        <w:tblStyle w:val="5"/>
        <w:tblpPr w:leftFromText="180" w:rightFromText="180" w:vertAnchor="text" w:tblpXSpec="center" w:tblpY="270"/>
        <w:tblOverlap w:val="never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8"/>
        <w:gridCol w:w="815"/>
        <w:gridCol w:w="1272"/>
        <w:gridCol w:w="1259"/>
        <w:gridCol w:w="2489"/>
        <w:gridCol w:w="1708"/>
        <w:gridCol w:w="825"/>
        <w:gridCol w:w="854"/>
        <w:gridCol w:w="999"/>
        <w:gridCol w:w="597"/>
        <w:gridCol w:w="587"/>
        <w:gridCol w:w="724"/>
      </w:tblGrid>
      <w:tr w14:paraId="609E71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637" w:type="pct"/>
            <w:gridSpan w:val="2"/>
            <w:noWrap w:val="0"/>
            <w:vAlign w:val="center"/>
          </w:tcPr>
          <w:p w14:paraId="6BD4C2D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公开事项</w:t>
            </w:r>
          </w:p>
        </w:tc>
        <w:tc>
          <w:tcPr>
            <w:tcW w:w="490" w:type="pct"/>
            <w:vMerge w:val="restart"/>
            <w:noWrap w:val="0"/>
            <w:vAlign w:val="center"/>
          </w:tcPr>
          <w:p w14:paraId="6550B7D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公开内容（要素）</w:t>
            </w:r>
          </w:p>
        </w:tc>
        <w:tc>
          <w:tcPr>
            <w:tcW w:w="485" w:type="pct"/>
            <w:vMerge w:val="restart"/>
            <w:noWrap w:val="0"/>
            <w:vAlign w:val="center"/>
          </w:tcPr>
          <w:p w14:paraId="4DF425E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公开依据</w:t>
            </w:r>
          </w:p>
        </w:tc>
        <w:tc>
          <w:tcPr>
            <w:tcW w:w="959" w:type="pct"/>
            <w:vMerge w:val="restart"/>
            <w:noWrap w:val="0"/>
            <w:vAlign w:val="center"/>
          </w:tcPr>
          <w:p w14:paraId="2A1C410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条款内容</w:t>
            </w:r>
          </w:p>
        </w:tc>
        <w:tc>
          <w:tcPr>
            <w:tcW w:w="658" w:type="pct"/>
            <w:vMerge w:val="restart"/>
            <w:noWrap w:val="0"/>
            <w:vAlign w:val="center"/>
          </w:tcPr>
          <w:p w14:paraId="0CF6AF9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公开时限</w:t>
            </w:r>
          </w:p>
        </w:tc>
        <w:tc>
          <w:tcPr>
            <w:tcW w:w="318" w:type="pct"/>
            <w:vMerge w:val="restart"/>
            <w:noWrap w:val="0"/>
            <w:vAlign w:val="center"/>
          </w:tcPr>
          <w:p w14:paraId="6D0A118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公开主体</w:t>
            </w:r>
          </w:p>
        </w:tc>
        <w:tc>
          <w:tcPr>
            <w:tcW w:w="329" w:type="pct"/>
            <w:vMerge w:val="restart"/>
            <w:noWrap w:val="0"/>
            <w:vAlign w:val="center"/>
          </w:tcPr>
          <w:p w14:paraId="0A39069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事项类别</w:t>
            </w:r>
          </w:p>
          <w:p w14:paraId="3FB3680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（法定公开、其他）</w:t>
            </w:r>
          </w:p>
        </w:tc>
        <w:tc>
          <w:tcPr>
            <w:tcW w:w="385" w:type="pct"/>
            <w:vMerge w:val="restart"/>
            <w:noWrap w:val="0"/>
            <w:vAlign w:val="center"/>
          </w:tcPr>
          <w:p w14:paraId="10AF7E7F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公开渠道和载</w:t>
            </w: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体</w:t>
            </w:r>
          </w:p>
        </w:tc>
        <w:tc>
          <w:tcPr>
            <w:tcW w:w="456" w:type="pct"/>
            <w:gridSpan w:val="2"/>
            <w:noWrap w:val="0"/>
            <w:vAlign w:val="center"/>
          </w:tcPr>
          <w:p w14:paraId="48668A8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公开对象</w:t>
            </w:r>
          </w:p>
        </w:tc>
        <w:tc>
          <w:tcPr>
            <w:tcW w:w="279" w:type="pct"/>
            <w:vMerge w:val="restart"/>
            <w:noWrap w:val="0"/>
            <w:vAlign w:val="center"/>
          </w:tcPr>
          <w:p w14:paraId="24FB28B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责任科室</w:t>
            </w:r>
          </w:p>
        </w:tc>
      </w:tr>
      <w:tr w14:paraId="2429C3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2" w:hRule="atLeast"/>
          <w:jc w:val="center"/>
        </w:trPr>
        <w:tc>
          <w:tcPr>
            <w:tcW w:w="323" w:type="pct"/>
            <w:noWrap w:val="0"/>
            <w:vAlign w:val="center"/>
          </w:tcPr>
          <w:p w14:paraId="7415D8C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一级事项</w:t>
            </w:r>
          </w:p>
        </w:tc>
        <w:tc>
          <w:tcPr>
            <w:tcW w:w="314" w:type="pct"/>
            <w:noWrap w:val="0"/>
            <w:vAlign w:val="center"/>
          </w:tcPr>
          <w:p w14:paraId="1AE292E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  <w:p w14:paraId="5DFF2A2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二级事项</w:t>
            </w:r>
          </w:p>
          <w:p w14:paraId="3EE411E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490" w:type="pct"/>
            <w:vMerge w:val="continue"/>
            <w:noWrap w:val="0"/>
            <w:vAlign w:val="center"/>
          </w:tcPr>
          <w:p w14:paraId="06D2FA74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485" w:type="pct"/>
            <w:vMerge w:val="continue"/>
            <w:noWrap w:val="0"/>
            <w:vAlign w:val="center"/>
          </w:tcPr>
          <w:p w14:paraId="5FB72DA8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959" w:type="pct"/>
            <w:vMerge w:val="continue"/>
            <w:noWrap w:val="0"/>
            <w:vAlign w:val="center"/>
          </w:tcPr>
          <w:p w14:paraId="41C1C37D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658" w:type="pct"/>
            <w:vMerge w:val="continue"/>
            <w:noWrap w:val="0"/>
            <w:vAlign w:val="center"/>
          </w:tcPr>
          <w:p w14:paraId="2E9E8656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318" w:type="pct"/>
            <w:vMerge w:val="continue"/>
            <w:noWrap w:val="0"/>
            <w:vAlign w:val="center"/>
          </w:tcPr>
          <w:p w14:paraId="02344DE9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329" w:type="pct"/>
            <w:vMerge w:val="continue"/>
            <w:noWrap w:val="0"/>
            <w:vAlign w:val="center"/>
          </w:tcPr>
          <w:p w14:paraId="2FED5ACE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385" w:type="pct"/>
            <w:vMerge w:val="continue"/>
            <w:noWrap w:val="0"/>
            <w:vAlign w:val="center"/>
          </w:tcPr>
          <w:p w14:paraId="456A58B5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230" w:type="pct"/>
            <w:noWrap w:val="0"/>
            <w:vAlign w:val="center"/>
          </w:tcPr>
          <w:p w14:paraId="3A892BB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社会</w:t>
            </w:r>
          </w:p>
        </w:tc>
        <w:tc>
          <w:tcPr>
            <w:tcW w:w="226" w:type="pct"/>
            <w:noWrap w:val="0"/>
            <w:vAlign w:val="center"/>
          </w:tcPr>
          <w:p w14:paraId="1BBB047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特</w:t>
            </w:r>
            <w:r>
              <w:rPr>
                <w:rFonts w:hint="default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定群体</w:t>
            </w:r>
          </w:p>
          <w:p w14:paraId="0178B22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vMerge w:val="continue"/>
            <w:noWrap w:val="0"/>
            <w:vAlign w:val="center"/>
          </w:tcPr>
          <w:p w14:paraId="10F7A09E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</w:tr>
      <w:tr w14:paraId="40258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323" w:type="pct"/>
            <w:vMerge w:val="restart"/>
            <w:noWrap w:val="0"/>
            <w:vAlign w:val="center"/>
          </w:tcPr>
          <w:p w14:paraId="513ADF6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单位基本信息</w:t>
            </w:r>
          </w:p>
        </w:tc>
        <w:tc>
          <w:tcPr>
            <w:tcW w:w="314" w:type="pct"/>
            <w:noWrap w:val="0"/>
            <w:vAlign w:val="center"/>
          </w:tcPr>
          <w:p w14:paraId="7F6DE92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工作职责</w:t>
            </w:r>
          </w:p>
        </w:tc>
        <w:tc>
          <w:tcPr>
            <w:tcW w:w="490" w:type="pct"/>
            <w:noWrap w:val="0"/>
            <w:vAlign w:val="center"/>
          </w:tcPr>
          <w:p w14:paraId="261CB67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杭锦旗信访局工作职责</w:t>
            </w:r>
          </w:p>
        </w:tc>
        <w:tc>
          <w:tcPr>
            <w:tcW w:w="485" w:type="pct"/>
            <w:noWrap w:val="0"/>
            <w:vAlign w:val="center"/>
          </w:tcPr>
          <w:p w14:paraId="52F81C5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</w:t>
            </w:r>
          </w:p>
        </w:tc>
        <w:tc>
          <w:tcPr>
            <w:tcW w:w="959" w:type="pct"/>
            <w:noWrap w:val="0"/>
            <w:vAlign w:val="center"/>
          </w:tcPr>
          <w:p w14:paraId="7E0D228F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《中华人民共和国政府信息公开条例》第二章第十二条行政机关编制、公布的政府信息公开指南和政府信息公开目录应当及时更新。</w:t>
            </w:r>
          </w:p>
        </w:tc>
        <w:tc>
          <w:tcPr>
            <w:tcW w:w="658" w:type="pct"/>
            <w:noWrap w:val="0"/>
            <w:vAlign w:val="center"/>
          </w:tcPr>
          <w:p w14:paraId="07A9370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65A9F72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2368283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54A65BD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07FEFED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6D66C01F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30C3383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2E78E2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690FA34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09A13FC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机构设置</w:t>
            </w:r>
          </w:p>
        </w:tc>
        <w:tc>
          <w:tcPr>
            <w:tcW w:w="490" w:type="pct"/>
            <w:noWrap w:val="0"/>
            <w:vAlign w:val="center"/>
          </w:tcPr>
          <w:p w14:paraId="2474997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杭锦旗信访局各股室职责与内设机构</w:t>
            </w:r>
          </w:p>
        </w:tc>
        <w:tc>
          <w:tcPr>
            <w:tcW w:w="485" w:type="pct"/>
            <w:noWrap w:val="0"/>
            <w:vAlign w:val="center"/>
          </w:tcPr>
          <w:p w14:paraId="68FFFD9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</w:t>
            </w:r>
          </w:p>
        </w:tc>
        <w:tc>
          <w:tcPr>
            <w:tcW w:w="959" w:type="pct"/>
            <w:noWrap w:val="0"/>
            <w:vAlign w:val="center"/>
          </w:tcPr>
          <w:p w14:paraId="1F50A381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《中华人民共和国政府信息公开条例》第二章第十二条行政机关编制、公布的政府信息公开指南和政府信息公开目录应当及时更新。</w:t>
            </w:r>
          </w:p>
        </w:tc>
        <w:tc>
          <w:tcPr>
            <w:tcW w:w="658" w:type="pct"/>
            <w:noWrap w:val="0"/>
            <w:vAlign w:val="center"/>
          </w:tcPr>
          <w:p w14:paraId="6739785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1742211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5577C7B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14EC6FF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4B8A496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04F65DE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302A7E2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17ACCC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23" w:type="pct"/>
            <w:vMerge w:val="restart"/>
            <w:noWrap w:val="0"/>
            <w:vAlign w:val="center"/>
          </w:tcPr>
          <w:p w14:paraId="1866CDA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单位领导介绍</w:t>
            </w:r>
          </w:p>
        </w:tc>
        <w:tc>
          <w:tcPr>
            <w:tcW w:w="314" w:type="pct"/>
            <w:noWrap w:val="0"/>
            <w:vAlign w:val="center"/>
          </w:tcPr>
          <w:p w14:paraId="24D67FD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领导简历</w:t>
            </w:r>
          </w:p>
        </w:tc>
        <w:tc>
          <w:tcPr>
            <w:tcW w:w="490" w:type="pct"/>
            <w:noWrap w:val="0"/>
            <w:vAlign w:val="center"/>
          </w:tcPr>
          <w:p w14:paraId="01DE1EA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杭锦旗信访局领导姓名、照片、简历等</w:t>
            </w:r>
          </w:p>
        </w:tc>
        <w:tc>
          <w:tcPr>
            <w:tcW w:w="485" w:type="pct"/>
            <w:noWrap w:val="0"/>
            <w:vAlign w:val="center"/>
          </w:tcPr>
          <w:p w14:paraId="1D30D49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</w:t>
            </w:r>
          </w:p>
        </w:tc>
        <w:tc>
          <w:tcPr>
            <w:tcW w:w="959" w:type="pct"/>
            <w:noWrap w:val="0"/>
            <w:vAlign w:val="center"/>
          </w:tcPr>
          <w:p w14:paraId="49A52DC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《中华人民共和国政府信息公开条例》第二章第十二条行政机关编制、公布的政府信息公开指南和政府信息公开目录应当及时更新。</w:t>
            </w:r>
          </w:p>
        </w:tc>
        <w:tc>
          <w:tcPr>
            <w:tcW w:w="658" w:type="pct"/>
            <w:noWrap w:val="0"/>
            <w:vAlign w:val="center"/>
          </w:tcPr>
          <w:p w14:paraId="7278E8E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73B2C18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051E0F5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4D48940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795AE1C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23268F0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410C46F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1518B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6D1B9A9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104E5C6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领导活动</w:t>
            </w:r>
          </w:p>
        </w:tc>
        <w:tc>
          <w:tcPr>
            <w:tcW w:w="490" w:type="pct"/>
            <w:noWrap w:val="0"/>
            <w:vAlign w:val="center"/>
          </w:tcPr>
          <w:p w14:paraId="1A091E7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杭锦旗信访局领导活动新闻</w:t>
            </w:r>
          </w:p>
        </w:tc>
        <w:tc>
          <w:tcPr>
            <w:tcW w:w="485" w:type="pct"/>
            <w:noWrap w:val="0"/>
            <w:vAlign w:val="center"/>
          </w:tcPr>
          <w:p w14:paraId="28F4BE6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</w:t>
            </w:r>
          </w:p>
        </w:tc>
        <w:tc>
          <w:tcPr>
            <w:tcW w:w="959" w:type="pct"/>
            <w:noWrap w:val="0"/>
            <w:vAlign w:val="center"/>
          </w:tcPr>
          <w:p w14:paraId="2041A5B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《中华人民共和国政府信息公开条例》第二章第十二条行政机关编制、公布的政府信息公开指南和政府信息公开目录应当及时更新。</w:t>
            </w:r>
          </w:p>
        </w:tc>
        <w:tc>
          <w:tcPr>
            <w:tcW w:w="658" w:type="pct"/>
            <w:noWrap w:val="0"/>
            <w:vAlign w:val="center"/>
          </w:tcPr>
          <w:p w14:paraId="69AE371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78CBA39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0AF9651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1D7392D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4FE95D5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662F039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6E47092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5819DD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restart"/>
            <w:noWrap w:val="0"/>
            <w:vAlign w:val="center"/>
          </w:tcPr>
          <w:p w14:paraId="3CF8C2E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法规文件</w:t>
            </w:r>
          </w:p>
        </w:tc>
        <w:tc>
          <w:tcPr>
            <w:tcW w:w="314" w:type="pct"/>
            <w:noWrap w:val="0"/>
            <w:vAlign w:val="center"/>
          </w:tcPr>
          <w:p w14:paraId="5AEFBD4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信访工作条例</w:t>
            </w:r>
          </w:p>
        </w:tc>
        <w:tc>
          <w:tcPr>
            <w:tcW w:w="490" w:type="pct"/>
            <w:noWrap w:val="0"/>
            <w:vAlign w:val="center"/>
          </w:tcPr>
          <w:p w14:paraId="29F4FBA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信访工作条例</w:t>
            </w:r>
          </w:p>
        </w:tc>
        <w:tc>
          <w:tcPr>
            <w:tcW w:w="485" w:type="pct"/>
            <w:noWrap w:val="0"/>
            <w:vAlign w:val="center"/>
          </w:tcPr>
          <w:p w14:paraId="47424F5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《中华人民共和国政府信息公开条例》《信访工作条例》</w:t>
            </w:r>
          </w:p>
        </w:tc>
        <w:tc>
          <w:tcPr>
            <w:tcW w:w="959" w:type="pct"/>
            <w:noWrap w:val="0"/>
            <w:vAlign w:val="center"/>
          </w:tcPr>
          <w:p w14:paraId="19E34C9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《中华人民共和国政府信息公开条例》第三章第十九条对涉及公众利益调整、需要公众广泛知晓或者需要公众参与决策的政府信息，行政机关应当主动公开。</w:t>
            </w:r>
          </w:p>
          <w:p w14:paraId="72BA75B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4DA12C7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07582FC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14A10AD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79898FE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6CE065F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5068A67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71CE49F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7C6CAE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60EA370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5CF8EBFF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制度文件</w:t>
            </w:r>
          </w:p>
        </w:tc>
        <w:tc>
          <w:tcPr>
            <w:tcW w:w="490" w:type="pct"/>
            <w:noWrap w:val="0"/>
            <w:vAlign w:val="center"/>
          </w:tcPr>
          <w:p w14:paraId="08AFD4F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杭锦旗信访局规范性文件</w:t>
            </w:r>
          </w:p>
        </w:tc>
        <w:tc>
          <w:tcPr>
            <w:tcW w:w="485" w:type="pct"/>
            <w:noWrap w:val="0"/>
            <w:vAlign w:val="center"/>
          </w:tcPr>
          <w:p w14:paraId="10C0814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</w:t>
            </w:r>
          </w:p>
        </w:tc>
        <w:tc>
          <w:tcPr>
            <w:tcW w:w="959" w:type="pct"/>
            <w:noWrap w:val="0"/>
            <w:vAlign w:val="center"/>
          </w:tcPr>
          <w:p w14:paraId="2498AD4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《中华人民共和国政府信息公开条例》第三章第十九条对涉及公众利益调整、需要公众广泛知晓或者需要公众参与决策的政府信息，行政机关应当主动公开。</w:t>
            </w:r>
          </w:p>
          <w:p w14:paraId="64BB6CC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7049419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64D2159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1043987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3B8E1B0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71AB036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593278A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3E2684B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0E6B11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restart"/>
            <w:noWrap w:val="0"/>
            <w:vAlign w:val="center"/>
          </w:tcPr>
          <w:p w14:paraId="1C7424B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政策解读</w:t>
            </w:r>
          </w:p>
        </w:tc>
        <w:tc>
          <w:tcPr>
            <w:tcW w:w="314" w:type="pct"/>
            <w:noWrap w:val="0"/>
            <w:vAlign w:val="center"/>
          </w:tcPr>
          <w:p w14:paraId="6AEEA41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政策解读</w:t>
            </w:r>
          </w:p>
        </w:tc>
        <w:tc>
          <w:tcPr>
            <w:tcW w:w="490" w:type="pct"/>
            <w:noWrap w:val="0"/>
            <w:vAlign w:val="center"/>
          </w:tcPr>
          <w:p w14:paraId="57FA773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重要政策解读材料</w:t>
            </w:r>
          </w:p>
        </w:tc>
        <w:tc>
          <w:tcPr>
            <w:tcW w:w="485" w:type="pct"/>
            <w:noWrap w:val="0"/>
            <w:vAlign w:val="center"/>
          </w:tcPr>
          <w:p w14:paraId="7166211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《中华人民共和国政府信息公开条例》《信访工作条例》</w:t>
            </w:r>
          </w:p>
        </w:tc>
        <w:tc>
          <w:tcPr>
            <w:tcW w:w="959" w:type="pct"/>
            <w:noWrap w:val="0"/>
            <w:vAlign w:val="center"/>
          </w:tcPr>
          <w:p w14:paraId="772F370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《中华人民共和国政府信息公开条例》第三章第十九条对涉及公众利益调整、需要公众广泛知晓或者需要公众参与决策的政府信息，行政机关应当主动公开。</w:t>
            </w:r>
          </w:p>
          <w:p w14:paraId="7393929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02F09A3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7763F67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516AE06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30CBF99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1A87090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457222C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3F340DF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382A5B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651BD02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40F137D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信访指南</w:t>
            </w:r>
          </w:p>
        </w:tc>
        <w:tc>
          <w:tcPr>
            <w:tcW w:w="490" w:type="pct"/>
            <w:noWrap w:val="0"/>
            <w:vAlign w:val="center"/>
          </w:tcPr>
          <w:p w14:paraId="6D11A51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党委和政府信访部门依法依规处理信访事项“引导图”、依法依规信访“路线图”</w:t>
            </w:r>
          </w:p>
        </w:tc>
        <w:tc>
          <w:tcPr>
            <w:tcW w:w="485" w:type="pct"/>
            <w:noWrap w:val="0"/>
            <w:vAlign w:val="center"/>
          </w:tcPr>
          <w:p w14:paraId="2BAE484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《中华人民共和国政府信息公开条例》《信访工作条例》</w:t>
            </w:r>
          </w:p>
        </w:tc>
        <w:tc>
          <w:tcPr>
            <w:tcW w:w="959" w:type="pct"/>
            <w:noWrap w:val="0"/>
            <w:vAlign w:val="center"/>
          </w:tcPr>
          <w:p w14:paraId="6CBC047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《中华人民共和国政府信息公开条例》第三章第十九条对涉及公众利益调整、需要公众广泛知晓或者需要公众参与决策的政府信息，行政机关应当主动公开。</w:t>
            </w:r>
          </w:p>
          <w:p w14:paraId="204795C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251B2E8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422A2D8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4AE7679F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41A4C8D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1FA1DC8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7C64CFE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7D9BF02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5D5E28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restart"/>
            <w:noWrap w:val="0"/>
            <w:vAlign w:val="center"/>
          </w:tcPr>
          <w:p w14:paraId="508A426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业务工作</w:t>
            </w:r>
          </w:p>
        </w:tc>
        <w:tc>
          <w:tcPr>
            <w:tcW w:w="314" w:type="pct"/>
            <w:noWrap w:val="0"/>
            <w:vAlign w:val="center"/>
          </w:tcPr>
          <w:p w14:paraId="4724396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办理来信工作</w:t>
            </w:r>
          </w:p>
        </w:tc>
        <w:tc>
          <w:tcPr>
            <w:tcW w:w="490" w:type="pct"/>
            <w:noWrap w:val="0"/>
            <w:vAlign w:val="center"/>
          </w:tcPr>
          <w:p w14:paraId="343003C1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来信办理相关工作规则</w:t>
            </w:r>
          </w:p>
        </w:tc>
        <w:tc>
          <w:tcPr>
            <w:tcW w:w="485" w:type="pct"/>
            <w:noWrap w:val="0"/>
            <w:vAlign w:val="center"/>
          </w:tcPr>
          <w:p w14:paraId="12DD9F4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《中华人民共和国政府信息公开条例》《信访工作条例》</w:t>
            </w:r>
          </w:p>
        </w:tc>
        <w:tc>
          <w:tcPr>
            <w:tcW w:w="959" w:type="pct"/>
            <w:noWrap w:val="0"/>
            <w:vAlign w:val="center"/>
          </w:tcPr>
          <w:p w14:paraId="694B939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《中华人民共和国政府信息公开条例》第三章第十九条对涉及公众利益调整、需要公众广泛知晓或者需要公众参与决策的政府信息，行政机关应当主动公开。</w:t>
            </w:r>
          </w:p>
          <w:p w14:paraId="34EA435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3A7D6D4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6899872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47B1A20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784DF14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信访信息系统、文件报告</w:t>
            </w:r>
          </w:p>
        </w:tc>
        <w:tc>
          <w:tcPr>
            <w:tcW w:w="230" w:type="pct"/>
            <w:noWrap w:val="0"/>
            <w:vAlign w:val="center"/>
          </w:tcPr>
          <w:p w14:paraId="60D9CAD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2D0A9F5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0C409DA1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综合业务股投诉受理室</w:t>
            </w:r>
          </w:p>
        </w:tc>
      </w:tr>
      <w:tr w14:paraId="3F8236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25178D6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4D6937C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接待来访工作</w:t>
            </w:r>
          </w:p>
        </w:tc>
        <w:tc>
          <w:tcPr>
            <w:tcW w:w="490" w:type="pct"/>
            <w:noWrap w:val="0"/>
            <w:vAlign w:val="center"/>
          </w:tcPr>
          <w:p w14:paraId="5829F9B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接待来访相关工作规则</w:t>
            </w:r>
          </w:p>
        </w:tc>
        <w:tc>
          <w:tcPr>
            <w:tcW w:w="485" w:type="pct"/>
            <w:noWrap w:val="0"/>
            <w:vAlign w:val="center"/>
          </w:tcPr>
          <w:p w14:paraId="187F422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《中华人民共和国政府信息公开条例》《信访工作条例》</w:t>
            </w:r>
          </w:p>
        </w:tc>
        <w:tc>
          <w:tcPr>
            <w:tcW w:w="959" w:type="pct"/>
            <w:noWrap w:val="0"/>
            <w:vAlign w:val="center"/>
          </w:tcPr>
          <w:p w14:paraId="2D6AC1D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《中华人民共和国政府信息公开条例》第三章第十九条对涉及公众利益调整、需要公众广泛知晓或者需要公众参与决策的政府信息，行政机关应当主动公开。</w:t>
            </w:r>
          </w:p>
          <w:p w14:paraId="589893AF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24168EA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30EF5D5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4E0BF2A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10E2A0E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信访信息系统、文件报告</w:t>
            </w:r>
          </w:p>
        </w:tc>
        <w:tc>
          <w:tcPr>
            <w:tcW w:w="230" w:type="pct"/>
            <w:noWrap w:val="0"/>
            <w:vAlign w:val="center"/>
          </w:tcPr>
          <w:p w14:paraId="4D0A6F4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77D947B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75A221A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信访接待中心</w:t>
            </w:r>
          </w:p>
        </w:tc>
      </w:tr>
      <w:tr w14:paraId="48E20A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0679F82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33B2B63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督查督办工作</w:t>
            </w:r>
          </w:p>
        </w:tc>
        <w:tc>
          <w:tcPr>
            <w:tcW w:w="490" w:type="pct"/>
            <w:noWrap w:val="0"/>
            <w:vAlign w:val="center"/>
          </w:tcPr>
          <w:p w14:paraId="628420A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督查督办相关工作规则</w:t>
            </w:r>
          </w:p>
        </w:tc>
        <w:tc>
          <w:tcPr>
            <w:tcW w:w="485" w:type="pct"/>
            <w:noWrap w:val="0"/>
            <w:vAlign w:val="center"/>
          </w:tcPr>
          <w:p w14:paraId="148DD40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《中华人民共和国政府信息公开条例》《信访工作条例》</w:t>
            </w:r>
          </w:p>
        </w:tc>
        <w:tc>
          <w:tcPr>
            <w:tcW w:w="959" w:type="pct"/>
            <w:noWrap w:val="0"/>
            <w:vAlign w:val="center"/>
          </w:tcPr>
          <w:p w14:paraId="2F7B271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《中华人民共和国政府信息公开条例》第三章第十九条对涉及公众利益调整、需要公众广泛知晓或者需要公众参与决策的政府信息，行政机关应当主动公开。</w:t>
            </w:r>
          </w:p>
          <w:p w14:paraId="2E21E22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424D22F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71DA2FF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73A8872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4C2FC5A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信访信息系统、文件报告</w:t>
            </w:r>
          </w:p>
        </w:tc>
        <w:tc>
          <w:tcPr>
            <w:tcW w:w="230" w:type="pct"/>
            <w:noWrap w:val="0"/>
            <w:vAlign w:val="center"/>
          </w:tcPr>
          <w:p w14:paraId="26290A3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46EE476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3D56616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综合业务股督查督办室</w:t>
            </w:r>
          </w:p>
        </w:tc>
      </w:tr>
      <w:tr w14:paraId="4D175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70F8300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0887911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网上信访工作</w:t>
            </w:r>
          </w:p>
        </w:tc>
        <w:tc>
          <w:tcPr>
            <w:tcW w:w="490" w:type="pct"/>
            <w:noWrap w:val="0"/>
            <w:vAlign w:val="center"/>
          </w:tcPr>
          <w:p w14:paraId="5B4FA9D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网上信访相关工作规则</w:t>
            </w:r>
          </w:p>
        </w:tc>
        <w:tc>
          <w:tcPr>
            <w:tcW w:w="485" w:type="pct"/>
            <w:noWrap w:val="0"/>
            <w:vAlign w:val="center"/>
          </w:tcPr>
          <w:p w14:paraId="3593C6E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《中华人民共和国政府信息公开条例》《信访工作条例》</w:t>
            </w:r>
          </w:p>
        </w:tc>
        <w:tc>
          <w:tcPr>
            <w:tcW w:w="959" w:type="pct"/>
            <w:noWrap w:val="0"/>
            <w:vAlign w:val="center"/>
          </w:tcPr>
          <w:p w14:paraId="0AFBD67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《中华人民共和国政府信息公开条例》第三章第十九条对涉及公众利益调整、需要公众广泛知晓或者需要公众参与决策的政府信息，行政机关应当主动公开。</w:t>
            </w:r>
          </w:p>
          <w:p w14:paraId="572B844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3A13C98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0042E9D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64B65AA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060798E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信访信息系统、文件报告</w:t>
            </w:r>
          </w:p>
        </w:tc>
        <w:tc>
          <w:tcPr>
            <w:tcW w:w="230" w:type="pct"/>
            <w:noWrap w:val="0"/>
            <w:vAlign w:val="center"/>
          </w:tcPr>
          <w:p w14:paraId="6859334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467D300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53C792A1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综合业务股投诉受理室</w:t>
            </w:r>
          </w:p>
        </w:tc>
      </w:tr>
      <w:tr w14:paraId="461EE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restart"/>
            <w:noWrap w:val="0"/>
            <w:vAlign w:val="center"/>
          </w:tcPr>
          <w:p w14:paraId="5CAD2C1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其他信息</w:t>
            </w:r>
          </w:p>
        </w:tc>
        <w:tc>
          <w:tcPr>
            <w:tcW w:w="314" w:type="pct"/>
            <w:noWrap w:val="0"/>
            <w:vAlign w:val="center"/>
          </w:tcPr>
          <w:p w14:paraId="188091A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政府信息公开工作年度报告</w:t>
            </w:r>
          </w:p>
        </w:tc>
        <w:tc>
          <w:tcPr>
            <w:tcW w:w="490" w:type="pct"/>
            <w:noWrap w:val="0"/>
            <w:vAlign w:val="center"/>
          </w:tcPr>
          <w:p w14:paraId="48373E7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主动公开政府信息情况，收到和处理政府信息公开申请的情况，因政府信息公开工作被申请行政复议、提起行政诉讼的情况，政府信息公开存在的主要问题及改进情况，其他需要报告的情况</w:t>
            </w:r>
          </w:p>
        </w:tc>
        <w:tc>
          <w:tcPr>
            <w:tcW w:w="485" w:type="pct"/>
            <w:noWrap w:val="0"/>
            <w:vAlign w:val="center"/>
          </w:tcPr>
          <w:p w14:paraId="3510633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</w:t>
            </w:r>
          </w:p>
        </w:tc>
        <w:tc>
          <w:tcPr>
            <w:tcW w:w="959" w:type="pct"/>
            <w:noWrap w:val="0"/>
            <w:vAlign w:val="center"/>
          </w:tcPr>
          <w:p w14:paraId="7A74859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第十条行政机关制作的政府信息，由制作该政府信息的行政机关负责公开。行政机关从公民、法人和其他组织获取的政府信息，由保存该政府信息的行政机关负责公开；行政机关获取的其他行政机关的政府信息，由制作或者最初获取该政府信息的行政机关负责公开。法律、法规对政府信息公开的权限另有规定的，从其规定。</w:t>
            </w:r>
          </w:p>
          <w:p w14:paraId="5E5BED7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  <w:p w14:paraId="061131C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658" w:type="pct"/>
            <w:noWrap w:val="0"/>
            <w:vAlign w:val="center"/>
          </w:tcPr>
          <w:p w14:paraId="3EE2E07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自政府信息形成或变更之日起20个工作日内。</w:t>
            </w:r>
          </w:p>
        </w:tc>
        <w:tc>
          <w:tcPr>
            <w:tcW w:w="318" w:type="pct"/>
            <w:noWrap w:val="0"/>
            <w:vAlign w:val="center"/>
          </w:tcPr>
          <w:p w14:paraId="73A17F9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36BEDCB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1FAB55EA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3A5494C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47F61F6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00C319D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332221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2956518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656D437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财政预算决算情况</w:t>
            </w:r>
          </w:p>
        </w:tc>
        <w:tc>
          <w:tcPr>
            <w:tcW w:w="490" w:type="pct"/>
            <w:noWrap w:val="0"/>
            <w:vAlign w:val="center"/>
          </w:tcPr>
          <w:p w14:paraId="4D1B737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经财政部门批复的预算、决算、报表</w:t>
            </w:r>
          </w:p>
        </w:tc>
        <w:tc>
          <w:tcPr>
            <w:tcW w:w="485" w:type="pct"/>
            <w:noWrap w:val="0"/>
            <w:vAlign w:val="center"/>
          </w:tcPr>
          <w:p w14:paraId="648E75C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</w:t>
            </w:r>
            <w:bookmarkStart w:id="0" w:name="_GoBack"/>
            <w:bookmarkEnd w:id="0"/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《中华人民共和国预算法》</w:t>
            </w:r>
          </w:p>
        </w:tc>
        <w:tc>
          <w:tcPr>
            <w:tcW w:w="959" w:type="pct"/>
            <w:noWrap w:val="0"/>
            <w:vAlign w:val="center"/>
          </w:tcPr>
          <w:p w14:paraId="1A62CA6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第三章第十九条对涉及公众利益调整、需要公众广泛知晓或者需要公众参与决策的政府信息，行政机关应当主动公开。</w:t>
            </w:r>
          </w:p>
          <w:p w14:paraId="308254C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64E1184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财政部门批复后20个工作日内予以公开</w:t>
            </w:r>
          </w:p>
        </w:tc>
        <w:tc>
          <w:tcPr>
            <w:tcW w:w="318" w:type="pct"/>
            <w:noWrap w:val="0"/>
            <w:vAlign w:val="center"/>
          </w:tcPr>
          <w:p w14:paraId="58A197F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7EBD079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390DC35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6EB8E67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1ABAC391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399C749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  <w:tr w14:paraId="0011D7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323" w:type="pct"/>
            <w:vMerge w:val="continue"/>
            <w:noWrap w:val="0"/>
            <w:vAlign w:val="center"/>
          </w:tcPr>
          <w:p w14:paraId="13769D3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14" w:type="pct"/>
            <w:noWrap w:val="0"/>
            <w:vAlign w:val="center"/>
          </w:tcPr>
          <w:p w14:paraId="15AC9DD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政府招标采购</w:t>
            </w:r>
          </w:p>
        </w:tc>
        <w:tc>
          <w:tcPr>
            <w:tcW w:w="490" w:type="pct"/>
            <w:noWrap w:val="0"/>
            <w:vAlign w:val="center"/>
          </w:tcPr>
          <w:p w14:paraId="551FF46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招标时间、招标地点、招标程序、投标供应商要求、招标内容、联系方式、支付方式</w:t>
            </w:r>
          </w:p>
        </w:tc>
        <w:tc>
          <w:tcPr>
            <w:tcW w:w="485" w:type="pct"/>
            <w:noWrap w:val="0"/>
            <w:vAlign w:val="center"/>
          </w:tcPr>
          <w:p w14:paraId="21B5F76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《中华人民共和国政府信息公开条例》《中华人民共和国政府采购法》</w:t>
            </w:r>
          </w:p>
        </w:tc>
        <w:tc>
          <w:tcPr>
            <w:tcW w:w="959" w:type="pct"/>
            <w:noWrap w:val="0"/>
            <w:vAlign w:val="center"/>
          </w:tcPr>
          <w:p w14:paraId="706AB3E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第三章第十九条对涉及公众利益调整、需要公众广泛知晓或者需要公众参与决策的政府信息，行政机关应当主动公开。</w:t>
            </w:r>
          </w:p>
          <w:p w14:paraId="2AE04B7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第二十条行政机关应当依照本条例第十九条的规定，主动公开本行政机关的下列政府信息</w:t>
            </w:r>
          </w:p>
        </w:tc>
        <w:tc>
          <w:tcPr>
            <w:tcW w:w="658" w:type="pct"/>
            <w:noWrap w:val="0"/>
            <w:vAlign w:val="center"/>
          </w:tcPr>
          <w:p w14:paraId="43C93EC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招标文件的提供期限自招标文件开始发出之日起不得少于5个工作日。</w:t>
            </w:r>
          </w:p>
        </w:tc>
        <w:tc>
          <w:tcPr>
            <w:tcW w:w="318" w:type="pct"/>
            <w:noWrap w:val="0"/>
            <w:vAlign w:val="center"/>
          </w:tcPr>
          <w:p w14:paraId="796FEDC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杭锦旗信访局</w:t>
            </w:r>
          </w:p>
        </w:tc>
        <w:tc>
          <w:tcPr>
            <w:tcW w:w="329" w:type="pct"/>
            <w:noWrap w:val="0"/>
            <w:vAlign w:val="center"/>
          </w:tcPr>
          <w:p w14:paraId="5C5C66F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法定公开</w:t>
            </w:r>
          </w:p>
        </w:tc>
        <w:tc>
          <w:tcPr>
            <w:tcW w:w="385" w:type="pct"/>
            <w:noWrap w:val="0"/>
            <w:vAlign w:val="center"/>
          </w:tcPr>
          <w:p w14:paraId="3F8B49D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政府网站</w:t>
            </w:r>
          </w:p>
        </w:tc>
        <w:tc>
          <w:tcPr>
            <w:tcW w:w="230" w:type="pct"/>
            <w:noWrap w:val="0"/>
            <w:vAlign w:val="center"/>
          </w:tcPr>
          <w:p w14:paraId="5F26E34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226" w:type="pct"/>
            <w:noWrap w:val="0"/>
            <w:vAlign w:val="center"/>
          </w:tcPr>
          <w:p w14:paraId="45590D5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79" w:type="pct"/>
            <w:noWrap w:val="0"/>
            <w:vAlign w:val="center"/>
          </w:tcPr>
          <w:p w14:paraId="1A71088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theme="minorBidi"/>
                <w:sz w:val="21"/>
                <w:szCs w:val="21"/>
                <w:vertAlign w:val="baseline"/>
                <w:lang w:val="en-US" w:eastAsia="zh-CN"/>
              </w:rPr>
              <w:t>办公室</w:t>
            </w:r>
          </w:p>
        </w:tc>
      </w:tr>
    </w:tbl>
    <w:p w14:paraId="6D2016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jc w:val="center"/>
        <w:textAlignment w:val="auto"/>
        <w:rPr>
          <w:rFonts w:hint="eastAsia" w:ascii="CESI小标宋-GB2312" w:hAnsi="CESI小标宋-GB2312" w:eastAsia="CESI小标宋-GB2312" w:cs="CESI小标宋-GB2312"/>
          <w:sz w:val="44"/>
          <w:szCs w:val="44"/>
        </w:rPr>
      </w:pPr>
    </w:p>
    <w:sectPr>
      <w:pgSz w:w="16838" w:h="11906" w:orient="landscape"/>
      <w:pgMar w:top="1587" w:right="2098" w:bottom="1474" w:left="1984" w:header="851" w:footer="992" w:gutter="0"/>
      <w:cols w:space="72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ESI小标宋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瀹嬩綋">
    <w:altName w:val="方正公文小标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059">
    <w:altName w:val="Segoe Print"/>
    <w:panose1 w:val="00000500000000000000"/>
    <w:charset w:val="00"/>
    <w:family w:val="auto"/>
    <w:pitch w:val="default"/>
    <w:sig w:usb0="00000000" w:usb1="00000000" w:usb2="00000000" w:usb3="00000000" w:csb0="6000009F" w:csb1="00000000"/>
  </w:font>
  <w:font w:name="仿宋_GB2312">
    <w:altName w:val="仿宋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鏂规灏忔爣瀹嬬畝浣?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DBBC680"/>
    <w:rsid w:val="15DC6CB4"/>
    <w:rsid w:val="26AF2A94"/>
    <w:rsid w:val="47D452D0"/>
    <w:rsid w:val="7FDF8DE8"/>
    <w:rsid w:val="7FEDC85D"/>
    <w:rsid w:val="CDBBC680"/>
    <w:rsid w:val="DFFFC5B1"/>
    <w:rsid w:val="F33F8E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HTML Preformatted"/>
    <w:basedOn w:val="1"/>
    <w:qFormat/>
    <w:uiPriority w:val="0"/>
    <w:pPr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styleId="5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2902</Words>
  <Characters>2916</Characters>
  <Lines>0</Lines>
  <Paragraphs>0</Paragraphs>
  <TotalTime>8</TotalTime>
  <ScaleCrop>false</ScaleCrop>
  <LinksUpToDate>false</LinksUpToDate>
  <CharactersWithSpaces>2916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2025-03-11T15:22:00Z</dcterms:created>
  <dc:creator>kylin</dc:creator>
  <cp:lastModifiedBy>火龙果</cp:lastModifiedBy>
  <dcterms:modified xsi:type="dcterms:W3CDTF">2025-03-13T02:54:13Z</dcterms:modified>
  <dc:title>杭锦旗信访局主动公开事项目录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60A7229741C4D6172150D167FDD15376</vt:lpwstr>
  </property>
  <property fmtid="{D5CDD505-2E9C-101B-9397-08002B2CF9AE}" pid="4" name="KSOTemplateDocerSaveRecord">
    <vt:lpwstr>eyJoZGlkIjoiM2M1MzQ5YjJjYTY4ZmZjN2I1YmFhNzM4MjFjYTdlY2IiLCJ1c2VySWQiOiIzMjc5MTc5NjUifQ==</vt:lpwstr>
  </property>
</Properties>
</file>