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194" w:lineRule="auto"/>
        <w:ind w:left="772"/>
        <w:outlineLvl w:val="0"/>
        <w:rPr>
          <w:rFonts w:ascii="宋体" w:hAnsi="宋体" w:eastAsia="宋体" w:cs="宋体"/>
          <w:sz w:val="35"/>
          <w:szCs w:val="35"/>
        </w:rPr>
      </w:pPr>
      <w:r>
        <w:rPr>
          <w:rFonts w:ascii="宋体" w:hAnsi="宋体" w:eastAsia="宋体" w:cs="宋体"/>
          <w:spacing w:val="11"/>
          <w:sz w:val="35"/>
          <w:szCs w:val="35"/>
          <w14:textOutline w14:w="6449" w14:cap="sq" w14:cmpd="sng">
            <w14:solidFill>
              <w14:srgbClr w14:val="000000"/>
            </w14:solidFill>
            <w14:prstDash w14:val="solid"/>
            <w14:bevel/>
          </w14:textOutline>
        </w:rPr>
        <w:t>内蒙古华洲药业有限公司危险化学品重点县专家指导服务核查问题及整改建议汇总表</w:t>
      </w: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216"/>
        <w:gridCol w:w="3756"/>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620" w:type="dxa"/>
            <w:vMerge w:val="restart"/>
            <w:tcBorders>
              <w:bottom w:val="nil"/>
            </w:tcBorders>
            <w:vAlign w:val="top"/>
          </w:tcPr>
          <w:p>
            <w:pPr>
              <w:pStyle w:val="6"/>
              <w:spacing w:before="274" w:line="229" w:lineRule="auto"/>
              <w:ind w:left="125"/>
            </w:pPr>
            <w:r>
              <w:rPr>
                <w:spacing w:val="6"/>
                <w14:textOutline w14:w="3394" w14:cap="sq" w14:cmpd="sng">
                  <w14:solidFill>
                    <w14:srgbClr w14:val="000000"/>
                  </w14:solidFill>
                  <w14:prstDash w14:val="solid"/>
                  <w14:bevel/>
                </w14:textOutline>
              </w:rPr>
              <w:t>专业</w:t>
            </w:r>
          </w:p>
        </w:tc>
        <w:tc>
          <w:tcPr>
            <w:tcW w:w="556" w:type="dxa"/>
            <w:vMerge w:val="restart"/>
            <w:tcBorders>
              <w:bottom w:val="nil"/>
            </w:tcBorders>
            <w:vAlign w:val="top"/>
          </w:tcPr>
          <w:p>
            <w:pPr>
              <w:pStyle w:val="6"/>
              <w:spacing w:before="274" w:line="230" w:lineRule="auto"/>
              <w:ind w:left="86"/>
            </w:pPr>
            <w:r>
              <w:rPr>
                <w:spacing w:val="7"/>
                <w14:textOutline w14:w="3394" w14:cap="sq" w14:cmpd="sng">
                  <w14:solidFill>
                    <w14:srgbClr w14:val="000000"/>
                  </w14:solidFill>
                  <w14:prstDash w14:val="solid"/>
                  <w14:bevel/>
                </w14:textOutline>
              </w:rPr>
              <w:t>序号</w:t>
            </w:r>
          </w:p>
        </w:tc>
        <w:tc>
          <w:tcPr>
            <w:tcW w:w="1216" w:type="dxa"/>
            <w:vMerge w:val="restart"/>
            <w:tcBorders>
              <w:bottom w:val="nil"/>
            </w:tcBorders>
            <w:vAlign w:val="top"/>
          </w:tcPr>
          <w:p>
            <w:pPr>
              <w:pStyle w:val="6"/>
              <w:spacing w:before="160" w:line="232"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756" w:type="dxa"/>
            <w:vMerge w:val="restart"/>
            <w:tcBorders>
              <w:bottom w:val="nil"/>
            </w:tcBorders>
            <w:vAlign w:val="top"/>
          </w:tcPr>
          <w:p>
            <w:pPr>
              <w:pStyle w:val="6"/>
              <w:spacing w:before="274" w:line="231" w:lineRule="auto"/>
              <w:ind w:left="1575"/>
            </w:pPr>
            <w:r>
              <w:rPr>
                <w:spacing w:val="4"/>
                <w14:textOutline w14:w="3394" w14:cap="sq" w14:cmpd="sng">
                  <w14:solidFill>
                    <w14:srgbClr w14:val="000000"/>
                  </w14:solidFill>
                  <w14:prstDash w14:val="solid"/>
                  <w14:bevel/>
                </w14:textOutline>
              </w:rPr>
              <w:t>问题描述</w:t>
            </w:r>
          </w:p>
        </w:tc>
        <w:tc>
          <w:tcPr>
            <w:tcW w:w="4318" w:type="dxa"/>
            <w:vMerge w:val="restart"/>
            <w:tcBorders>
              <w:bottom w:val="nil"/>
            </w:tcBorders>
            <w:vAlign w:val="top"/>
          </w:tcPr>
          <w:p>
            <w:pPr>
              <w:pStyle w:val="6"/>
              <w:spacing w:before="273" w:line="229" w:lineRule="auto"/>
              <w:ind w:left="1786"/>
            </w:pPr>
            <w:r>
              <w:rPr>
                <w:spacing w:val="9"/>
                <w14:textOutline w14:w="3394" w14:cap="sq" w14:cmpd="sng">
                  <w14:solidFill>
                    <w14:srgbClr w14:val="000000"/>
                  </w14:solidFill>
                  <w14:prstDash w14:val="solid"/>
                  <w14:bevel/>
                </w14:textOutline>
              </w:rPr>
              <w:t>整改建议</w:t>
            </w:r>
          </w:p>
        </w:tc>
        <w:tc>
          <w:tcPr>
            <w:tcW w:w="3315" w:type="dxa"/>
            <w:gridSpan w:val="3"/>
            <w:vAlign w:val="top"/>
          </w:tcPr>
          <w:p>
            <w:pPr>
              <w:pStyle w:val="6"/>
              <w:spacing w:before="31" w:line="198" w:lineRule="auto"/>
              <w:ind w:left="1391"/>
            </w:pPr>
            <w:r>
              <w:rPr>
                <w:spacing w:val="5"/>
                <w14:textOutline w14:w="3394" w14:cap="sq" w14:cmpd="sng">
                  <w14:solidFill>
                    <w14:srgbClr w14:val="000000"/>
                  </w14:solidFill>
                  <w14:prstDash w14:val="solid"/>
                  <w14:bevel/>
                </w14:textOutline>
              </w:rPr>
              <w:t>归属√</w:t>
            </w:r>
          </w:p>
        </w:tc>
        <w:tc>
          <w:tcPr>
            <w:tcW w:w="891" w:type="dxa"/>
            <w:vMerge w:val="restart"/>
            <w:tcBorders>
              <w:bottom w:val="nil"/>
            </w:tcBorders>
            <w:vAlign w:val="top"/>
          </w:tcPr>
          <w:p>
            <w:pPr>
              <w:pStyle w:val="6"/>
              <w:spacing w:before="26" w:line="229" w:lineRule="auto"/>
              <w:ind w:left="63"/>
              <w:rPr>
                <w:sz w:val="19"/>
                <w:szCs w:val="19"/>
              </w:rPr>
            </w:pPr>
            <w:r>
              <w:rPr>
                <w:spacing w:val="7"/>
                <w:sz w:val="19"/>
                <w:szCs w:val="19"/>
                <w14:textOutline w14:w="3572" w14:cap="sq" w14:cmpd="sng">
                  <w14:solidFill>
                    <w14:srgbClr w14:val="000000"/>
                  </w14:solidFill>
                  <w14:prstDash w14:val="solid"/>
                  <w14:bevel/>
                </w14:textOutline>
              </w:rPr>
              <w:t>是否构成</w:t>
            </w:r>
          </w:p>
          <w:p>
            <w:pPr>
              <w:pStyle w:val="6"/>
              <w:spacing w:before="6" w:line="229" w:lineRule="auto"/>
              <w:ind w:left="60"/>
              <w:rPr>
                <w:sz w:val="19"/>
                <w:szCs w:val="19"/>
              </w:rPr>
            </w:pPr>
            <w:r>
              <w:rPr>
                <w:spacing w:val="8"/>
                <w:sz w:val="19"/>
                <w:szCs w:val="19"/>
                <w14:textOutline w14:w="3572" w14:cap="sq" w14:cmpd="sng">
                  <w14:solidFill>
                    <w14:srgbClr w14:val="000000"/>
                  </w14:solidFill>
                  <w14:prstDash w14:val="solid"/>
                  <w14:bevel/>
                </w14:textOutline>
              </w:rPr>
              <w:t>重大隐患</w:t>
            </w:r>
          </w:p>
          <w:p>
            <w:pPr>
              <w:pStyle w:val="6"/>
              <w:spacing w:before="4" w:line="193" w:lineRule="auto"/>
              <w:ind w:left="406"/>
              <w:rPr>
                <w:sz w:val="19"/>
                <w:szCs w:val="19"/>
              </w:rPr>
            </w:pP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20" w:type="dxa"/>
            <w:vMerge w:val="continue"/>
            <w:tcBorders>
              <w:top w:val="nil"/>
            </w:tcBorders>
            <w:vAlign w:val="top"/>
          </w:tcPr>
          <w:p>
            <w:pPr>
              <w:rPr>
                <w:rFonts w:ascii="Arial"/>
                <w:sz w:val="21"/>
              </w:rPr>
            </w:pPr>
          </w:p>
        </w:tc>
        <w:tc>
          <w:tcPr>
            <w:tcW w:w="556" w:type="dxa"/>
            <w:vMerge w:val="continue"/>
            <w:tcBorders>
              <w:top w:val="nil"/>
            </w:tcBorders>
            <w:vAlign w:val="top"/>
          </w:tcPr>
          <w:p>
            <w:pPr>
              <w:rPr>
                <w:rFonts w:ascii="Arial"/>
                <w:sz w:val="21"/>
              </w:rPr>
            </w:pPr>
          </w:p>
        </w:tc>
        <w:tc>
          <w:tcPr>
            <w:tcW w:w="1216" w:type="dxa"/>
            <w:vMerge w:val="continue"/>
            <w:tcBorders>
              <w:top w:val="nil"/>
            </w:tcBorders>
            <w:vAlign w:val="top"/>
          </w:tcPr>
          <w:p>
            <w:pPr>
              <w:rPr>
                <w:rFonts w:ascii="Arial"/>
                <w:sz w:val="21"/>
              </w:rPr>
            </w:pPr>
          </w:p>
        </w:tc>
        <w:tc>
          <w:tcPr>
            <w:tcW w:w="3756" w:type="dxa"/>
            <w:vMerge w:val="continue"/>
            <w:tcBorders>
              <w:top w:val="nil"/>
            </w:tcBorders>
            <w:vAlign w:val="top"/>
          </w:tcPr>
          <w:p>
            <w:pPr>
              <w:rPr>
                <w:rFonts w:ascii="Arial"/>
                <w:sz w:val="21"/>
              </w:rPr>
            </w:pPr>
          </w:p>
        </w:tc>
        <w:tc>
          <w:tcPr>
            <w:tcW w:w="4318" w:type="dxa"/>
            <w:vMerge w:val="continue"/>
            <w:tcBorders>
              <w:top w:val="nil"/>
            </w:tcBorders>
            <w:vAlign w:val="top"/>
          </w:tcPr>
          <w:p>
            <w:pPr>
              <w:rPr>
                <w:rFonts w:ascii="Arial"/>
                <w:sz w:val="21"/>
              </w:rPr>
            </w:pP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144"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144" w:line="229" w:lineRule="auto"/>
              <w:ind w:left="220"/>
            </w:pPr>
            <w:r>
              <w:rPr>
                <w:spacing w:val="8"/>
                <w14:textOutline w14:w="3394" w14:cap="sq" w14:cmpd="sng">
                  <w14:solidFill>
                    <w14:srgbClr w14:val="000000"/>
                  </w14:solidFill>
                  <w14:prstDash w14:val="solid"/>
                  <w14:bevel/>
                </w14:textOutline>
              </w:rPr>
              <w:t>现场类</w:t>
            </w:r>
          </w:p>
        </w:tc>
        <w:tc>
          <w:tcPr>
            <w:tcW w:w="891"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 w:hRule="atLeast"/>
        </w:trPr>
        <w:tc>
          <w:tcPr>
            <w:tcW w:w="620" w:type="dxa"/>
            <w:vAlign w:val="top"/>
          </w:tcPr>
          <w:p>
            <w:pPr>
              <w:pStyle w:val="6"/>
              <w:spacing w:before="54" w:line="167" w:lineRule="auto"/>
              <w:ind w:left="280"/>
            </w:pPr>
            <w:r>
              <w:rPr>
                <w14:textOutline w14:w="3394" w14:cap="sq" w14:cmpd="sng">
                  <w14:solidFill>
                    <w14:srgbClr w14:val="000000"/>
                  </w14:solidFill>
                  <w14:prstDash w14:val="solid"/>
                  <w14:bevel/>
                </w14:textOutline>
              </w:rPr>
              <w:t>1</w:t>
            </w:r>
          </w:p>
        </w:tc>
        <w:tc>
          <w:tcPr>
            <w:tcW w:w="556" w:type="dxa"/>
            <w:vAlign w:val="top"/>
          </w:tcPr>
          <w:p>
            <w:pPr>
              <w:pStyle w:val="6"/>
              <w:spacing w:before="55" w:line="166" w:lineRule="auto"/>
              <w:ind w:left="234"/>
            </w:pPr>
            <w:r>
              <w:rPr>
                <w14:textOutline w14:w="3394" w14:cap="sq" w14:cmpd="sng">
                  <w14:solidFill>
                    <w14:srgbClr w14:val="000000"/>
                  </w14:solidFill>
                  <w14:prstDash w14:val="solid"/>
                  <w14:bevel/>
                </w14:textOutline>
              </w:rPr>
              <w:t>2</w:t>
            </w:r>
          </w:p>
        </w:tc>
        <w:tc>
          <w:tcPr>
            <w:tcW w:w="1216" w:type="dxa"/>
            <w:vAlign w:val="top"/>
          </w:tcPr>
          <w:p>
            <w:pPr>
              <w:pStyle w:val="6"/>
              <w:spacing w:before="55" w:line="166" w:lineRule="auto"/>
              <w:ind w:left="514"/>
            </w:pPr>
            <w:r>
              <w:rPr>
                <w14:textOutline w14:w="3394" w14:cap="sq" w14:cmpd="sng">
                  <w14:solidFill>
                    <w14:srgbClr w14:val="000000"/>
                  </w14:solidFill>
                  <w14:prstDash w14:val="solid"/>
                  <w14:bevel/>
                </w14:textOutline>
              </w:rPr>
              <w:t>3</w:t>
            </w:r>
          </w:p>
        </w:tc>
        <w:tc>
          <w:tcPr>
            <w:tcW w:w="3756" w:type="dxa"/>
            <w:vAlign w:val="top"/>
          </w:tcPr>
          <w:p>
            <w:pPr>
              <w:pStyle w:val="6"/>
              <w:spacing w:before="55" w:line="166" w:lineRule="auto"/>
              <w:ind w:left="1887"/>
            </w:pPr>
            <w:r>
              <w:rPr>
                <w14:textOutline w14:w="3394" w14:cap="sq" w14:cmpd="sng">
                  <w14:solidFill>
                    <w14:srgbClr w14:val="000000"/>
                  </w14:solidFill>
                  <w14:prstDash w14:val="solid"/>
                  <w14:bevel/>
                </w14:textOutline>
              </w:rPr>
              <w:t>4</w:t>
            </w:r>
          </w:p>
        </w:tc>
        <w:tc>
          <w:tcPr>
            <w:tcW w:w="4318" w:type="dxa"/>
            <w:vAlign w:val="top"/>
          </w:tcPr>
          <w:p>
            <w:pPr>
              <w:pStyle w:val="6"/>
              <w:spacing w:before="56" w:line="165" w:lineRule="auto"/>
              <w:ind w:left="2123"/>
            </w:pPr>
            <w:r>
              <w:rPr>
                <w14:textOutline w14:w="3394" w14:cap="sq" w14:cmpd="sng">
                  <w14:solidFill>
                    <w14:srgbClr w14:val="000000"/>
                  </w14:solidFill>
                  <w14:prstDash w14:val="solid"/>
                  <w14:bevel/>
                </w14:textOutline>
              </w:rPr>
              <w:t>5</w:t>
            </w:r>
          </w:p>
        </w:tc>
        <w:tc>
          <w:tcPr>
            <w:tcW w:w="1091" w:type="dxa"/>
            <w:vAlign w:val="top"/>
          </w:tcPr>
          <w:p>
            <w:pPr>
              <w:pStyle w:val="6"/>
              <w:spacing w:before="55" w:line="166" w:lineRule="auto"/>
              <w:ind w:left="510"/>
            </w:pPr>
            <w:r>
              <w:rPr>
                <w14:textOutline w14:w="3394" w14:cap="sq" w14:cmpd="sng">
                  <w14:solidFill>
                    <w14:srgbClr w14:val="000000"/>
                  </w14:solidFill>
                  <w14:prstDash w14:val="solid"/>
                  <w14:bevel/>
                </w14:textOutline>
              </w:rPr>
              <w:t>6</w:t>
            </w:r>
          </w:p>
        </w:tc>
        <w:tc>
          <w:tcPr>
            <w:tcW w:w="1244" w:type="dxa"/>
            <w:vAlign w:val="top"/>
          </w:tcPr>
          <w:p>
            <w:pPr>
              <w:pStyle w:val="6"/>
              <w:spacing w:before="56" w:line="165" w:lineRule="auto"/>
              <w:ind w:left="593"/>
            </w:pPr>
            <w:r>
              <w:rPr>
                <w14:textOutline w14:w="3394" w14:cap="sq" w14:cmpd="sng">
                  <w14:solidFill>
                    <w14:srgbClr w14:val="000000"/>
                  </w14:solidFill>
                  <w14:prstDash w14:val="solid"/>
                  <w14:bevel/>
                </w14:textOutline>
              </w:rPr>
              <w:t>7</w:t>
            </w:r>
          </w:p>
        </w:tc>
        <w:tc>
          <w:tcPr>
            <w:tcW w:w="980" w:type="dxa"/>
            <w:vAlign w:val="top"/>
          </w:tcPr>
          <w:p>
            <w:pPr>
              <w:pStyle w:val="6"/>
              <w:spacing w:before="55" w:line="166" w:lineRule="auto"/>
              <w:ind w:left="457"/>
            </w:pPr>
            <w:r>
              <w:rPr>
                <w14:textOutline w14:w="3394" w14:cap="sq" w14:cmpd="sng">
                  <w14:solidFill>
                    <w14:srgbClr w14:val="000000"/>
                  </w14:solidFill>
                  <w14:prstDash w14:val="solid"/>
                  <w14:bevel/>
                </w14:textOutline>
              </w:rPr>
              <w:t>8</w:t>
            </w:r>
          </w:p>
        </w:tc>
        <w:tc>
          <w:tcPr>
            <w:tcW w:w="891" w:type="dxa"/>
            <w:vAlign w:val="top"/>
          </w:tcPr>
          <w:p>
            <w:pPr>
              <w:pStyle w:val="6"/>
              <w:spacing w:before="55" w:line="166" w:lineRule="auto"/>
              <w:ind w:left="410"/>
            </w:pPr>
            <w:r>
              <w:rPr>
                <w14:textOutline w14:w="3394" w14:cap="sq" w14:cmpd="sng">
                  <w14:solidFill>
                    <w14:srgbClr w14:val="000000"/>
                  </w14:solidFill>
                  <w14:prstDash w14:val="solid"/>
                  <w14:bevel/>
                </w14:textOutline>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62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8" w:line="234" w:lineRule="auto"/>
              <w:ind w:left="128" w:right="106" w:hanging="3"/>
              <w:jc w:val="both"/>
            </w:pPr>
            <w:r>
              <w:rPr>
                <w:spacing w:val="6"/>
                <w14:textOutline w14:w="3394" w14:cap="sq" w14:cmpd="sng">
                  <w14:solidFill>
                    <w14:srgbClr w14:val="000000"/>
                  </w14:solidFill>
                  <w14:prstDash w14:val="solid"/>
                  <w14:bevel/>
                </w14:textOutline>
              </w:rPr>
              <w:t>作业</w:t>
            </w:r>
            <w:r>
              <w:t xml:space="preserve"> </w:t>
            </w:r>
            <w:r>
              <w:rPr>
                <w:spacing w:val="5"/>
                <w14:textOutline w14:w="3394" w14:cap="sq" w14:cmpd="sng">
                  <w14:solidFill>
                    <w14:srgbClr w14:val="000000"/>
                  </w14:solidFill>
                  <w14:prstDash w14:val="solid"/>
                  <w14:bevel/>
                </w14:textOutline>
              </w:rPr>
              <w:t>安全</w:t>
            </w:r>
            <w:r>
              <w:t xml:space="preserve"> </w:t>
            </w:r>
            <w:r>
              <w:rPr>
                <w:spacing w:val="5"/>
                <w14:textOutline w14:w="3394" w14:cap="sq" w14:cmpd="sng">
                  <w14:solidFill>
                    <w14:srgbClr w14:val="000000"/>
                  </w14:solidFill>
                  <w14:prstDash w14:val="solid"/>
                  <w14:bevel/>
                </w14:textOutline>
              </w:rPr>
              <w:t>管理</w:t>
            </w:r>
          </w:p>
        </w:tc>
        <w:tc>
          <w:tcPr>
            <w:tcW w:w="556" w:type="dxa"/>
            <w:vAlign w:val="top"/>
          </w:tcPr>
          <w:p>
            <w:pPr>
              <w:spacing w:line="357" w:lineRule="auto"/>
              <w:rPr>
                <w:rFonts w:ascii="Arial"/>
                <w:sz w:val="21"/>
              </w:rPr>
            </w:pPr>
          </w:p>
          <w:p>
            <w:pPr>
              <w:pStyle w:val="6"/>
              <w:spacing w:before="59" w:line="189" w:lineRule="auto"/>
              <w:ind w:left="233"/>
            </w:pPr>
            <w:r>
              <w:t>0</w:t>
            </w:r>
          </w:p>
        </w:tc>
        <w:tc>
          <w:tcPr>
            <w:tcW w:w="1216" w:type="dxa"/>
            <w:vAlign w:val="top"/>
          </w:tcPr>
          <w:p>
            <w:pPr>
              <w:spacing w:line="356" w:lineRule="auto"/>
              <w:rPr>
                <w:rFonts w:ascii="Arial"/>
                <w:sz w:val="21"/>
              </w:rPr>
            </w:pPr>
          </w:p>
          <w:p>
            <w:pPr>
              <w:pStyle w:val="6"/>
              <w:spacing w:before="59" w:line="190" w:lineRule="auto"/>
              <w:ind w:left="335"/>
            </w:pPr>
            <w:r>
              <w:t>1.1.1</w:t>
            </w:r>
          </w:p>
        </w:tc>
        <w:tc>
          <w:tcPr>
            <w:tcW w:w="3756" w:type="dxa"/>
            <w:vAlign w:val="top"/>
          </w:tcPr>
          <w:p>
            <w:pPr>
              <w:pStyle w:val="6"/>
              <w:spacing w:before="271" w:line="232" w:lineRule="auto"/>
              <w:ind w:left="49" w:right="2" w:hanging="9"/>
            </w:pPr>
            <w:r>
              <w:rPr>
                <w:spacing w:val="9"/>
              </w:rPr>
              <w:t>《受限空间作业管理制度》中无承包商受限空间作业全过程视频监控的管理要求。</w:t>
            </w:r>
          </w:p>
        </w:tc>
        <w:tc>
          <w:tcPr>
            <w:tcW w:w="4318" w:type="dxa"/>
            <w:vAlign w:val="top"/>
          </w:tcPr>
          <w:p>
            <w:pPr>
              <w:pStyle w:val="6"/>
              <w:spacing w:before="40" w:line="230" w:lineRule="auto"/>
              <w:ind w:left="39"/>
              <w:jc w:val="both"/>
            </w:pPr>
            <w:r>
              <w:rPr>
                <w:spacing w:val="9"/>
              </w:rPr>
              <w:t>按照《化工过程安全管理导则》（AQ/T3034- 2022）第4.14.7条的要求，对承包商作业进行全程安全监管，对特级动火作业、受限空间作业应全程视频监控。</w:t>
            </w:r>
          </w:p>
        </w:tc>
        <w:tc>
          <w:tcPr>
            <w:tcW w:w="1091" w:type="dxa"/>
            <w:vAlign w:val="top"/>
          </w:tcPr>
          <w:p>
            <w:pPr>
              <w:spacing w:line="327" w:lineRule="auto"/>
              <w:rPr>
                <w:rFonts w:ascii="Arial"/>
                <w:sz w:val="21"/>
              </w:rPr>
            </w:pPr>
          </w:p>
          <w:p>
            <w:pPr>
              <w:pStyle w:val="6"/>
              <w:spacing w:before="58" w:line="242"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6"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9" w:line="190" w:lineRule="auto"/>
              <w:ind w:left="245"/>
            </w:pPr>
            <w:r>
              <w:t>1</w:t>
            </w:r>
          </w:p>
        </w:tc>
        <w:tc>
          <w:tcPr>
            <w:tcW w:w="1216"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9" w:line="190" w:lineRule="auto"/>
              <w:ind w:left="335"/>
            </w:pPr>
            <w:r>
              <w:t>1.1.2</w:t>
            </w:r>
          </w:p>
        </w:tc>
        <w:tc>
          <w:tcPr>
            <w:tcW w:w="375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9"/>
                <w:kern w:val="0"/>
                <w:sz w:val="18"/>
                <w:szCs w:val="18"/>
                <w:lang w:val="en-US" w:eastAsia="en-US" w:bidi="ar-SA"/>
              </w:rPr>
            </w:pPr>
            <w:r>
              <w:rPr>
                <w:rFonts w:ascii="宋体" w:hAnsi="宋体" w:eastAsia="宋体" w:cs="宋体"/>
                <w:snapToGrid w:val="0"/>
                <w:color w:val="000000"/>
                <w:spacing w:val="9"/>
                <w:kern w:val="0"/>
                <w:sz w:val="18"/>
                <w:szCs w:val="18"/>
                <w:lang w:val="en-US" w:eastAsia="en-US" w:bidi="ar-SA"/>
              </w:rPr>
              <w:t>1.2023年11月2日二车间临时用电作业票（编 号：C02-D-2311002）中无“用电人 ”栏。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9"/>
                <w:kern w:val="0"/>
                <w:sz w:val="18"/>
                <w:szCs w:val="18"/>
                <w:lang w:val="en-US" w:eastAsia="en-US" w:bidi="ar-SA"/>
              </w:rPr>
            </w:pPr>
            <w:r>
              <w:rPr>
                <w:rFonts w:ascii="宋体" w:hAnsi="宋体" w:eastAsia="宋体" w:cs="宋体"/>
                <w:snapToGrid w:val="0"/>
                <w:color w:val="000000"/>
                <w:spacing w:val="9"/>
                <w:kern w:val="0"/>
                <w:sz w:val="18"/>
                <w:szCs w:val="18"/>
                <w:lang w:val="en-US" w:eastAsia="en-US" w:bidi="ar-SA"/>
              </w:rPr>
              <w:t>2.2023年11月2日二车间钢平台切割、焊接一级动火作业票（编号：C02-H-2311002）中未填写关联的临时用电作业票编号；“ 已开展作 业危害分析，制定相应的安全管控措施”栏填写“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8" w:line="235" w:lineRule="auto"/>
              <w:ind w:left="34" w:right="10" w:firstLine="3"/>
              <w:jc w:val="both"/>
            </w:pPr>
          </w:p>
        </w:tc>
        <w:tc>
          <w:tcPr>
            <w:tcW w:w="4318" w:type="dxa"/>
            <w:vAlign w:val="top"/>
          </w:tcPr>
          <w:p>
            <w:pPr>
              <w:spacing w:line="289" w:lineRule="auto"/>
              <w:rPr>
                <w:rFonts w:ascii="Arial"/>
                <w:sz w:val="21"/>
              </w:rPr>
            </w:pPr>
          </w:p>
          <w:p>
            <w:pPr>
              <w:spacing w:line="289" w:lineRule="auto"/>
              <w:rPr>
                <w:rFonts w:ascii="Arial"/>
                <w:sz w:val="21"/>
              </w:rPr>
            </w:pPr>
          </w:p>
          <w:p>
            <w:pPr>
              <w:pStyle w:val="6"/>
              <w:spacing w:before="59" w:line="234" w:lineRule="auto"/>
              <w:ind w:right="8"/>
            </w:pPr>
            <w:r>
              <w:rPr>
                <w:spacing w:val="9"/>
              </w:rPr>
              <w:t>1～3.按照《危险化学品企业特殊作业安全规范》（GB30871-2022）第4.6条、第5条、第10条的要 求，严格履行特殊作业审批手续。</w:t>
            </w:r>
          </w:p>
        </w:tc>
        <w:tc>
          <w:tcPr>
            <w:tcW w:w="1091" w:type="dxa"/>
            <w:vAlign w:val="top"/>
          </w:tcPr>
          <w:p>
            <w:pPr>
              <w:rPr>
                <w:rFonts w:ascii="Arial"/>
                <w:sz w:val="21"/>
              </w:rPr>
            </w:pPr>
          </w:p>
        </w:tc>
        <w:tc>
          <w:tcPr>
            <w:tcW w:w="1244"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59"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continue"/>
            <w:tcBorders>
              <w:top w:val="nil"/>
              <w:bottom w:val="nil"/>
            </w:tcBorders>
            <w:vAlign w:val="top"/>
          </w:tcPr>
          <w:p>
            <w:pPr>
              <w:rPr>
                <w:rFonts w:ascii="Arial"/>
                <w:sz w:val="21"/>
              </w:rPr>
            </w:pPr>
          </w:p>
        </w:tc>
        <w:tc>
          <w:tcPr>
            <w:tcW w:w="556" w:type="dxa"/>
            <w:vAlign w:val="top"/>
          </w:tcPr>
          <w:p>
            <w:pPr>
              <w:rPr>
                <w:rFonts w:ascii="Arial"/>
                <w:sz w:val="21"/>
              </w:rPr>
            </w:pPr>
          </w:p>
        </w:tc>
        <w:tc>
          <w:tcPr>
            <w:tcW w:w="1216" w:type="dxa"/>
            <w:vAlign w:val="top"/>
          </w:tcPr>
          <w:p>
            <w:pPr>
              <w:spacing w:line="300" w:lineRule="auto"/>
              <w:rPr>
                <w:rFonts w:ascii="Arial"/>
                <w:sz w:val="21"/>
              </w:rPr>
            </w:pPr>
          </w:p>
          <w:p>
            <w:pPr>
              <w:spacing w:line="300" w:lineRule="auto"/>
              <w:rPr>
                <w:rFonts w:ascii="Arial"/>
                <w:sz w:val="21"/>
              </w:rPr>
            </w:pPr>
          </w:p>
          <w:p>
            <w:pPr>
              <w:pStyle w:val="6"/>
              <w:spacing w:before="59" w:line="190" w:lineRule="auto"/>
              <w:ind w:left="335"/>
            </w:pPr>
            <w:r>
              <w:t>1.1.2</w:t>
            </w:r>
          </w:p>
        </w:tc>
        <w:tc>
          <w:tcPr>
            <w:tcW w:w="3756" w:type="dxa"/>
            <w:vAlign w:val="top"/>
          </w:tcPr>
          <w:p>
            <w:pPr>
              <w:pStyle w:val="6"/>
              <w:spacing w:before="56" w:line="233" w:lineRule="auto"/>
              <w:ind w:left="35" w:right="2" w:firstLine="1"/>
              <w:jc w:val="both"/>
            </w:pPr>
            <w:r>
              <w:rPr>
                <w:spacing w:val="17"/>
              </w:rPr>
              <w:t>2023年11月至2024年2月三车间检修、技改</w:t>
            </w:r>
            <w:r>
              <w:rPr>
                <w:spacing w:val="9"/>
              </w:rPr>
              <w:t>（拆除精馏塔，增加换热器及物料管线、增加</w:t>
            </w:r>
            <w:r>
              <w:rPr>
                <w:spacing w:val="14"/>
              </w:rPr>
              <w:t xml:space="preserve"> </w:t>
            </w:r>
            <w:r>
              <w:rPr>
                <w:spacing w:val="12"/>
              </w:rPr>
              <w:t>吊装孔等</w:t>
            </w:r>
            <w:r>
              <w:rPr>
                <w:spacing w:val="6"/>
              </w:rPr>
              <w:t>）</w:t>
            </w:r>
            <w:r>
              <w:rPr>
                <w:spacing w:val="-50"/>
              </w:rPr>
              <w:t xml:space="preserve"> </w:t>
            </w:r>
            <w:r>
              <w:rPr>
                <w:spacing w:val="6"/>
              </w:rPr>
              <w:t>，</w:t>
            </w:r>
            <w:r>
              <w:rPr>
                <w:spacing w:val="12"/>
              </w:rPr>
              <w:t>涉及动火作业，仅提供了11月2</w:t>
            </w:r>
            <w:r>
              <w:t xml:space="preserve"> </w:t>
            </w:r>
            <w:r>
              <w:rPr>
                <w:spacing w:val="14"/>
              </w:rPr>
              <w:t>日、3日钢平台切割焊接作业票，未提供三车</w:t>
            </w:r>
            <w:r>
              <w:rPr>
                <w:spacing w:val="10"/>
              </w:rPr>
              <w:t>间平台增加换热器、钢支架、地面吊装孔动火</w:t>
            </w:r>
            <w:r>
              <w:rPr>
                <w:spacing w:val="5"/>
              </w:rPr>
              <w:t xml:space="preserve"> 作业票。</w:t>
            </w:r>
          </w:p>
        </w:tc>
        <w:tc>
          <w:tcPr>
            <w:tcW w:w="4318" w:type="dxa"/>
            <w:vAlign w:val="top"/>
          </w:tcPr>
          <w:p>
            <w:pPr>
              <w:pStyle w:val="6"/>
              <w:spacing w:before="286" w:line="235" w:lineRule="auto"/>
              <w:ind w:left="38" w:firstLine="1"/>
              <w:jc w:val="both"/>
            </w:pPr>
            <w:r>
              <w:rPr>
                <w:spacing w:val="9"/>
              </w:rPr>
              <w:t>按照《危险化学品企业特殊作业安全规范》（GB 30871-2022）第4.6条、第5条、第10条的要求，严格履行特殊作业审批手续，严格落实特殊作业安全风险防控。</w:t>
            </w:r>
          </w:p>
        </w:tc>
        <w:tc>
          <w:tcPr>
            <w:tcW w:w="1091" w:type="dxa"/>
            <w:vAlign w:val="top"/>
          </w:tcPr>
          <w:p>
            <w:pPr>
              <w:rPr>
                <w:rFonts w:ascii="Arial"/>
                <w:sz w:val="21"/>
              </w:rPr>
            </w:pPr>
          </w:p>
        </w:tc>
        <w:tc>
          <w:tcPr>
            <w:tcW w:w="1244" w:type="dxa"/>
            <w:vAlign w:val="top"/>
          </w:tcPr>
          <w:p>
            <w:pPr>
              <w:spacing w:line="285" w:lineRule="auto"/>
              <w:rPr>
                <w:rFonts w:ascii="Arial"/>
                <w:sz w:val="21"/>
              </w:rPr>
            </w:pPr>
          </w:p>
          <w:p>
            <w:pPr>
              <w:spacing w:line="286" w:lineRule="auto"/>
              <w:rPr>
                <w:rFonts w:ascii="Arial"/>
                <w:sz w:val="21"/>
              </w:rPr>
            </w:pPr>
          </w:p>
          <w:p>
            <w:pPr>
              <w:pStyle w:val="6"/>
              <w:spacing w:before="58" w:line="241" w:lineRule="exact"/>
              <w:ind w:left="587"/>
            </w:pPr>
            <w:r>
              <w:rPr>
                <w:position w:val="1"/>
                <w14:textOutline w14:w="3394" w14:cap="sq" w14:cmpd="sng">
                  <w14:solidFill>
                    <w14:srgbClr w14:val="000000"/>
                  </w14:solidFill>
                  <w14:prstDash w14:val="solid"/>
                  <w14:bevel/>
                </w14:textOutline>
              </w:rPr>
              <w:t>√</w:t>
            </w:r>
          </w:p>
        </w:tc>
        <w:tc>
          <w:tcPr>
            <w:tcW w:w="980" w:type="dxa"/>
            <w:vAlign w:val="top"/>
          </w:tcPr>
          <w:p>
            <w:pPr>
              <w:rPr>
                <w:rFonts w:ascii="Arial"/>
                <w:sz w:val="21"/>
              </w:rPr>
            </w:pPr>
          </w:p>
        </w:tc>
        <w:tc>
          <w:tcPr>
            <w:tcW w:w="891" w:type="dxa"/>
            <w:vAlign w:val="top"/>
          </w:tcPr>
          <w:p>
            <w:pPr>
              <w:spacing w:line="285" w:lineRule="auto"/>
              <w:rPr>
                <w:rFonts w:ascii="Arial"/>
                <w:sz w:val="21"/>
              </w:rPr>
            </w:pPr>
          </w:p>
          <w:p>
            <w:pPr>
              <w:spacing w:line="286" w:lineRule="auto"/>
              <w:rPr>
                <w:rFonts w:ascii="Arial"/>
                <w:sz w:val="21"/>
              </w:rPr>
            </w:pPr>
          </w:p>
          <w:p>
            <w:pPr>
              <w:pStyle w:val="6"/>
              <w:spacing w:before="58" w:line="241" w:lineRule="exact"/>
              <w:ind w:left="408"/>
            </w:pPr>
            <w:r>
              <w:rPr>
                <w:position w:val="1"/>
                <w14:textOutline w14:w="3394"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6" w:lineRule="auto"/>
              <w:rPr>
                <w:rFonts w:ascii="Arial"/>
                <w:sz w:val="21"/>
              </w:rPr>
            </w:pPr>
          </w:p>
          <w:p>
            <w:pPr>
              <w:pStyle w:val="6"/>
              <w:spacing w:before="58" w:line="189" w:lineRule="auto"/>
              <w:ind w:left="235"/>
            </w:pPr>
            <w:r>
              <w:t>3</w:t>
            </w:r>
          </w:p>
        </w:tc>
        <w:tc>
          <w:tcPr>
            <w:tcW w:w="1216" w:type="dxa"/>
            <w:vAlign w:val="top"/>
          </w:tcPr>
          <w:p>
            <w:pPr>
              <w:spacing w:line="245" w:lineRule="auto"/>
              <w:rPr>
                <w:rFonts w:ascii="Arial"/>
                <w:sz w:val="21"/>
              </w:rPr>
            </w:pPr>
          </w:p>
          <w:p>
            <w:pPr>
              <w:pStyle w:val="6"/>
              <w:spacing w:before="58" w:line="190" w:lineRule="auto"/>
              <w:ind w:left="335"/>
            </w:pPr>
            <w:r>
              <w:t>1.1.3</w:t>
            </w:r>
          </w:p>
        </w:tc>
        <w:tc>
          <w:tcPr>
            <w:tcW w:w="3756" w:type="dxa"/>
            <w:vAlign w:val="top"/>
          </w:tcPr>
          <w:p>
            <w:pPr>
              <w:pStyle w:val="6"/>
              <w:spacing w:before="45" w:line="223" w:lineRule="auto"/>
              <w:ind w:left="35" w:firstLine="1"/>
              <w:jc w:val="both"/>
            </w:pPr>
            <w:r>
              <w:rPr>
                <w:spacing w:val="10"/>
              </w:rPr>
              <w:t>2023年9月19日，三车间液碱储罐进料管堵盲板作业票（编号：C03202309001） ，2块盲板办理了一张堵盲板作业票。</w:t>
            </w:r>
          </w:p>
        </w:tc>
        <w:tc>
          <w:tcPr>
            <w:tcW w:w="4318" w:type="dxa"/>
            <w:vAlign w:val="top"/>
          </w:tcPr>
          <w:p>
            <w:pPr>
              <w:pStyle w:val="6"/>
              <w:spacing w:before="45" w:line="223" w:lineRule="auto"/>
              <w:ind w:left="42" w:hanging="2"/>
              <w:jc w:val="both"/>
            </w:pPr>
            <w:r>
              <w:rPr>
                <w:spacing w:val="9"/>
              </w:rPr>
              <w:t>按照《危险化学品企业特殊作业安全规范》（GB30871-2022）第7.11条的要求，一张安全作业票只能进行一块盲板的一项作业。</w:t>
            </w:r>
          </w:p>
        </w:tc>
        <w:tc>
          <w:tcPr>
            <w:tcW w:w="1091" w:type="dxa"/>
            <w:vAlign w:val="top"/>
          </w:tcPr>
          <w:p>
            <w:pPr>
              <w:rPr>
                <w:rFonts w:ascii="Arial"/>
                <w:sz w:val="21"/>
              </w:rPr>
            </w:pPr>
          </w:p>
        </w:tc>
        <w:tc>
          <w:tcPr>
            <w:tcW w:w="1244" w:type="dxa"/>
            <w:vAlign w:val="top"/>
          </w:tcPr>
          <w:p>
            <w:pPr>
              <w:pStyle w:val="6"/>
              <w:spacing w:before="275" w:line="242"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3" w:lineRule="auto"/>
              <w:rPr>
                <w:rFonts w:ascii="Arial"/>
                <w:sz w:val="21"/>
              </w:rPr>
            </w:pPr>
          </w:p>
          <w:p>
            <w:pPr>
              <w:spacing w:line="243" w:lineRule="auto"/>
              <w:rPr>
                <w:rFonts w:ascii="Arial"/>
                <w:sz w:val="21"/>
              </w:rPr>
            </w:pPr>
          </w:p>
          <w:p>
            <w:pPr>
              <w:pStyle w:val="6"/>
              <w:spacing w:before="58" w:line="189" w:lineRule="auto"/>
              <w:ind w:left="231"/>
            </w:pPr>
            <w:r>
              <w:t>4</w:t>
            </w:r>
          </w:p>
        </w:tc>
        <w:tc>
          <w:tcPr>
            <w:tcW w:w="1216" w:type="dxa"/>
            <w:vAlign w:val="top"/>
          </w:tcPr>
          <w:p>
            <w:pPr>
              <w:spacing w:line="242" w:lineRule="auto"/>
              <w:rPr>
                <w:rFonts w:ascii="Arial"/>
                <w:sz w:val="21"/>
              </w:rPr>
            </w:pPr>
          </w:p>
          <w:p>
            <w:pPr>
              <w:spacing w:line="243" w:lineRule="auto"/>
              <w:rPr>
                <w:rFonts w:ascii="Arial"/>
                <w:sz w:val="21"/>
              </w:rPr>
            </w:pPr>
          </w:p>
          <w:p>
            <w:pPr>
              <w:pStyle w:val="6"/>
              <w:spacing w:before="59" w:line="190" w:lineRule="auto"/>
              <w:ind w:left="335"/>
            </w:pPr>
            <w:r>
              <w:t>1.1.4</w:t>
            </w:r>
          </w:p>
        </w:tc>
        <w:tc>
          <w:tcPr>
            <w:tcW w:w="3756" w:type="dxa"/>
            <w:vAlign w:val="top"/>
          </w:tcPr>
          <w:p>
            <w:pPr>
              <w:pStyle w:val="6"/>
              <w:spacing w:before="58" w:line="230" w:lineRule="auto"/>
              <w:ind w:left="35" w:firstLine="2"/>
              <w:jc w:val="both"/>
            </w:pPr>
            <w:r>
              <w:rPr>
                <w:spacing w:val="10"/>
              </w:rPr>
              <w:t>2024年2月23日公用工程车间受限空间作业票（编号：GY-202310002），未填写配备的应急器材种类及数量；“受限空间已具备进入作业 条件 ”填写“ × ”；</w:t>
            </w:r>
            <w:r>
              <w:rPr>
                <w:rFonts w:hint="eastAsia"/>
                <w:spacing w:val="10"/>
              </w:rPr>
              <w:t>未提供10时20分至16时0分气体检测分析记录。</w:t>
            </w:r>
          </w:p>
        </w:tc>
        <w:tc>
          <w:tcPr>
            <w:tcW w:w="4318" w:type="dxa"/>
            <w:vAlign w:val="top"/>
          </w:tcPr>
          <w:p>
            <w:pPr>
              <w:pStyle w:val="6"/>
              <w:spacing w:before="173" w:line="234" w:lineRule="auto"/>
              <w:ind w:left="38" w:firstLine="1"/>
              <w:jc w:val="both"/>
            </w:pPr>
            <w:r>
              <w:rPr>
                <w:spacing w:val="9"/>
              </w:rPr>
              <w:t>按照《危险化学品企业特殊作业安全规范》（GB 30871-2022）第6条的要求，连续检测受限空间内可燃气体、有毒气体及氧气浓度，并2h记录1次，严格执行特殊作业安全管理制度。</w:t>
            </w:r>
          </w:p>
        </w:tc>
        <w:tc>
          <w:tcPr>
            <w:tcW w:w="1091" w:type="dxa"/>
            <w:vAlign w:val="top"/>
          </w:tcPr>
          <w:p>
            <w:pPr>
              <w:rPr>
                <w:rFonts w:ascii="Arial"/>
                <w:sz w:val="21"/>
              </w:rPr>
            </w:pPr>
          </w:p>
        </w:tc>
        <w:tc>
          <w:tcPr>
            <w:tcW w:w="1244" w:type="dxa"/>
            <w:vAlign w:val="top"/>
          </w:tcPr>
          <w:p>
            <w:pPr>
              <w:spacing w:line="456" w:lineRule="auto"/>
              <w:rPr>
                <w:rFonts w:ascii="Arial"/>
                <w:sz w:val="21"/>
              </w:rPr>
            </w:pPr>
          </w:p>
          <w:p>
            <w:pPr>
              <w:pStyle w:val="6"/>
              <w:spacing w:before="58" w:line="242"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70" w:lineRule="auto"/>
              <w:rPr>
                <w:rFonts w:ascii="Arial"/>
                <w:sz w:val="21"/>
              </w:rPr>
            </w:pPr>
          </w:p>
          <w:p>
            <w:pPr>
              <w:pStyle w:val="6"/>
              <w:spacing w:before="59" w:line="188" w:lineRule="auto"/>
              <w:ind w:left="235"/>
            </w:pPr>
            <w:r>
              <w:t>5</w:t>
            </w:r>
          </w:p>
        </w:tc>
        <w:tc>
          <w:tcPr>
            <w:tcW w:w="1216" w:type="dxa"/>
            <w:vAlign w:val="top"/>
          </w:tcPr>
          <w:p>
            <w:pPr>
              <w:spacing w:line="368" w:lineRule="auto"/>
              <w:rPr>
                <w:rFonts w:ascii="Arial"/>
                <w:sz w:val="21"/>
              </w:rPr>
            </w:pPr>
          </w:p>
          <w:p>
            <w:pPr>
              <w:pStyle w:val="6"/>
              <w:spacing w:before="59" w:line="190" w:lineRule="auto"/>
              <w:ind w:left="335"/>
            </w:pPr>
            <w:r>
              <w:t>1.1.5</w:t>
            </w:r>
          </w:p>
        </w:tc>
        <w:tc>
          <w:tcPr>
            <w:tcW w:w="3756" w:type="dxa"/>
            <w:vAlign w:val="top"/>
          </w:tcPr>
          <w:p>
            <w:pPr>
              <w:pStyle w:val="6"/>
              <w:spacing w:before="171" w:line="233" w:lineRule="auto"/>
              <w:ind w:left="36"/>
              <w:jc w:val="both"/>
            </w:pPr>
            <w:r>
              <w:rPr>
                <w:spacing w:val="10"/>
              </w:rPr>
              <w:t>2023年7月22日（周六）三车间二级动火作业票（编号：C03232307014），动火作业未进行升级管理（制度中要求公休日升级管理）。</w:t>
            </w:r>
          </w:p>
        </w:tc>
        <w:tc>
          <w:tcPr>
            <w:tcW w:w="4318" w:type="dxa"/>
            <w:vAlign w:val="top"/>
          </w:tcPr>
          <w:p>
            <w:pPr>
              <w:pStyle w:val="6"/>
              <w:spacing w:before="52" w:line="229" w:lineRule="auto"/>
              <w:ind w:left="40"/>
            </w:pPr>
            <w:r>
              <w:rPr>
                <w:spacing w:val="9"/>
              </w:rPr>
              <w:t>按照《危险化学品企业特殊作业安全规范》（GB30871-2022）及企业管理制度的要求，遇节假日、公休日、夜间或其他特殊情况，动火作业应升级管理。</w:t>
            </w:r>
          </w:p>
        </w:tc>
        <w:tc>
          <w:tcPr>
            <w:tcW w:w="1091" w:type="dxa"/>
            <w:vAlign w:val="top"/>
          </w:tcPr>
          <w:p>
            <w:pPr>
              <w:rPr>
                <w:rFonts w:ascii="Arial"/>
                <w:sz w:val="21"/>
              </w:rPr>
            </w:pPr>
          </w:p>
        </w:tc>
        <w:tc>
          <w:tcPr>
            <w:tcW w:w="1244" w:type="dxa"/>
            <w:vAlign w:val="top"/>
          </w:tcPr>
          <w:p>
            <w:pPr>
              <w:spacing w:line="339" w:lineRule="auto"/>
              <w:rPr>
                <w:rFonts w:ascii="Arial"/>
                <w:sz w:val="21"/>
              </w:rPr>
            </w:pPr>
          </w:p>
          <w:p>
            <w:pPr>
              <w:pStyle w:val="6"/>
              <w:spacing w:before="59"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011" w:right="1138" w:bottom="0" w:left="1010" w:header="0" w:footer="0" w:gutter="0"/>
          <w:cols w:space="720" w:num="1"/>
        </w:sectPr>
      </w:pP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860"/>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0" w:type="dxa"/>
            <w:tcBorders>
              <w:top w:val="nil"/>
            </w:tcBorders>
            <w:vAlign w:val="top"/>
          </w:tcPr>
          <w:p>
            <w:pPr>
              <w:pStyle w:val="6"/>
              <w:spacing w:before="100"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00"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before="1" w:line="224"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860" w:type="dxa"/>
            <w:tcBorders>
              <w:top w:val="nil"/>
            </w:tcBorders>
            <w:vAlign w:val="top"/>
          </w:tcPr>
          <w:p>
            <w:pPr>
              <w:pStyle w:val="6"/>
              <w:spacing w:before="100" w:line="231" w:lineRule="auto"/>
              <w:ind w:left="1575"/>
            </w:pPr>
            <w:r>
              <w:rPr>
                <w:spacing w:val="4"/>
                <w14:textOutline w14:w="3394" w14:cap="sq" w14:cmpd="sng">
                  <w14:solidFill>
                    <w14:srgbClr w14:val="000000"/>
                  </w14:solidFill>
                  <w14:prstDash w14:val="solid"/>
                  <w14:bevel/>
                </w14:textOutline>
              </w:rPr>
              <w:t>问题描述</w:t>
            </w:r>
          </w:p>
        </w:tc>
        <w:tc>
          <w:tcPr>
            <w:tcW w:w="4318" w:type="dxa"/>
            <w:tcBorders>
              <w:top w:val="nil"/>
            </w:tcBorders>
            <w:vAlign w:val="top"/>
          </w:tcPr>
          <w:p>
            <w:pPr>
              <w:pStyle w:val="6"/>
              <w:spacing w:before="100" w:line="229" w:lineRule="auto"/>
              <w:ind w:left="178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19"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219" w:line="229" w:lineRule="auto"/>
              <w:ind w:left="220"/>
            </w:pPr>
            <w:r>
              <w:rPr>
                <w:spacing w:val="8"/>
                <w14:textOutline w14:w="3394" w14:cap="sq" w14:cmpd="sng">
                  <w14:solidFill>
                    <w14:srgbClr w14:val="000000"/>
                  </w14:solidFill>
                  <w14:prstDash w14:val="solid"/>
                  <w14:bevel/>
                </w14:textOutline>
              </w:rPr>
              <w:t>现场类</w:t>
            </w:r>
          </w:p>
        </w:tc>
        <w:tc>
          <w:tcPr>
            <w:tcW w:w="891" w:type="dxa"/>
            <w:tcBorders>
              <w:top w:val="nil"/>
            </w:tcBorders>
            <w:vAlign w:val="top"/>
          </w:tcPr>
          <w:p>
            <w:pPr>
              <w:pStyle w:val="6"/>
              <w:spacing w:before="94" w:line="213" w:lineRule="auto"/>
              <w:ind w:left="405" w:right="22" w:hanging="345"/>
              <w:rPr>
                <w:sz w:val="19"/>
                <w:szCs w:val="19"/>
              </w:rPr>
            </w:pPr>
            <w:r>
              <w:rPr>
                <w:spacing w:val="8"/>
                <w:sz w:val="19"/>
                <w:szCs w:val="19"/>
                <w14:textOutline w14:w="3572" w14:cap="sq" w14:cmpd="sng">
                  <w14:solidFill>
                    <w14:srgbClr w14:val="000000"/>
                  </w14:solidFill>
                  <w14:prstDash w14:val="solid"/>
                  <w14:bevel/>
                </w14:textOutline>
              </w:rPr>
              <w:t>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4" w:hRule="atLeast"/>
        </w:trPr>
        <w:tc>
          <w:tcPr>
            <w:tcW w:w="620" w:type="dxa"/>
            <w:vMerge w:val="restart"/>
            <w:tcBorders>
              <w:bottom w:val="nil"/>
            </w:tcBorders>
            <w:vAlign w:val="top"/>
          </w:tcPr>
          <w:p>
            <w:pPr>
              <w:rPr>
                <w:rFonts w:ascii="Arial"/>
                <w:sz w:val="21"/>
              </w:rPr>
            </w:pPr>
          </w:p>
        </w:tc>
        <w:tc>
          <w:tcPr>
            <w:tcW w:w="556"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189" w:lineRule="auto"/>
              <w:ind w:left="233"/>
            </w:pPr>
            <w:r>
              <w:t>6</w:t>
            </w:r>
          </w:p>
        </w:tc>
        <w:tc>
          <w:tcPr>
            <w:tcW w:w="1112"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8" w:line="190" w:lineRule="auto"/>
              <w:ind w:left="335"/>
            </w:pPr>
            <w:r>
              <w:t>1.1.8</w:t>
            </w:r>
          </w:p>
        </w:tc>
        <w:tc>
          <w:tcPr>
            <w:tcW w:w="386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10"/>
                <w:kern w:val="0"/>
                <w:sz w:val="18"/>
                <w:szCs w:val="18"/>
                <w:lang w:val="en-US" w:eastAsia="en-US" w:bidi="ar-SA"/>
              </w:rPr>
            </w:pPr>
            <w:r>
              <w:rPr>
                <w:rFonts w:hint="eastAsia" w:ascii="宋体" w:hAnsi="宋体" w:eastAsia="宋体" w:cs="宋体"/>
                <w:snapToGrid w:val="0"/>
                <w:color w:val="000000"/>
                <w:spacing w:val="10"/>
                <w:kern w:val="0"/>
                <w:sz w:val="18"/>
                <w:szCs w:val="18"/>
                <w:lang w:val="en-US" w:eastAsia="en-US" w:bidi="ar-SA"/>
              </w:rPr>
              <w:t>1.《设备、管线打开作业管理制度》中描述“为规范中国石油天然气集团公司某某分公司各类管线打开作业管理，根据《管线打开安全管理规范 》（O/SY1243-2009 ）特制定本规定”，与企业实际不符。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0"/>
                <w:kern w:val="0"/>
                <w:sz w:val="18"/>
                <w:szCs w:val="18"/>
                <w:lang w:val="en-US" w:eastAsia="en-US" w:bidi="ar-SA"/>
              </w:rPr>
            </w:pPr>
            <w:r>
              <w:rPr>
                <w:rFonts w:hint="eastAsia" w:ascii="宋体" w:hAnsi="宋体" w:eastAsia="宋体" w:cs="宋体"/>
                <w:snapToGrid w:val="0"/>
                <w:color w:val="000000"/>
                <w:spacing w:val="10"/>
                <w:kern w:val="0"/>
                <w:sz w:val="18"/>
                <w:szCs w:val="18"/>
                <w:lang w:val="en-US" w:eastAsia="en-US" w:bidi="ar-SA"/>
              </w:rPr>
              <w:t>2.2023年11月，二车间连续精馏塔设备管道拆除，未提供管线打开许可票、一般作业票（企业制度要求）。</w:t>
            </w:r>
          </w:p>
          <w:p>
            <w:pPr>
              <w:pStyle w:val="6"/>
              <w:spacing w:before="10" w:line="234" w:lineRule="auto"/>
              <w:ind w:left="34" w:firstLine="3"/>
              <w:jc w:val="both"/>
            </w:pPr>
          </w:p>
        </w:tc>
        <w:tc>
          <w:tcPr>
            <w:tcW w:w="4318" w:type="dxa"/>
            <w:vAlign w:val="top"/>
          </w:tcPr>
          <w:p>
            <w:pPr>
              <w:spacing w:line="346" w:lineRule="auto"/>
              <w:rPr>
                <w:rFonts w:ascii="Arial"/>
                <w:sz w:val="21"/>
              </w:rPr>
            </w:pPr>
          </w:p>
          <w:p>
            <w:pPr>
              <w:spacing w:line="346" w:lineRule="auto"/>
              <w:rPr>
                <w:rFonts w:ascii="Arial"/>
                <w:sz w:val="21"/>
              </w:rPr>
            </w:pPr>
          </w:p>
          <w:p>
            <w:pPr>
              <w:pStyle w:val="6"/>
              <w:spacing w:before="58" w:line="232" w:lineRule="auto"/>
            </w:pPr>
            <w:r>
              <w:rPr>
                <w:rFonts w:hint="eastAsia" w:ascii="宋体" w:hAnsi="宋体" w:eastAsia="宋体" w:cs="宋体"/>
                <w:snapToGrid w:val="0"/>
                <w:color w:val="000000"/>
                <w:spacing w:val="10"/>
                <w:kern w:val="0"/>
                <w:sz w:val="18"/>
                <w:szCs w:val="18"/>
                <w:lang w:val="en-US" w:eastAsia="en-US" w:bidi="ar-SA"/>
              </w:rPr>
              <w:t>1～2.结合企业实际情况，修订管理制度要求并落实执行。</w:t>
            </w:r>
          </w:p>
        </w:tc>
        <w:tc>
          <w:tcPr>
            <w:tcW w:w="1091" w:type="dxa"/>
            <w:vAlign w:val="top"/>
          </w:tcPr>
          <w:p>
            <w:pPr>
              <w:rPr>
                <w:rFonts w:ascii="Arial"/>
                <w:sz w:val="21"/>
              </w:rPr>
            </w:pPr>
          </w:p>
        </w:tc>
        <w:tc>
          <w:tcPr>
            <w:tcW w:w="1244"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8"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1" w:lineRule="auto"/>
              <w:rPr>
                <w:rFonts w:ascii="Arial"/>
                <w:sz w:val="21"/>
              </w:rPr>
            </w:pPr>
          </w:p>
          <w:p>
            <w:pPr>
              <w:pStyle w:val="6"/>
              <w:spacing w:before="59" w:line="188" w:lineRule="auto"/>
              <w:ind w:left="236"/>
            </w:pPr>
            <w:r>
              <w:t>7</w:t>
            </w:r>
          </w:p>
        </w:tc>
        <w:tc>
          <w:tcPr>
            <w:tcW w:w="1112" w:type="dxa"/>
            <w:vAlign w:val="top"/>
          </w:tcPr>
          <w:p>
            <w:pPr>
              <w:pStyle w:val="6"/>
              <w:spacing w:before="299" w:line="190" w:lineRule="auto"/>
              <w:ind w:left="287"/>
            </w:pPr>
            <w:r>
              <w:rPr>
                <w:spacing w:val="1"/>
              </w:rPr>
              <w:t>1.1.10</w:t>
            </w:r>
          </w:p>
        </w:tc>
        <w:tc>
          <w:tcPr>
            <w:tcW w:w="3860" w:type="dxa"/>
            <w:vAlign w:val="top"/>
          </w:tcPr>
          <w:p>
            <w:pPr>
              <w:pStyle w:val="6"/>
              <w:spacing w:before="155" w:line="232" w:lineRule="auto"/>
              <w:ind w:left="34" w:firstLine="3"/>
            </w:pPr>
            <w:r>
              <w:rPr>
                <w:rFonts w:hint="eastAsia" w:ascii="宋体" w:hAnsi="宋体" w:eastAsia="宋体" w:cs="宋体"/>
                <w:snapToGrid w:val="0"/>
                <w:color w:val="000000"/>
                <w:spacing w:val="10"/>
                <w:kern w:val="0"/>
                <w:sz w:val="18"/>
                <w:szCs w:val="18"/>
                <w:lang w:val="en-US" w:eastAsia="en-US" w:bidi="ar-SA"/>
              </w:rPr>
              <w:t>未提供2023年11月江苏天力公司二车间连续精馏塔拆除作业现场监督检查记录。</w:t>
            </w:r>
          </w:p>
        </w:tc>
        <w:tc>
          <w:tcPr>
            <w:tcW w:w="4318" w:type="dxa"/>
            <w:vAlign w:val="top"/>
          </w:tcPr>
          <w:p>
            <w:pPr>
              <w:pStyle w:val="6"/>
              <w:spacing w:before="39" w:line="225" w:lineRule="auto"/>
              <w:ind w:left="38" w:right="11" w:firstLine="1"/>
            </w:pPr>
            <w:r>
              <w:rPr>
                <w:rFonts w:hint="eastAsia" w:ascii="宋体" w:hAnsi="宋体" w:eastAsia="宋体" w:cs="宋体"/>
                <w:snapToGrid w:val="0"/>
                <w:color w:val="000000"/>
                <w:spacing w:val="10"/>
                <w:kern w:val="0"/>
                <w:sz w:val="18"/>
                <w:szCs w:val="18"/>
                <w:lang w:val="en-US" w:eastAsia="en-US" w:bidi="ar-SA"/>
              </w:rPr>
              <w:t>按照《关于加强化工过程安全管理的指导意见》（安监总管三〔2013〕88号）第（二十一）条，对承包商作业现场实施监督检查。</w:t>
            </w:r>
          </w:p>
        </w:tc>
        <w:tc>
          <w:tcPr>
            <w:tcW w:w="1091" w:type="dxa"/>
            <w:vAlign w:val="top"/>
          </w:tcPr>
          <w:p>
            <w:pPr>
              <w:rPr>
                <w:rFonts w:ascii="Arial"/>
                <w:sz w:val="21"/>
              </w:rPr>
            </w:pPr>
          </w:p>
        </w:tc>
        <w:tc>
          <w:tcPr>
            <w:tcW w:w="1244" w:type="dxa"/>
            <w:vAlign w:val="top"/>
          </w:tcPr>
          <w:p>
            <w:pPr>
              <w:pStyle w:val="6"/>
              <w:spacing w:before="270"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1" w:lineRule="auto"/>
              <w:rPr>
                <w:rFonts w:ascii="Arial"/>
                <w:sz w:val="21"/>
              </w:rPr>
            </w:pPr>
          </w:p>
          <w:p>
            <w:pPr>
              <w:pStyle w:val="6"/>
              <w:spacing w:before="59" w:line="189" w:lineRule="auto"/>
              <w:ind w:left="232"/>
            </w:pPr>
            <w:r>
              <w:t>8</w:t>
            </w:r>
          </w:p>
        </w:tc>
        <w:tc>
          <w:tcPr>
            <w:tcW w:w="1112" w:type="dxa"/>
            <w:vAlign w:val="top"/>
          </w:tcPr>
          <w:p>
            <w:pPr>
              <w:spacing w:line="360" w:lineRule="auto"/>
              <w:rPr>
                <w:rFonts w:ascii="Arial"/>
                <w:sz w:val="21"/>
              </w:rPr>
            </w:pPr>
          </w:p>
          <w:p>
            <w:pPr>
              <w:pStyle w:val="6"/>
              <w:spacing w:before="59" w:line="190" w:lineRule="auto"/>
              <w:ind w:left="287"/>
            </w:pPr>
            <w:r>
              <w:rPr>
                <w:spacing w:val="1"/>
              </w:rPr>
              <w:t>1.1.12</w:t>
            </w:r>
          </w:p>
        </w:tc>
        <w:tc>
          <w:tcPr>
            <w:tcW w:w="3860" w:type="dxa"/>
            <w:vAlign w:val="top"/>
          </w:tcPr>
          <w:p>
            <w:pPr>
              <w:pStyle w:val="6"/>
              <w:spacing w:before="275" w:line="232" w:lineRule="auto"/>
              <w:ind w:left="37"/>
            </w:pPr>
            <w:r>
              <w:rPr>
                <w:rFonts w:hint="eastAsia" w:ascii="宋体" w:hAnsi="宋体" w:eastAsia="宋体" w:cs="宋体"/>
                <w:snapToGrid w:val="0"/>
                <w:color w:val="000000"/>
                <w:spacing w:val="10"/>
                <w:kern w:val="0"/>
                <w:sz w:val="18"/>
                <w:szCs w:val="18"/>
                <w:lang w:val="en-US" w:eastAsia="en-US" w:bidi="ar-SA"/>
              </w:rPr>
              <w:t>未提供2023年10月二车间连续精馏塔拆除前设备交付确认资料。</w:t>
            </w:r>
          </w:p>
        </w:tc>
        <w:tc>
          <w:tcPr>
            <w:tcW w:w="4318" w:type="dxa"/>
            <w:vAlign w:val="top"/>
          </w:tcPr>
          <w:p>
            <w:pPr>
              <w:pStyle w:val="6"/>
              <w:spacing w:before="44" w:line="229" w:lineRule="auto"/>
              <w:ind w:left="40"/>
              <w:jc w:val="both"/>
            </w:pPr>
            <w:r>
              <w:rPr>
                <w:rFonts w:hint="eastAsia" w:ascii="宋体" w:hAnsi="宋体" w:eastAsia="宋体" w:cs="宋体"/>
                <w:snapToGrid w:val="0"/>
                <w:color w:val="000000"/>
                <w:spacing w:val="10"/>
                <w:kern w:val="0"/>
                <w:sz w:val="18"/>
                <w:szCs w:val="18"/>
                <w:lang w:val="en-US" w:eastAsia="en-US" w:bidi="ar-SA"/>
              </w:rPr>
              <w:t>按照《危险化学品企业安全风险隐患排查治理导则 》（应急〔2019〕78号）第（六）开停车管理的要求，在单台设备交付检维修前与检维修后投入使用前，应进行安全条件确认。</w:t>
            </w:r>
          </w:p>
        </w:tc>
        <w:tc>
          <w:tcPr>
            <w:tcW w:w="1091" w:type="dxa"/>
            <w:vAlign w:val="top"/>
          </w:tcPr>
          <w:p>
            <w:pPr>
              <w:spacing w:line="331" w:lineRule="auto"/>
              <w:rPr>
                <w:rFonts w:ascii="Arial"/>
                <w:sz w:val="21"/>
              </w:rPr>
            </w:pPr>
          </w:p>
          <w:p>
            <w:pPr>
              <w:pStyle w:val="6"/>
              <w:spacing w:before="58" w:line="242"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620" w:type="dxa"/>
            <w:vMerge w:val="continue"/>
            <w:tcBorders>
              <w:top w:val="nil"/>
            </w:tcBorders>
            <w:vAlign w:val="top"/>
          </w:tcPr>
          <w:p>
            <w:pPr>
              <w:rPr>
                <w:rFonts w:ascii="Arial"/>
                <w:sz w:val="21"/>
              </w:rPr>
            </w:pPr>
          </w:p>
        </w:tc>
        <w:tc>
          <w:tcPr>
            <w:tcW w:w="556" w:type="dxa"/>
            <w:vAlign w:val="top"/>
          </w:tcPr>
          <w:p>
            <w:pPr>
              <w:spacing w:line="243" w:lineRule="auto"/>
              <w:rPr>
                <w:rFonts w:ascii="Arial"/>
                <w:sz w:val="21"/>
              </w:rPr>
            </w:pPr>
          </w:p>
          <w:p>
            <w:pPr>
              <w:pStyle w:val="6"/>
              <w:spacing w:before="59" w:line="189" w:lineRule="auto"/>
              <w:ind w:left="232"/>
            </w:pPr>
            <w:r>
              <w:t>9</w:t>
            </w:r>
          </w:p>
        </w:tc>
        <w:tc>
          <w:tcPr>
            <w:tcW w:w="1112" w:type="dxa"/>
            <w:vAlign w:val="top"/>
          </w:tcPr>
          <w:p>
            <w:pPr>
              <w:spacing w:line="242" w:lineRule="auto"/>
              <w:rPr>
                <w:rFonts w:ascii="Arial"/>
                <w:sz w:val="21"/>
              </w:rPr>
            </w:pPr>
          </w:p>
          <w:p>
            <w:pPr>
              <w:pStyle w:val="6"/>
              <w:spacing w:before="59" w:line="190" w:lineRule="auto"/>
              <w:ind w:left="287"/>
            </w:pPr>
            <w:r>
              <w:rPr>
                <w:spacing w:val="1"/>
              </w:rPr>
              <w:t>1.1.13</w:t>
            </w:r>
          </w:p>
        </w:tc>
        <w:tc>
          <w:tcPr>
            <w:tcW w:w="3860" w:type="dxa"/>
            <w:vAlign w:val="top"/>
          </w:tcPr>
          <w:p>
            <w:pPr>
              <w:pStyle w:val="6"/>
              <w:spacing w:before="157" w:line="232" w:lineRule="auto"/>
              <w:ind w:left="38" w:hanging="3"/>
            </w:pPr>
            <w:r>
              <w:rPr>
                <w:rFonts w:hint="eastAsia" w:ascii="宋体" w:hAnsi="宋体" w:eastAsia="宋体" w:cs="宋体"/>
                <w:snapToGrid w:val="0"/>
                <w:color w:val="000000"/>
                <w:spacing w:val="10"/>
                <w:kern w:val="0"/>
                <w:sz w:val="18"/>
                <w:szCs w:val="18"/>
                <w:lang w:val="en-US" w:eastAsia="en-US" w:bidi="ar-SA"/>
              </w:rPr>
              <w:t>相关管理制度中未明确安全风险较大的设备检维修等危险作业的范围。</w:t>
            </w:r>
          </w:p>
        </w:tc>
        <w:tc>
          <w:tcPr>
            <w:tcW w:w="4318" w:type="dxa"/>
            <w:vAlign w:val="top"/>
          </w:tcPr>
          <w:p>
            <w:pPr>
              <w:pStyle w:val="6"/>
              <w:spacing w:before="42" w:line="224" w:lineRule="auto"/>
              <w:ind w:left="40"/>
              <w:jc w:val="both"/>
            </w:pPr>
            <w:r>
              <w:rPr>
                <w:rFonts w:hint="eastAsia" w:ascii="宋体" w:hAnsi="宋体" w:eastAsia="宋体" w:cs="宋体"/>
                <w:snapToGrid w:val="0"/>
                <w:color w:val="000000"/>
                <w:spacing w:val="10"/>
                <w:kern w:val="0"/>
                <w:sz w:val="18"/>
                <w:szCs w:val="18"/>
                <w:lang w:val="en-US" w:eastAsia="en-US" w:bidi="ar-SA"/>
              </w:rPr>
              <w:t>按照《危险化学品企业安全风险隐患排查治理导则 》（应急〔2019〕78号）的要求，明确安全风险较大的设备检维修等危险作业的范围。</w:t>
            </w:r>
          </w:p>
        </w:tc>
        <w:tc>
          <w:tcPr>
            <w:tcW w:w="1091" w:type="dxa"/>
            <w:vAlign w:val="top"/>
          </w:tcPr>
          <w:p>
            <w:pPr>
              <w:pStyle w:val="6"/>
              <w:spacing w:before="273" w:line="241"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34" w:lineRule="auto"/>
              <w:ind w:left="124" w:right="106"/>
              <w:jc w:val="both"/>
            </w:pPr>
            <w:r>
              <w:rPr>
                <w:spacing w:val="6"/>
                <w14:textOutline w14:w="3394" w14:cap="sq" w14:cmpd="sng">
                  <w14:solidFill>
                    <w14:srgbClr w14:val="000000"/>
                  </w14:solidFill>
                  <w14:prstDash w14:val="solid"/>
                  <w14:bevel/>
                </w14:textOutline>
              </w:rPr>
              <w:t>其他</w:t>
            </w:r>
            <w:r>
              <w:t xml:space="preserve"> </w:t>
            </w:r>
            <w:r>
              <w:rPr>
                <w:spacing w:val="7"/>
                <w14:textOutline w14:w="3394" w14:cap="sq" w14:cmpd="sng">
                  <w14:solidFill>
                    <w14:srgbClr w14:val="000000"/>
                  </w14:solidFill>
                  <w14:prstDash w14:val="solid"/>
                  <w14:bevel/>
                </w14:textOutline>
              </w:rPr>
              <w:t>安全</w:t>
            </w:r>
            <w:r>
              <w:t xml:space="preserve"> </w:t>
            </w:r>
            <w:r>
              <w:rPr>
                <w:spacing w:val="7"/>
                <w14:textOutline w14:w="3394" w14:cap="sq" w14:cmpd="sng">
                  <w14:solidFill>
                    <w14:srgbClr w14:val="000000"/>
                  </w14:solidFill>
                  <w14:prstDash w14:val="solid"/>
                  <w14:bevel/>
                </w14:textOutline>
              </w:rPr>
              <w:t>基础</w:t>
            </w:r>
            <w:r>
              <w:t xml:space="preserve"> </w:t>
            </w:r>
            <w:r>
              <w:rPr>
                <w:spacing w:val="7"/>
                <w14:textOutline w14:w="3394" w14:cap="sq" w14:cmpd="sng">
                  <w14:solidFill>
                    <w14:srgbClr w14:val="000000"/>
                  </w14:solidFill>
                  <w14:prstDash w14:val="solid"/>
                  <w14:bevel/>
                </w14:textOutline>
              </w:rPr>
              <w:t>管理</w:t>
            </w:r>
          </w:p>
        </w:tc>
        <w:tc>
          <w:tcPr>
            <w:tcW w:w="556" w:type="dxa"/>
            <w:vAlign w:val="top"/>
          </w:tcPr>
          <w:p>
            <w:pPr>
              <w:spacing w:line="363" w:lineRule="auto"/>
              <w:rPr>
                <w:rFonts w:ascii="Arial"/>
                <w:sz w:val="21"/>
              </w:rPr>
            </w:pPr>
          </w:p>
          <w:p>
            <w:pPr>
              <w:pStyle w:val="6"/>
              <w:spacing w:before="59" w:line="190" w:lineRule="auto"/>
              <w:ind w:left="199"/>
            </w:pPr>
            <w:r>
              <w:rPr>
                <w:spacing w:val="-6"/>
              </w:rPr>
              <w:t>10</w:t>
            </w:r>
          </w:p>
        </w:tc>
        <w:tc>
          <w:tcPr>
            <w:tcW w:w="1112" w:type="dxa"/>
            <w:vAlign w:val="top"/>
          </w:tcPr>
          <w:p>
            <w:pPr>
              <w:spacing w:line="363" w:lineRule="auto"/>
              <w:rPr>
                <w:rFonts w:ascii="Arial"/>
                <w:sz w:val="21"/>
              </w:rPr>
            </w:pPr>
          </w:p>
          <w:p>
            <w:pPr>
              <w:pStyle w:val="6"/>
              <w:spacing w:before="59" w:line="190" w:lineRule="auto"/>
              <w:ind w:left="335"/>
            </w:pPr>
            <w:r>
              <w:t>1.5.4</w:t>
            </w:r>
          </w:p>
        </w:tc>
        <w:tc>
          <w:tcPr>
            <w:tcW w:w="3860" w:type="dxa"/>
            <w:vAlign w:val="top"/>
          </w:tcPr>
          <w:p>
            <w:pPr>
              <w:pStyle w:val="6"/>
              <w:spacing w:before="165" w:line="233" w:lineRule="auto"/>
              <w:ind w:left="34" w:firstLine="3"/>
              <w:jc w:val="both"/>
            </w:pPr>
            <w:r>
              <w:rPr>
                <w:rFonts w:hint="eastAsia" w:ascii="宋体" w:hAnsi="宋体" w:eastAsia="宋体" w:cs="宋体"/>
                <w:snapToGrid w:val="0"/>
                <w:color w:val="000000"/>
                <w:spacing w:val="10"/>
                <w:kern w:val="0"/>
                <w:sz w:val="18"/>
                <w:szCs w:val="18"/>
                <w:lang w:val="en-US" w:eastAsia="en-US" w:bidi="ar-SA"/>
              </w:rPr>
              <w:t>2023年9月19日，三车间有液碱储罐进料管堵盲板作业；当日风险研判与承诺记录中未对盲板抽堵作业进行研判与承诺公告。</w:t>
            </w:r>
          </w:p>
        </w:tc>
        <w:tc>
          <w:tcPr>
            <w:tcW w:w="4318" w:type="dxa"/>
            <w:vAlign w:val="top"/>
          </w:tcPr>
          <w:p>
            <w:pPr>
              <w:pStyle w:val="6"/>
              <w:spacing w:before="48" w:line="228" w:lineRule="auto"/>
              <w:ind w:left="37" w:firstLine="3"/>
              <w:jc w:val="both"/>
            </w:pPr>
            <w:r>
              <w:rPr>
                <w:rFonts w:hint="eastAsia" w:ascii="宋体" w:hAnsi="宋体" w:eastAsia="宋体" w:cs="宋体"/>
                <w:snapToGrid w:val="0"/>
                <w:color w:val="000000"/>
                <w:spacing w:val="10"/>
                <w:kern w:val="0"/>
                <w:sz w:val="18"/>
                <w:szCs w:val="18"/>
                <w:lang w:val="en-US" w:eastAsia="en-US" w:bidi="ar-SA"/>
              </w:rPr>
              <w:t>按照《应急管理部关于全面实施危险化学品企业安 全风险研判与承诺公告制度的通知》（应急〔2018 〕74号）第五条的要求，每日对特殊作业、生产装置运行情况进行风险研判与承诺公告。</w:t>
            </w:r>
          </w:p>
        </w:tc>
        <w:tc>
          <w:tcPr>
            <w:tcW w:w="1091" w:type="dxa"/>
            <w:vAlign w:val="top"/>
          </w:tcPr>
          <w:p>
            <w:pPr>
              <w:spacing w:line="334" w:lineRule="auto"/>
              <w:rPr>
                <w:rFonts w:ascii="Arial"/>
                <w:sz w:val="21"/>
              </w:rPr>
            </w:pPr>
          </w:p>
          <w:p>
            <w:pPr>
              <w:pStyle w:val="6"/>
              <w:spacing w:before="59" w:line="241"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5" w:lineRule="auto"/>
              <w:rPr>
                <w:rFonts w:ascii="Arial"/>
                <w:sz w:val="21"/>
              </w:rPr>
            </w:pPr>
          </w:p>
          <w:p>
            <w:pPr>
              <w:pStyle w:val="6"/>
              <w:spacing w:before="58" w:line="190" w:lineRule="auto"/>
              <w:ind w:left="199"/>
            </w:pPr>
            <w:r>
              <w:rPr>
                <w:spacing w:val="-6"/>
              </w:rPr>
              <w:t>11</w:t>
            </w:r>
          </w:p>
        </w:tc>
        <w:tc>
          <w:tcPr>
            <w:tcW w:w="1112" w:type="dxa"/>
            <w:vAlign w:val="top"/>
          </w:tcPr>
          <w:p>
            <w:pPr>
              <w:spacing w:line="365" w:lineRule="auto"/>
              <w:rPr>
                <w:rFonts w:ascii="Arial"/>
                <w:sz w:val="21"/>
              </w:rPr>
            </w:pPr>
          </w:p>
          <w:p>
            <w:pPr>
              <w:pStyle w:val="6"/>
              <w:spacing w:before="59" w:line="190" w:lineRule="auto"/>
              <w:ind w:left="335"/>
            </w:pPr>
            <w:r>
              <w:t>1.5.6</w:t>
            </w:r>
          </w:p>
        </w:tc>
        <w:tc>
          <w:tcPr>
            <w:tcW w:w="3860" w:type="dxa"/>
            <w:vAlign w:val="top"/>
          </w:tcPr>
          <w:p>
            <w:pPr>
              <w:pStyle w:val="6"/>
              <w:spacing w:before="166" w:line="232" w:lineRule="auto"/>
              <w:ind w:left="35"/>
            </w:pPr>
            <w:r>
              <w:rPr>
                <w:spacing w:val="10"/>
              </w:rPr>
              <w:t>相关管理制度中未明确主要负责人每月带队对本单位开展一次重大事故隐患排查等管理要求</w:t>
            </w:r>
          </w:p>
          <w:p>
            <w:pPr>
              <w:pStyle w:val="6"/>
              <w:spacing w:before="130" w:line="92" w:lineRule="exact"/>
            </w:pPr>
            <w:r>
              <w:rPr>
                <w:position w:val="1"/>
              </w:rPr>
              <w:t>。</w:t>
            </w:r>
          </w:p>
        </w:tc>
        <w:tc>
          <w:tcPr>
            <w:tcW w:w="4318" w:type="dxa"/>
            <w:vAlign w:val="top"/>
          </w:tcPr>
          <w:p>
            <w:pPr>
              <w:pStyle w:val="6"/>
              <w:spacing w:before="52" w:line="227" w:lineRule="auto"/>
              <w:ind w:left="39"/>
              <w:jc w:val="both"/>
            </w:pPr>
            <w:r>
              <w:rPr>
                <w:rFonts w:hint="eastAsia" w:ascii="宋体" w:hAnsi="宋体" w:eastAsia="宋体" w:cs="宋体"/>
                <w:snapToGrid w:val="0"/>
                <w:color w:val="000000"/>
                <w:spacing w:val="10"/>
                <w:kern w:val="0"/>
                <w:sz w:val="18"/>
                <w:szCs w:val="18"/>
                <w:lang w:val="en-US" w:eastAsia="en-US" w:bidi="ar-SA"/>
              </w:rPr>
              <w:t>按照《安全生产治本攻坚三年行动方案（2024-2026 年）》（安委〔2024〕2号）第4条的要求，修订相关管理制度，主要负责人落实每月带队对本单位重大事故隐患情况进行检查。</w:t>
            </w:r>
          </w:p>
        </w:tc>
        <w:tc>
          <w:tcPr>
            <w:tcW w:w="1091" w:type="dxa"/>
            <w:vAlign w:val="top"/>
          </w:tcPr>
          <w:p>
            <w:pPr>
              <w:spacing w:line="336" w:lineRule="auto"/>
              <w:rPr>
                <w:rFonts w:ascii="Arial"/>
                <w:sz w:val="21"/>
              </w:rPr>
            </w:pPr>
          </w:p>
          <w:p>
            <w:pPr>
              <w:pStyle w:val="6"/>
              <w:spacing w:before="58" w:line="241"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620" w:type="dxa"/>
            <w:vMerge w:val="continue"/>
            <w:tcBorders>
              <w:top w:val="nil"/>
              <w:bottom w:val="nil"/>
            </w:tcBorders>
            <w:vAlign w:val="top"/>
          </w:tcPr>
          <w:p>
            <w:pPr>
              <w:rPr>
                <w:rFonts w:ascii="Arial"/>
                <w:sz w:val="21"/>
              </w:rPr>
            </w:pPr>
          </w:p>
        </w:tc>
        <w:tc>
          <w:tcPr>
            <w:tcW w:w="556" w:type="dxa"/>
            <w:vAlign w:val="top"/>
          </w:tcPr>
          <w:p>
            <w:pPr>
              <w:pStyle w:val="6"/>
              <w:spacing w:before="185" w:line="190" w:lineRule="auto"/>
              <w:ind w:left="199"/>
            </w:pPr>
            <w:r>
              <w:rPr>
                <w:spacing w:val="-6"/>
              </w:rPr>
              <w:t>12</w:t>
            </w:r>
          </w:p>
        </w:tc>
        <w:tc>
          <w:tcPr>
            <w:tcW w:w="1112" w:type="dxa"/>
            <w:vAlign w:val="top"/>
          </w:tcPr>
          <w:p>
            <w:pPr>
              <w:pStyle w:val="6"/>
              <w:spacing w:before="185" w:line="190" w:lineRule="auto"/>
              <w:ind w:left="335"/>
            </w:pPr>
            <w:r>
              <w:t>1.5.8</w:t>
            </w:r>
          </w:p>
        </w:tc>
        <w:tc>
          <w:tcPr>
            <w:tcW w:w="3860" w:type="dxa"/>
            <w:vAlign w:val="top"/>
          </w:tcPr>
          <w:p>
            <w:pPr>
              <w:pStyle w:val="6"/>
              <w:spacing w:before="41" w:line="213" w:lineRule="auto"/>
              <w:ind w:left="50" w:right="2" w:hanging="10"/>
            </w:pPr>
            <w:r>
              <w:rPr>
                <w:spacing w:val="10"/>
              </w:rPr>
              <w:t>《异常工况决策管理制度》中未明确异常</w:t>
            </w:r>
            <w:r>
              <w:rPr>
                <w:rFonts w:hint="eastAsia"/>
                <w:spacing w:val="10"/>
              </w:rPr>
              <w:t>工况的情形及紧急停车授权人员等内容。</w:t>
            </w:r>
          </w:p>
        </w:tc>
        <w:tc>
          <w:tcPr>
            <w:tcW w:w="4318" w:type="dxa"/>
            <w:vAlign w:val="top"/>
          </w:tcPr>
          <w:p>
            <w:pPr>
              <w:pStyle w:val="6"/>
              <w:spacing w:before="41" w:line="213" w:lineRule="auto"/>
              <w:ind w:left="48" w:hanging="8"/>
            </w:pPr>
            <w:r>
              <w:rPr>
                <w:rFonts w:hint="eastAsia" w:ascii="宋体" w:hAnsi="宋体" w:eastAsia="宋体" w:cs="宋体"/>
                <w:snapToGrid w:val="0"/>
                <w:color w:val="000000"/>
                <w:spacing w:val="10"/>
                <w:kern w:val="0"/>
                <w:sz w:val="18"/>
                <w:szCs w:val="18"/>
                <w:lang w:val="en-US" w:eastAsia="en-US" w:bidi="ar-SA"/>
              </w:rPr>
              <w:t>按照《化工企业生产过程异常工况安全处置准则（试行）》的要求，修订管理制度。</w:t>
            </w:r>
          </w:p>
        </w:tc>
        <w:tc>
          <w:tcPr>
            <w:tcW w:w="1091" w:type="dxa"/>
            <w:vAlign w:val="top"/>
          </w:tcPr>
          <w:p>
            <w:pPr>
              <w:pStyle w:val="6"/>
              <w:spacing w:before="156" w:line="241"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3" w:lineRule="auto"/>
              <w:rPr>
                <w:rFonts w:ascii="Arial"/>
                <w:sz w:val="21"/>
              </w:rPr>
            </w:pPr>
          </w:p>
          <w:p>
            <w:pPr>
              <w:spacing w:line="244" w:lineRule="auto"/>
              <w:rPr>
                <w:rFonts w:ascii="Arial"/>
                <w:sz w:val="21"/>
              </w:rPr>
            </w:pPr>
          </w:p>
          <w:p>
            <w:pPr>
              <w:pStyle w:val="6"/>
              <w:spacing w:before="58" w:line="190" w:lineRule="auto"/>
              <w:ind w:left="199"/>
            </w:pPr>
            <w:r>
              <w:rPr>
                <w:spacing w:val="-6"/>
              </w:rPr>
              <w:t>13</w:t>
            </w:r>
          </w:p>
        </w:tc>
        <w:tc>
          <w:tcPr>
            <w:tcW w:w="1112" w:type="dxa"/>
            <w:vAlign w:val="top"/>
          </w:tcPr>
          <w:p>
            <w:pPr>
              <w:spacing w:line="243" w:lineRule="auto"/>
              <w:rPr>
                <w:rFonts w:ascii="Arial"/>
                <w:sz w:val="21"/>
              </w:rPr>
            </w:pPr>
          </w:p>
          <w:p>
            <w:pPr>
              <w:spacing w:line="244" w:lineRule="auto"/>
              <w:rPr>
                <w:rFonts w:ascii="Arial"/>
                <w:sz w:val="21"/>
              </w:rPr>
            </w:pPr>
          </w:p>
          <w:p>
            <w:pPr>
              <w:pStyle w:val="6"/>
              <w:spacing w:before="58" w:line="190" w:lineRule="auto"/>
              <w:ind w:left="335"/>
            </w:pPr>
            <w:r>
              <w:t>1.5.9</w:t>
            </w:r>
          </w:p>
        </w:tc>
        <w:tc>
          <w:tcPr>
            <w:tcW w:w="3860" w:type="dxa"/>
            <w:vAlign w:val="top"/>
          </w:tcPr>
          <w:p>
            <w:pPr>
              <w:spacing w:line="344" w:lineRule="auto"/>
              <w:rPr>
                <w:rFonts w:ascii="Arial"/>
                <w:sz w:val="21"/>
              </w:rPr>
            </w:pPr>
          </w:p>
          <w:p>
            <w:pPr>
              <w:pStyle w:val="6"/>
              <w:spacing w:before="59" w:line="232" w:lineRule="auto"/>
              <w:ind w:left="38" w:right="13"/>
            </w:pPr>
            <w:r>
              <w:rPr>
                <w:rFonts w:hint="eastAsia"/>
                <w:spacing w:val="10"/>
              </w:rPr>
              <w:t>安全信息化系统中未开展线上隐患排查，仅有 设备、安全专业的隐患排查任务。</w:t>
            </w:r>
          </w:p>
        </w:tc>
        <w:tc>
          <w:tcPr>
            <w:tcW w:w="4318" w:type="dxa"/>
            <w:vAlign w:val="top"/>
          </w:tcPr>
          <w:p>
            <w:pPr>
              <w:pStyle w:val="6"/>
              <w:spacing w:before="174" w:line="234" w:lineRule="auto"/>
              <w:ind w:left="37" w:firstLine="2"/>
              <w:jc w:val="both"/>
            </w:pPr>
            <w:r>
              <w:rPr>
                <w:rFonts w:hint="eastAsia" w:ascii="宋体" w:hAnsi="宋体" w:eastAsia="宋体" w:cs="宋体"/>
                <w:snapToGrid w:val="0"/>
                <w:color w:val="000000"/>
                <w:spacing w:val="10"/>
                <w:kern w:val="0"/>
                <w:sz w:val="18"/>
                <w:szCs w:val="18"/>
                <w:lang w:val="en-US" w:eastAsia="en-US" w:bidi="ar-SA"/>
              </w:rPr>
              <w:t>按照《危险化学品企业安全风险隐患排查治理导则 》（应急〔2019〕78号）第3.1条、《危险化学品企 业双重预防机制数字化建设工作指南》的要求，尽快运用双重预防机制数字化系统开展隐患排查。</w:t>
            </w:r>
          </w:p>
        </w:tc>
        <w:tc>
          <w:tcPr>
            <w:tcW w:w="1091" w:type="dxa"/>
            <w:vAlign w:val="top"/>
          </w:tcPr>
          <w:p>
            <w:pPr>
              <w:rPr>
                <w:rFonts w:ascii="Arial"/>
                <w:sz w:val="21"/>
              </w:rPr>
            </w:pPr>
          </w:p>
        </w:tc>
        <w:tc>
          <w:tcPr>
            <w:tcW w:w="1244" w:type="dxa"/>
            <w:vAlign w:val="top"/>
          </w:tcPr>
          <w:p>
            <w:pPr>
              <w:spacing w:line="457" w:lineRule="auto"/>
              <w:rPr>
                <w:rFonts w:ascii="Arial"/>
                <w:sz w:val="21"/>
              </w:rPr>
            </w:pPr>
          </w:p>
          <w:p>
            <w:pPr>
              <w:pStyle w:val="6"/>
              <w:spacing w:before="59"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99" w:right="1138" w:bottom="0" w:left="1010" w:header="0" w:footer="0" w:gutter="0"/>
          <w:cols w:space="720" w:num="1"/>
        </w:sectPr>
      </w:pP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860"/>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0" w:type="dxa"/>
            <w:tcBorders>
              <w:top w:val="nil"/>
            </w:tcBorders>
            <w:vAlign w:val="top"/>
          </w:tcPr>
          <w:p>
            <w:pPr>
              <w:pStyle w:val="6"/>
              <w:spacing w:before="100"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00"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before="1" w:line="224"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860" w:type="dxa"/>
            <w:tcBorders>
              <w:top w:val="nil"/>
            </w:tcBorders>
            <w:vAlign w:val="top"/>
          </w:tcPr>
          <w:p>
            <w:pPr>
              <w:pStyle w:val="6"/>
              <w:spacing w:before="100" w:line="231" w:lineRule="auto"/>
              <w:ind w:left="1575"/>
            </w:pPr>
            <w:r>
              <w:rPr>
                <w:spacing w:val="4"/>
                <w14:textOutline w14:w="3394" w14:cap="sq" w14:cmpd="sng">
                  <w14:solidFill>
                    <w14:srgbClr w14:val="000000"/>
                  </w14:solidFill>
                  <w14:prstDash w14:val="solid"/>
                  <w14:bevel/>
                </w14:textOutline>
              </w:rPr>
              <w:t>问题描述</w:t>
            </w:r>
          </w:p>
        </w:tc>
        <w:tc>
          <w:tcPr>
            <w:tcW w:w="4318" w:type="dxa"/>
            <w:tcBorders>
              <w:top w:val="nil"/>
            </w:tcBorders>
            <w:vAlign w:val="top"/>
          </w:tcPr>
          <w:p>
            <w:pPr>
              <w:pStyle w:val="6"/>
              <w:spacing w:before="100" w:line="229" w:lineRule="auto"/>
              <w:ind w:left="178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19"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219" w:line="229" w:lineRule="auto"/>
              <w:ind w:left="220"/>
            </w:pPr>
            <w:r>
              <w:rPr>
                <w:spacing w:val="8"/>
                <w14:textOutline w14:w="3394" w14:cap="sq" w14:cmpd="sng">
                  <w14:solidFill>
                    <w14:srgbClr w14:val="000000"/>
                  </w14:solidFill>
                  <w14:prstDash w14:val="solid"/>
                  <w14:bevel/>
                </w14:textOutline>
              </w:rPr>
              <w:t>现场类</w:t>
            </w:r>
          </w:p>
        </w:tc>
        <w:tc>
          <w:tcPr>
            <w:tcW w:w="891" w:type="dxa"/>
            <w:tcBorders>
              <w:top w:val="nil"/>
            </w:tcBorders>
            <w:vAlign w:val="top"/>
          </w:tcPr>
          <w:p>
            <w:pPr>
              <w:pStyle w:val="6"/>
              <w:spacing w:before="94" w:line="213" w:lineRule="auto"/>
              <w:ind w:left="405" w:right="22" w:hanging="345"/>
              <w:rPr>
                <w:sz w:val="19"/>
                <w:szCs w:val="19"/>
              </w:rPr>
            </w:pPr>
            <w:r>
              <w:rPr>
                <w:spacing w:val="8"/>
                <w:sz w:val="19"/>
                <w:szCs w:val="19"/>
                <w14:textOutline w14:w="3572" w14:cap="sq" w14:cmpd="sng">
                  <w14:solidFill>
                    <w14:srgbClr w14:val="000000"/>
                  </w14:solidFill>
                  <w14:prstDash w14:val="solid"/>
                  <w14:bevel/>
                </w14:textOutline>
              </w:rPr>
              <w:t>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Align w:val="top"/>
          </w:tcPr>
          <w:p>
            <w:pPr>
              <w:rPr>
                <w:rFonts w:ascii="Arial"/>
                <w:sz w:val="21"/>
              </w:rPr>
            </w:pPr>
          </w:p>
        </w:tc>
        <w:tc>
          <w:tcPr>
            <w:tcW w:w="556" w:type="dxa"/>
            <w:vAlign w:val="top"/>
          </w:tcPr>
          <w:p>
            <w:pPr>
              <w:spacing w:line="296" w:lineRule="auto"/>
              <w:rPr>
                <w:rFonts w:ascii="Arial"/>
                <w:sz w:val="21"/>
              </w:rPr>
            </w:pPr>
          </w:p>
          <w:p>
            <w:pPr>
              <w:spacing w:line="297" w:lineRule="auto"/>
              <w:rPr>
                <w:rFonts w:ascii="Arial"/>
                <w:sz w:val="21"/>
              </w:rPr>
            </w:pPr>
          </w:p>
          <w:p>
            <w:pPr>
              <w:pStyle w:val="6"/>
              <w:spacing w:before="59" w:line="190" w:lineRule="auto"/>
              <w:ind w:left="199"/>
            </w:pPr>
            <w:r>
              <w:rPr>
                <w:spacing w:val="-6"/>
              </w:rPr>
              <w:t>14</w:t>
            </w:r>
          </w:p>
        </w:tc>
        <w:tc>
          <w:tcPr>
            <w:tcW w:w="1112" w:type="dxa"/>
            <w:vAlign w:val="top"/>
          </w:tcPr>
          <w:p>
            <w:pPr>
              <w:spacing w:line="296" w:lineRule="auto"/>
              <w:rPr>
                <w:rFonts w:ascii="Arial"/>
                <w:sz w:val="21"/>
              </w:rPr>
            </w:pPr>
          </w:p>
          <w:p>
            <w:pPr>
              <w:spacing w:line="297" w:lineRule="auto"/>
              <w:rPr>
                <w:rFonts w:ascii="Arial"/>
                <w:sz w:val="21"/>
              </w:rPr>
            </w:pPr>
          </w:p>
          <w:p>
            <w:pPr>
              <w:pStyle w:val="6"/>
              <w:spacing w:before="59" w:line="190" w:lineRule="auto"/>
              <w:ind w:left="335"/>
            </w:pPr>
            <w:r>
              <w:t>1.2.1</w:t>
            </w:r>
          </w:p>
        </w:tc>
        <w:tc>
          <w:tcPr>
            <w:tcW w:w="386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0"/>
                <w:kern w:val="0"/>
                <w:sz w:val="18"/>
                <w:szCs w:val="18"/>
                <w:lang w:val="en-US" w:eastAsia="en-US" w:bidi="ar-SA"/>
              </w:rPr>
            </w:pPr>
            <w:r>
              <w:rPr>
                <w:rFonts w:hint="eastAsia" w:ascii="宋体" w:hAnsi="宋体" w:eastAsia="宋体" w:cs="宋体"/>
                <w:snapToGrid w:val="0"/>
                <w:color w:val="000000"/>
                <w:spacing w:val="10"/>
                <w:kern w:val="0"/>
                <w:sz w:val="18"/>
                <w:szCs w:val="18"/>
                <w:lang w:val="en-US" w:eastAsia="en-US" w:bidi="ar-SA"/>
              </w:rPr>
              <w:t>1.丙类仓库内存有22吨片碱，未按照《安全设施设计专篇》要求储存；液碱储存在储罐内，丙类仓库无片碱储存设计。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0"/>
                <w:kern w:val="0"/>
                <w:sz w:val="18"/>
                <w:szCs w:val="18"/>
                <w:lang w:val="en-US" w:eastAsia="en-US" w:bidi="ar-SA"/>
              </w:rPr>
            </w:pPr>
            <w:r>
              <w:rPr>
                <w:rFonts w:hint="eastAsia" w:ascii="宋体" w:hAnsi="宋体" w:eastAsia="宋体" w:cs="宋体"/>
                <w:snapToGrid w:val="0"/>
                <w:color w:val="000000"/>
                <w:spacing w:val="10"/>
                <w:kern w:val="0"/>
                <w:sz w:val="18"/>
                <w:szCs w:val="18"/>
                <w:lang w:val="en-US" w:eastAsia="en-US" w:bidi="ar-SA"/>
              </w:rPr>
              <w:t>2.检查时，42吨硫磺与34吨碳酸氢钠存放在一个防火分区内，不符合设计要求（硫磺为单独 的防火分区）。</w:t>
            </w:r>
          </w:p>
          <w:p>
            <w:pPr>
              <w:pStyle w:val="6"/>
              <w:spacing w:before="6" w:line="232" w:lineRule="auto"/>
              <w:ind w:left="35" w:firstLine="2"/>
              <w:jc w:val="both"/>
            </w:pPr>
          </w:p>
        </w:tc>
        <w:tc>
          <w:tcPr>
            <w:tcW w:w="4318" w:type="dxa"/>
            <w:vAlign w:val="top"/>
          </w:tcPr>
          <w:p>
            <w:pPr>
              <w:spacing w:line="282" w:lineRule="auto"/>
              <w:rPr>
                <w:rFonts w:ascii="Arial"/>
                <w:sz w:val="21"/>
              </w:rPr>
            </w:pPr>
          </w:p>
          <w:p>
            <w:pPr>
              <w:spacing w:line="282" w:lineRule="auto"/>
              <w:rPr>
                <w:rFonts w:ascii="Arial"/>
                <w:sz w:val="21"/>
              </w:rPr>
            </w:pPr>
          </w:p>
          <w:p>
            <w:pPr>
              <w:pStyle w:val="6"/>
              <w:spacing w:before="58" w:line="229" w:lineRule="auto"/>
            </w:pPr>
            <w:r>
              <w:rPr>
                <w:spacing w:val="5"/>
              </w:rPr>
              <w:t>1～2.按照设计要求整改。</w:t>
            </w:r>
          </w:p>
        </w:tc>
        <w:tc>
          <w:tcPr>
            <w:tcW w:w="1091" w:type="dxa"/>
            <w:vAlign w:val="top"/>
          </w:tcPr>
          <w:p>
            <w:pPr>
              <w:rPr>
                <w:rFonts w:ascii="Arial"/>
                <w:sz w:val="21"/>
              </w:rPr>
            </w:pPr>
          </w:p>
        </w:tc>
        <w:tc>
          <w:tcPr>
            <w:tcW w:w="1244" w:type="dxa"/>
            <w:vAlign w:val="top"/>
          </w:tcPr>
          <w:p>
            <w:pPr>
              <w:spacing w:line="282" w:lineRule="auto"/>
              <w:rPr>
                <w:rFonts w:ascii="Arial"/>
                <w:sz w:val="21"/>
              </w:rPr>
            </w:pPr>
          </w:p>
          <w:p>
            <w:pPr>
              <w:spacing w:line="282" w:lineRule="auto"/>
              <w:rPr>
                <w:rFonts w:ascii="Arial"/>
                <w:sz w:val="21"/>
              </w:rPr>
            </w:pPr>
          </w:p>
          <w:p>
            <w:pPr>
              <w:pStyle w:val="6"/>
              <w:spacing w:before="59"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0" w:type="dxa"/>
            <w:vMerge w:val="restart"/>
            <w:tcBorders>
              <w:bottom w:val="nil"/>
            </w:tcBorders>
            <w:vAlign w:val="top"/>
          </w:tcPr>
          <w:p>
            <w:pPr>
              <w:pStyle w:val="6"/>
              <w:spacing w:before="158" w:line="230" w:lineRule="auto"/>
              <w:ind w:left="127"/>
            </w:pPr>
            <w:r>
              <w:rPr>
                <w:spacing w:val="5"/>
                <w14:textOutline w14:w="3394" w14:cap="sq" w14:cmpd="sng">
                  <w14:solidFill>
                    <w14:srgbClr w14:val="000000"/>
                  </w14:solidFill>
                  <w14:prstDash w14:val="solid"/>
                  <w14:bevel/>
                </w14:textOutline>
              </w:rPr>
              <w:t>设计</w:t>
            </w:r>
          </w:p>
          <w:p>
            <w:pPr>
              <w:pStyle w:val="6"/>
              <w:spacing w:before="5" w:line="231" w:lineRule="auto"/>
              <w:ind w:left="128"/>
            </w:pPr>
            <w:r>
              <w:rPr>
                <w:spacing w:val="5"/>
                <w14:textOutline w14:w="3394" w14:cap="sq" w14:cmpd="sng">
                  <w14:solidFill>
                    <w14:srgbClr w14:val="000000"/>
                  </w14:solidFill>
                  <w14:prstDash w14:val="solid"/>
                  <w14:bevel/>
                </w14:textOutline>
              </w:rPr>
              <w:t>与总</w:t>
            </w:r>
          </w:p>
          <w:p>
            <w:pPr>
              <w:pStyle w:val="6"/>
              <w:spacing w:before="5" w:line="230" w:lineRule="auto"/>
              <w:ind w:left="236"/>
            </w:pPr>
            <w:r>
              <w:rPr>
                <w14:textOutline w14:w="3394" w14:cap="sq" w14:cmpd="sng">
                  <w14:solidFill>
                    <w14:srgbClr w14:val="000000"/>
                  </w14:solidFill>
                  <w14:prstDash w14:val="solid"/>
                  <w14:bevel/>
                </w14:textOutline>
              </w:rPr>
              <w:t>图</w:t>
            </w:r>
          </w:p>
        </w:tc>
        <w:tc>
          <w:tcPr>
            <w:tcW w:w="556" w:type="dxa"/>
            <w:vAlign w:val="top"/>
          </w:tcPr>
          <w:p>
            <w:pPr>
              <w:pStyle w:val="6"/>
              <w:spacing w:before="176" w:line="190" w:lineRule="auto"/>
              <w:ind w:left="199"/>
            </w:pPr>
            <w:r>
              <w:rPr>
                <w:spacing w:val="-6"/>
              </w:rPr>
              <w:t>15</w:t>
            </w:r>
          </w:p>
        </w:tc>
        <w:tc>
          <w:tcPr>
            <w:tcW w:w="1112" w:type="dxa"/>
            <w:vAlign w:val="top"/>
          </w:tcPr>
          <w:p>
            <w:pPr>
              <w:pStyle w:val="6"/>
              <w:spacing w:before="176" w:line="190" w:lineRule="auto"/>
              <w:ind w:left="323"/>
            </w:pPr>
            <w:r>
              <w:rPr>
                <w:spacing w:val="3"/>
              </w:rPr>
              <w:t>2.1.5</w:t>
            </w:r>
          </w:p>
        </w:tc>
        <w:tc>
          <w:tcPr>
            <w:tcW w:w="3860" w:type="dxa"/>
            <w:vAlign w:val="top"/>
          </w:tcPr>
          <w:p>
            <w:pPr>
              <w:pStyle w:val="6"/>
              <w:spacing w:before="30" w:line="218" w:lineRule="auto"/>
              <w:ind w:left="36" w:firstLine="1"/>
            </w:pPr>
            <w:r>
              <w:rPr>
                <w:rFonts w:hint="eastAsia" w:ascii="宋体" w:hAnsi="宋体" w:eastAsia="宋体" w:cs="宋体"/>
                <w:snapToGrid w:val="0"/>
                <w:color w:val="000000"/>
                <w:spacing w:val="10"/>
                <w:kern w:val="0"/>
                <w:sz w:val="18"/>
                <w:szCs w:val="18"/>
                <w:lang w:val="en-US" w:eastAsia="en-US" w:bidi="ar-SA"/>
              </w:rPr>
              <w:t>设计诊断报告中“生产车间十应设置环形消防 车道”，未整改。</w:t>
            </w:r>
          </w:p>
        </w:tc>
        <w:tc>
          <w:tcPr>
            <w:tcW w:w="4318" w:type="dxa"/>
            <w:vAlign w:val="top"/>
          </w:tcPr>
          <w:p>
            <w:pPr>
              <w:pStyle w:val="6"/>
              <w:spacing w:before="146" w:line="229" w:lineRule="auto"/>
              <w:ind w:left="39"/>
            </w:pPr>
            <w:r>
              <w:rPr>
                <w:spacing w:val="7"/>
              </w:rPr>
              <w:t>制定整改计划，尽快整改。</w:t>
            </w:r>
          </w:p>
        </w:tc>
        <w:tc>
          <w:tcPr>
            <w:tcW w:w="1091" w:type="dxa"/>
            <w:vAlign w:val="top"/>
          </w:tcPr>
          <w:p>
            <w:pPr>
              <w:rPr>
                <w:rFonts w:ascii="Arial"/>
                <w:sz w:val="21"/>
              </w:rPr>
            </w:pPr>
          </w:p>
        </w:tc>
        <w:tc>
          <w:tcPr>
            <w:tcW w:w="1244" w:type="dxa"/>
            <w:vAlign w:val="top"/>
          </w:tcPr>
          <w:p>
            <w:pPr>
              <w:pStyle w:val="6"/>
              <w:spacing w:before="147"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0" w:type="dxa"/>
            <w:vMerge w:val="continue"/>
            <w:tcBorders>
              <w:top w:val="nil"/>
            </w:tcBorders>
            <w:vAlign w:val="top"/>
          </w:tcPr>
          <w:p>
            <w:pPr>
              <w:rPr>
                <w:rFonts w:ascii="Arial"/>
                <w:sz w:val="21"/>
              </w:rPr>
            </w:pPr>
          </w:p>
        </w:tc>
        <w:tc>
          <w:tcPr>
            <w:tcW w:w="556" w:type="dxa"/>
            <w:vAlign w:val="top"/>
          </w:tcPr>
          <w:p>
            <w:pPr>
              <w:pStyle w:val="6"/>
              <w:spacing w:before="178" w:line="190" w:lineRule="auto"/>
              <w:ind w:left="199"/>
            </w:pPr>
            <w:r>
              <w:rPr>
                <w:spacing w:val="-6"/>
              </w:rPr>
              <w:t>16</w:t>
            </w:r>
          </w:p>
        </w:tc>
        <w:tc>
          <w:tcPr>
            <w:tcW w:w="1112" w:type="dxa"/>
            <w:vAlign w:val="top"/>
          </w:tcPr>
          <w:p>
            <w:pPr>
              <w:pStyle w:val="6"/>
              <w:spacing w:before="178" w:line="190" w:lineRule="auto"/>
              <w:ind w:left="323"/>
            </w:pPr>
            <w:r>
              <w:rPr>
                <w:spacing w:val="3"/>
              </w:rPr>
              <w:t>2.2.1</w:t>
            </w:r>
          </w:p>
        </w:tc>
        <w:tc>
          <w:tcPr>
            <w:tcW w:w="3860" w:type="dxa"/>
            <w:vAlign w:val="top"/>
          </w:tcPr>
          <w:p>
            <w:pPr>
              <w:pStyle w:val="6"/>
              <w:spacing w:before="32" w:line="217" w:lineRule="auto"/>
              <w:ind w:left="44" w:hanging="9"/>
            </w:pPr>
            <w:r>
              <w:rPr>
                <w:spacing w:val="20"/>
              </w:rPr>
              <w:t>三车间一层3台甲醇储罐处设置有一污水池</w:t>
            </w:r>
            <w:r>
              <w:rPr>
                <w:spacing w:val="6"/>
              </w:rPr>
              <w:t>（涉及可燃液体</w:t>
            </w:r>
            <w:r>
              <w:rPr>
                <w:spacing w:val="13"/>
              </w:rPr>
              <w:t>），</w:t>
            </w:r>
            <w:r>
              <w:rPr>
                <w:spacing w:val="6"/>
              </w:rPr>
              <w:t>无相应的布局设计。</w:t>
            </w:r>
          </w:p>
        </w:tc>
        <w:tc>
          <w:tcPr>
            <w:tcW w:w="4318" w:type="dxa"/>
            <w:vAlign w:val="top"/>
          </w:tcPr>
          <w:p>
            <w:pPr>
              <w:pStyle w:val="6"/>
              <w:spacing w:before="148" w:line="229" w:lineRule="auto"/>
              <w:ind w:left="39"/>
            </w:pPr>
            <w:r>
              <w:rPr>
                <w:spacing w:val="7"/>
              </w:rPr>
              <w:t>联系设计单位重新设计，污水池迁出密闭厂房。</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pStyle w:val="6"/>
              <w:spacing w:before="14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9" w:line="233" w:lineRule="auto"/>
              <w:ind w:left="124" w:right="106"/>
            </w:pPr>
            <w:r>
              <w:rPr>
                <w:spacing w:val="7"/>
                <w14:textOutline w14:w="3394" w14:cap="sq" w14:cmpd="sng">
                  <w14:solidFill>
                    <w14:srgbClr w14:val="000000"/>
                  </w14:solidFill>
                  <w14:prstDash w14:val="solid"/>
                  <w14:bevel/>
                </w14:textOutline>
              </w:rPr>
              <w:t>装置</w:t>
            </w:r>
            <w:r>
              <w:t xml:space="preserve"> </w:t>
            </w:r>
            <w:r>
              <w:rPr>
                <w:spacing w:val="7"/>
                <w14:textOutline w14:w="3394" w14:cap="sq" w14:cmpd="sng">
                  <w14:solidFill>
                    <w14:srgbClr w14:val="000000"/>
                  </w14:solidFill>
                  <w14:prstDash w14:val="solid"/>
                  <w14:bevel/>
                </w14:textOutline>
              </w:rPr>
              <w:t>运行</w:t>
            </w:r>
          </w:p>
        </w:tc>
        <w:tc>
          <w:tcPr>
            <w:tcW w:w="556" w:type="dxa"/>
            <w:vAlign w:val="top"/>
          </w:tcPr>
          <w:p>
            <w:pPr>
              <w:spacing w:line="299" w:lineRule="auto"/>
              <w:rPr>
                <w:rFonts w:ascii="Arial"/>
                <w:sz w:val="21"/>
              </w:rPr>
            </w:pPr>
          </w:p>
          <w:p>
            <w:pPr>
              <w:spacing w:line="300" w:lineRule="auto"/>
              <w:rPr>
                <w:rFonts w:ascii="Arial"/>
                <w:sz w:val="21"/>
              </w:rPr>
            </w:pPr>
          </w:p>
          <w:p>
            <w:pPr>
              <w:pStyle w:val="6"/>
              <w:spacing w:before="59" w:line="190" w:lineRule="auto"/>
              <w:ind w:left="199"/>
            </w:pPr>
            <w:r>
              <w:rPr>
                <w:spacing w:val="-6"/>
              </w:rPr>
              <w:t>17</w:t>
            </w:r>
          </w:p>
        </w:tc>
        <w:tc>
          <w:tcPr>
            <w:tcW w:w="1112" w:type="dxa"/>
            <w:vAlign w:val="top"/>
          </w:tcPr>
          <w:p>
            <w:pPr>
              <w:spacing w:line="299" w:lineRule="auto"/>
              <w:rPr>
                <w:rFonts w:ascii="Arial"/>
                <w:sz w:val="21"/>
              </w:rPr>
            </w:pPr>
          </w:p>
          <w:p>
            <w:pPr>
              <w:spacing w:line="300" w:lineRule="auto"/>
              <w:rPr>
                <w:rFonts w:ascii="Arial"/>
                <w:sz w:val="21"/>
              </w:rPr>
            </w:pPr>
          </w:p>
          <w:p>
            <w:pPr>
              <w:pStyle w:val="6"/>
              <w:spacing w:before="59" w:line="190" w:lineRule="auto"/>
              <w:ind w:left="324"/>
            </w:pPr>
            <w:r>
              <w:rPr>
                <w:spacing w:val="2"/>
              </w:rPr>
              <w:t>3.1.1</w:t>
            </w:r>
          </w:p>
        </w:tc>
        <w:tc>
          <w:tcPr>
            <w:tcW w:w="3860" w:type="dxa"/>
            <w:vAlign w:val="top"/>
          </w:tcPr>
          <w:p>
            <w:pPr>
              <w:pStyle w:val="6"/>
              <w:spacing w:before="169" w:line="235" w:lineRule="auto"/>
              <w:ind w:left="32" w:hanging="2"/>
              <w:jc w:val="both"/>
            </w:pPr>
            <w:r>
              <w:rPr>
                <w:spacing w:val="6"/>
              </w:rPr>
              <w:t>HAZOP分析报告建议措施3/4：M4精制浓缩釜 R10129A和粗品母液浓缩釜R10127A设置泄压</w:t>
            </w:r>
            <w:r>
              <w:rPr>
                <w:rFonts w:hint="eastAsia"/>
                <w:spacing w:val="6"/>
              </w:rPr>
              <w:t>装置，该建议措施未整改；且本质安全设计水平低，M4精制浓缩釜R10129A顶部压力PI10105A仅出具显示功能，未设置压力高报警功能。</w:t>
            </w:r>
          </w:p>
        </w:tc>
        <w:tc>
          <w:tcPr>
            <w:tcW w:w="4318" w:type="dxa"/>
            <w:vAlign w:val="top"/>
          </w:tcPr>
          <w:p>
            <w:pPr>
              <w:pStyle w:val="6"/>
              <w:spacing w:before="169" w:line="235" w:lineRule="auto"/>
              <w:ind w:left="34" w:firstLine="5"/>
              <w:jc w:val="both"/>
            </w:pPr>
            <w:r>
              <w:rPr>
                <w:spacing w:val="7"/>
              </w:rPr>
              <w:t>提升</w:t>
            </w:r>
            <w:r>
              <w:rPr>
                <w:rFonts w:hint="eastAsia"/>
                <w:spacing w:val="7"/>
              </w:rPr>
              <w:t>企业HAZOP分析的重视程度，做好培训，提高HAZOP分析能力，按照《危险与可操作性分析（HAZOP分析）应用指南》（GB/T35320-2017）第6.5条的要求，完善HAZOP分析报告，识别风险，从根本上提升装置的本质安全设计水平。</w:t>
            </w:r>
          </w:p>
        </w:tc>
        <w:tc>
          <w:tcPr>
            <w:tcW w:w="1091" w:type="dxa"/>
            <w:vAlign w:val="top"/>
          </w:tcPr>
          <w:p>
            <w:pPr>
              <w:spacing w:line="285" w:lineRule="auto"/>
              <w:rPr>
                <w:rFonts w:ascii="Arial"/>
                <w:sz w:val="21"/>
              </w:rPr>
            </w:pPr>
          </w:p>
          <w:p>
            <w:pPr>
              <w:spacing w:line="285" w:lineRule="auto"/>
              <w:rPr>
                <w:rFonts w:ascii="Arial"/>
                <w:sz w:val="21"/>
              </w:rPr>
            </w:pPr>
          </w:p>
          <w:p>
            <w:pPr>
              <w:pStyle w:val="6"/>
              <w:spacing w:before="58" w:line="242"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2" w:hRule="atLeast"/>
        </w:trPr>
        <w:tc>
          <w:tcPr>
            <w:tcW w:w="620" w:type="dxa"/>
            <w:vMerge w:val="continue"/>
            <w:tcBorders>
              <w:top w:val="nil"/>
              <w:bottom w:val="nil"/>
            </w:tcBorders>
            <w:vAlign w:val="top"/>
          </w:tcPr>
          <w:p>
            <w:pPr>
              <w:rPr>
                <w:rFonts w:ascii="Arial"/>
                <w:sz w:val="21"/>
              </w:rPr>
            </w:pPr>
          </w:p>
        </w:tc>
        <w:tc>
          <w:tcPr>
            <w:tcW w:w="556"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6"/>
              <w:spacing w:before="59" w:line="190" w:lineRule="auto"/>
              <w:ind w:left="199"/>
            </w:pPr>
            <w:r>
              <w:rPr>
                <w:spacing w:val="-6"/>
              </w:rPr>
              <w:t>18</w:t>
            </w:r>
          </w:p>
        </w:tc>
        <w:tc>
          <w:tcPr>
            <w:tcW w:w="1112" w:type="dxa"/>
            <w:vAlign w:val="top"/>
          </w:tcPr>
          <w:p>
            <w:pPr>
              <w:rPr>
                <w:rFonts w:ascii="Arial"/>
                <w:sz w:val="21"/>
              </w:rPr>
            </w:pPr>
          </w:p>
          <w:p>
            <w:pPr>
              <w:spacing w:line="241" w:lineRule="auto"/>
              <w:rPr>
                <w:rFonts w:ascii="Arial"/>
                <w:sz w:val="21"/>
              </w:rPr>
            </w:pPr>
          </w:p>
          <w:p>
            <w:pPr>
              <w:spacing w:line="241" w:lineRule="auto"/>
              <w:rPr>
                <w:rFonts w:ascii="Arial"/>
                <w:sz w:val="21"/>
              </w:rPr>
            </w:pPr>
          </w:p>
          <w:p>
            <w:pPr>
              <w:pStyle w:val="6"/>
              <w:spacing w:before="59" w:line="190" w:lineRule="auto"/>
              <w:ind w:left="324"/>
            </w:pPr>
            <w:r>
              <w:rPr>
                <w:spacing w:val="2"/>
              </w:rPr>
              <w:t>3.1.1</w:t>
            </w:r>
          </w:p>
        </w:tc>
        <w:tc>
          <w:tcPr>
            <w:tcW w:w="3860" w:type="dxa"/>
            <w:vAlign w:val="top"/>
          </w:tcPr>
          <w:p>
            <w:pPr>
              <w:pStyle w:val="6"/>
              <w:spacing w:before="64" w:line="234" w:lineRule="auto"/>
              <w:ind w:left="31" w:hanging="1"/>
            </w:pPr>
            <w:r>
              <w:rPr>
                <w:rFonts w:hint="eastAsia"/>
                <w:spacing w:val="6"/>
              </w:rPr>
              <w:t>HAZOP分析报告建议措施11：设置二氯循环泵P10305电流异常，联锁切断二氯反应釜R10303的三氯硫磷和甲醇进料，该建议措施未整改，同时HAZOP分析报告中，偏离二氯反应釜温度过高，未识别TIC1303温度报警及其控制调节功能，且未识别紧急切断阀XV13033B打开冷媒联锁。</w:t>
            </w:r>
          </w:p>
        </w:tc>
        <w:tc>
          <w:tcPr>
            <w:tcW w:w="4318" w:type="dxa"/>
            <w:vAlign w:val="top"/>
          </w:tcPr>
          <w:p>
            <w:pPr>
              <w:pStyle w:val="6"/>
              <w:spacing w:before="294" w:line="235" w:lineRule="auto"/>
              <w:ind w:left="34" w:firstLine="5"/>
              <w:jc w:val="both"/>
            </w:pPr>
            <w:r>
              <w:rPr>
                <w:rFonts w:hint="eastAsia"/>
                <w:spacing w:val="7"/>
              </w:rPr>
              <w:t>提升企业HAZOP分析的重视程度，做好培训，提高HAZOP分析能力，按照《危险与可操作性分析（HAZOP分析）应用指南》（GB/T35320-2017）第6.5条的要求，完善HAZOP分析报告，识别风险，从根本上提升装置的本质安全设计水平</w:t>
            </w:r>
          </w:p>
        </w:tc>
        <w:tc>
          <w:tcPr>
            <w:tcW w:w="1091" w:type="dxa"/>
            <w:vAlign w:val="top"/>
          </w:tcPr>
          <w:p>
            <w:pPr>
              <w:spacing w:line="346" w:lineRule="auto"/>
              <w:rPr>
                <w:rFonts w:ascii="Arial"/>
                <w:sz w:val="21"/>
              </w:rPr>
            </w:pPr>
          </w:p>
          <w:p>
            <w:pPr>
              <w:spacing w:line="347" w:lineRule="auto"/>
              <w:rPr>
                <w:rFonts w:ascii="Arial"/>
                <w:sz w:val="21"/>
              </w:rPr>
            </w:pPr>
          </w:p>
          <w:p>
            <w:pPr>
              <w:pStyle w:val="6"/>
              <w:spacing w:before="59" w:line="241"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4"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9" w:line="190" w:lineRule="auto"/>
              <w:ind w:left="199"/>
            </w:pPr>
            <w:r>
              <w:rPr>
                <w:spacing w:val="-6"/>
              </w:rPr>
              <w:t>19</w:t>
            </w:r>
          </w:p>
        </w:tc>
        <w:tc>
          <w:tcPr>
            <w:tcW w:w="1112"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9" w:line="190" w:lineRule="auto"/>
              <w:ind w:left="324"/>
            </w:pPr>
            <w:r>
              <w:rPr>
                <w:spacing w:val="2"/>
              </w:rPr>
              <w:t>3.3.1</w:t>
            </w:r>
          </w:p>
        </w:tc>
        <w:tc>
          <w:tcPr>
            <w:tcW w:w="3860" w:type="dxa"/>
            <w:vAlign w:val="top"/>
          </w:tcPr>
          <w:p>
            <w:pPr>
              <w:pStyle w:val="6"/>
              <w:spacing w:before="71" w:line="235" w:lineRule="auto"/>
              <w:ind w:left="34" w:firstLine="3"/>
            </w:pPr>
            <w:r>
              <w:rPr>
                <w:rFonts w:hint="eastAsia"/>
                <w:spacing w:val="6"/>
              </w:rPr>
              <w:t>异丁酸合成塔T10306A顶部在线氧分析仪（P&amp;ID）设计有两台，实际现场为一台，两者不一致；同时现场氧含量分析仪安装错误，采样口未连接，将采样管线连接到尾气排放口；且在线分析管理薄弱，未制定在线分析（氧分析仪）相关管理制度或规定，职责缺失，无相关维护标定等相关要求，未提供定期标定的资料。</w:t>
            </w:r>
          </w:p>
        </w:tc>
        <w:tc>
          <w:tcPr>
            <w:tcW w:w="4318" w:type="dxa"/>
            <w:vAlign w:val="top"/>
          </w:tcPr>
          <w:p>
            <w:pPr>
              <w:spacing w:line="473" w:lineRule="auto"/>
              <w:rPr>
                <w:rFonts w:ascii="Arial"/>
                <w:sz w:val="21"/>
              </w:rPr>
            </w:pPr>
          </w:p>
          <w:p>
            <w:pPr>
              <w:pStyle w:val="6"/>
              <w:spacing w:before="58" w:line="234" w:lineRule="auto"/>
              <w:ind w:left="37" w:firstLine="1"/>
              <w:jc w:val="both"/>
            </w:pPr>
            <w:r>
              <w:rPr>
                <w:rFonts w:hint="eastAsia"/>
                <w:spacing w:val="7"/>
              </w:rPr>
              <w:t>联系设计单位核实设计整改。异丁酸合成作为重点监管工艺—氧化反应，需特殊关注氧含量（SIS系 统） 。做好仪表专业人员的培训，加强在线分析仪表的维护，确保氧含量准确。同时定期开展标定。</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42"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9" w:lineRule="auto"/>
              <w:rPr>
                <w:rFonts w:ascii="Arial"/>
                <w:sz w:val="21"/>
              </w:rPr>
            </w:pPr>
          </w:p>
          <w:p>
            <w:pPr>
              <w:pStyle w:val="6"/>
              <w:spacing w:before="59" w:line="189" w:lineRule="auto"/>
              <w:ind w:left="187"/>
            </w:pPr>
            <w:r>
              <w:t>20</w:t>
            </w:r>
          </w:p>
        </w:tc>
        <w:tc>
          <w:tcPr>
            <w:tcW w:w="1112" w:type="dxa"/>
            <w:vAlign w:val="top"/>
          </w:tcPr>
          <w:p>
            <w:pPr>
              <w:spacing w:line="249" w:lineRule="auto"/>
              <w:rPr>
                <w:rFonts w:ascii="Arial"/>
                <w:sz w:val="21"/>
              </w:rPr>
            </w:pPr>
          </w:p>
          <w:p>
            <w:pPr>
              <w:pStyle w:val="6"/>
              <w:spacing w:before="59" w:line="189" w:lineRule="auto"/>
              <w:ind w:left="324"/>
            </w:pPr>
            <w:r>
              <w:rPr>
                <w:spacing w:val="2"/>
              </w:rPr>
              <w:t>3.3.2</w:t>
            </w:r>
          </w:p>
        </w:tc>
        <w:tc>
          <w:tcPr>
            <w:tcW w:w="3860" w:type="dxa"/>
            <w:vAlign w:val="top"/>
          </w:tcPr>
          <w:p>
            <w:pPr>
              <w:pStyle w:val="6"/>
              <w:spacing w:before="49" w:line="222" w:lineRule="auto"/>
              <w:ind w:left="33" w:right="9" w:firstLine="6"/>
              <w:jc w:val="both"/>
            </w:pPr>
            <w:r>
              <w:rPr>
                <w:rFonts w:hint="eastAsia"/>
                <w:spacing w:val="6"/>
              </w:rPr>
              <w:t>原设异丁醛计量罐V102A01A/B液位控制LICA102A01AB为调节功能；目前DCS实际设置为液位高高联锁功能，两者不一致。</w:t>
            </w:r>
          </w:p>
        </w:tc>
        <w:tc>
          <w:tcPr>
            <w:tcW w:w="4318" w:type="dxa"/>
            <w:vAlign w:val="top"/>
          </w:tcPr>
          <w:p>
            <w:pPr>
              <w:pStyle w:val="6"/>
              <w:spacing w:before="279" w:line="229" w:lineRule="auto"/>
              <w:ind w:left="40"/>
            </w:pPr>
            <w:r>
              <w:rPr>
                <w:spacing w:val="7"/>
              </w:rPr>
              <w:t>核对原设计，做好变更管理。</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pStyle w:val="6"/>
              <w:spacing w:before="279"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9" w:lineRule="auto"/>
              <w:rPr>
                <w:rFonts w:ascii="Arial"/>
                <w:sz w:val="21"/>
              </w:rPr>
            </w:pPr>
          </w:p>
          <w:p>
            <w:pPr>
              <w:pStyle w:val="6"/>
              <w:spacing w:before="59" w:line="190" w:lineRule="auto"/>
              <w:ind w:left="187"/>
            </w:pPr>
            <w:r>
              <w:t>21</w:t>
            </w:r>
          </w:p>
        </w:tc>
        <w:tc>
          <w:tcPr>
            <w:tcW w:w="1112" w:type="dxa"/>
            <w:vAlign w:val="top"/>
          </w:tcPr>
          <w:p>
            <w:pPr>
              <w:spacing w:line="370" w:lineRule="auto"/>
              <w:rPr>
                <w:rFonts w:ascii="Arial"/>
                <w:sz w:val="21"/>
              </w:rPr>
            </w:pPr>
          </w:p>
          <w:p>
            <w:pPr>
              <w:pStyle w:val="6"/>
              <w:spacing w:before="59" w:line="189" w:lineRule="auto"/>
              <w:ind w:left="324"/>
            </w:pPr>
            <w:r>
              <w:rPr>
                <w:spacing w:val="2"/>
              </w:rPr>
              <w:t>3.3.2</w:t>
            </w:r>
          </w:p>
        </w:tc>
        <w:tc>
          <w:tcPr>
            <w:tcW w:w="3860" w:type="dxa"/>
            <w:vAlign w:val="top"/>
          </w:tcPr>
          <w:p>
            <w:pPr>
              <w:pStyle w:val="6"/>
              <w:spacing w:before="169" w:line="234" w:lineRule="auto"/>
              <w:ind w:left="30" w:right="11" w:firstLine="8"/>
              <w:jc w:val="both"/>
            </w:pPr>
            <w:r>
              <w:rPr>
                <w:spacing w:val="7"/>
              </w:rPr>
              <w:t>原设计异丁酸合成塔A/B泄放管线为V10340C和</w:t>
            </w:r>
            <w:r>
              <w:rPr>
                <w:spacing w:val="12"/>
              </w:rPr>
              <w:t xml:space="preserve"> </w:t>
            </w:r>
            <w:r>
              <w:rPr>
                <w:spacing w:val="5"/>
              </w:rPr>
              <w:t>V10340D分开设置，目前现场泄放管线V10340C</w:t>
            </w:r>
            <w:r>
              <w:t xml:space="preserve"> </w:t>
            </w:r>
            <w:r>
              <w:rPr>
                <w:spacing w:val="6"/>
              </w:rPr>
              <w:t>和V10340D连接在一起，两者不一致。</w:t>
            </w:r>
          </w:p>
        </w:tc>
        <w:tc>
          <w:tcPr>
            <w:tcW w:w="4318" w:type="dxa"/>
            <w:vAlign w:val="top"/>
          </w:tcPr>
          <w:p>
            <w:pPr>
              <w:spacing w:line="340" w:lineRule="auto"/>
              <w:rPr>
                <w:rFonts w:ascii="Arial"/>
                <w:sz w:val="21"/>
              </w:rPr>
            </w:pPr>
          </w:p>
          <w:p>
            <w:pPr>
              <w:pStyle w:val="6"/>
              <w:spacing w:before="58" w:line="229" w:lineRule="auto"/>
              <w:ind w:left="40"/>
            </w:pPr>
            <w:r>
              <w:rPr>
                <w:spacing w:val="7"/>
              </w:rPr>
              <w:t>核对原设计，做好变更管理。</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40" w:lineRule="auto"/>
              <w:rPr>
                <w:rFonts w:ascii="Arial"/>
                <w:sz w:val="21"/>
              </w:rPr>
            </w:pPr>
          </w:p>
          <w:p>
            <w:pPr>
              <w:pStyle w:val="6"/>
              <w:spacing w:before="59" w:line="241" w:lineRule="exact"/>
              <w:ind w:left="456"/>
            </w:pPr>
            <w:r>
              <w:rPr>
                <w:position w:val="1"/>
              </w:rPr>
              <w:t>√</w:t>
            </w:r>
          </w:p>
        </w:tc>
        <w:tc>
          <w:tcPr>
            <w:tcW w:w="891"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99" w:right="1138" w:bottom="0" w:left="1010" w:header="0" w:footer="0" w:gutter="0"/>
          <w:cols w:space="720" w:num="1"/>
        </w:sectPr>
      </w:pP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860"/>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0" w:type="dxa"/>
            <w:tcBorders>
              <w:top w:val="nil"/>
            </w:tcBorders>
            <w:vAlign w:val="top"/>
          </w:tcPr>
          <w:p>
            <w:pPr>
              <w:pStyle w:val="6"/>
              <w:spacing w:before="100"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00"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before="1" w:line="224"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860" w:type="dxa"/>
            <w:tcBorders>
              <w:top w:val="nil"/>
            </w:tcBorders>
            <w:vAlign w:val="top"/>
          </w:tcPr>
          <w:p>
            <w:pPr>
              <w:pStyle w:val="6"/>
              <w:spacing w:before="100" w:line="231" w:lineRule="auto"/>
              <w:ind w:left="1575"/>
            </w:pPr>
            <w:r>
              <w:rPr>
                <w:spacing w:val="4"/>
                <w14:textOutline w14:w="3394" w14:cap="sq" w14:cmpd="sng">
                  <w14:solidFill>
                    <w14:srgbClr w14:val="000000"/>
                  </w14:solidFill>
                  <w14:prstDash w14:val="solid"/>
                  <w14:bevel/>
                </w14:textOutline>
              </w:rPr>
              <w:t>问题描述</w:t>
            </w:r>
          </w:p>
        </w:tc>
        <w:tc>
          <w:tcPr>
            <w:tcW w:w="4318" w:type="dxa"/>
            <w:tcBorders>
              <w:top w:val="nil"/>
            </w:tcBorders>
            <w:vAlign w:val="top"/>
          </w:tcPr>
          <w:p>
            <w:pPr>
              <w:pStyle w:val="6"/>
              <w:spacing w:before="100" w:line="229" w:lineRule="auto"/>
              <w:ind w:left="178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19"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219" w:line="229" w:lineRule="auto"/>
              <w:ind w:left="220"/>
            </w:pPr>
            <w:r>
              <w:rPr>
                <w:spacing w:val="8"/>
                <w14:textOutline w14:w="3394" w14:cap="sq" w14:cmpd="sng">
                  <w14:solidFill>
                    <w14:srgbClr w14:val="000000"/>
                  </w14:solidFill>
                  <w14:prstDash w14:val="solid"/>
                  <w14:bevel/>
                </w14:textOutline>
              </w:rPr>
              <w:t>现场类</w:t>
            </w:r>
          </w:p>
        </w:tc>
        <w:tc>
          <w:tcPr>
            <w:tcW w:w="891" w:type="dxa"/>
            <w:tcBorders>
              <w:top w:val="nil"/>
            </w:tcBorders>
            <w:vAlign w:val="top"/>
          </w:tcPr>
          <w:p>
            <w:pPr>
              <w:pStyle w:val="6"/>
              <w:spacing w:before="94" w:line="213" w:lineRule="auto"/>
              <w:ind w:left="405" w:right="22" w:hanging="345"/>
              <w:rPr>
                <w:sz w:val="19"/>
                <w:szCs w:val="19"/>
              </w:rPr>
            </w:pPr>
            <w:r>
              <w:rPr>
                <w:spacing w:val="8"/>
                <w:sz w:val="19"/>
                <w:szCs w:val="19"/>
                <w14:textOutline w14:w="3572" w14:cap="sq" w14:cmpd="sng">
                  <w14:solidFill>
                    <w14:srgbClr w14:val="000000"/>
                  </w14:solidFill>
                  <w14:prstDash w14:val="solid"/>
                  <w14:bevel/>
                </w14:textOutline>
              </w:rPr>
              <w:t>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620" w:type="dxa"/>
            <w:vMerge w:val="restart"/>
            <w:tcBorders>
              <w:bottom w:val="nil"/>
            </w:tcBorders>
            <w:vAlign w:val="top"/>
          </w:tcPr>
          <w:p>
            <w:pPr>
              <w:rPr>
                <w:rFonts w:ascii="Arial"/>
                <w:sz w:val="21"/>
              </w:rPr>
            </w:pPr>
          </w:p>
        </w:tc>
        <w:tc>
          <w:tcPr>
            <w:tcW w:w="556" w:type="dxa"/>
            <w:vAlign w:val="top"/>
          </w:tcPr>
          <w:p>
            <w:pPr>
              <w:pStyle w:val="6"/>
              <w:spacing w:before="297" w:line="189" w:lineRule="auto"/>
              <w:ind w:left="187"/>
            </w:pPr>
            <w:r>
              <w:t>22</w:t>
            </w:r>
          </w:p>
        </w:tc>
        <w:tc>
          <w:tcPr>
            <w:tcW w:w="1112" w:type="dxa"/>
            <w:vAlign w:val="top"/>
          </w:tcPr>
          <w:p>
            <w:pPr>
              <w:pStyle w:val="6"/>
              <w:spacing w:before="297" w:line="189" w:lineRule="auto"/>
              <w:ind w:left="324"/>
            </w:pPr>
            <w:r>
              <w:rPr>
                <w:spacing w:val="2"/>
              </w:rPr>
              <w:t>3.3.5</w:t>
            </w:r>
          </w:p>
        </w:tc>
        <w:tc>
          <w:tcPr>
            <w:tcW w:w="3860" w:type="dxa"/>
            <w:vAlign w:val="top"/>
          </w:tcPr>
          <w:p>
            <w:pPr>
              <w:pStyle w:val="6"/>
              <w:spacing w:before="149" w:line="233" w:lineRule="auto"/>
              <w:ind w:left="37" w:right="6"/>
            </w:pPr>
            <w:r>
              <w:rPr>
                <w:spacing w:val="8"/>
              </w:rPr>
              <w:t>异丁醛储罐V20605设置有氮封，未履行变更手</w:t>
            </w:r>
            <w:r>
              <w:rPr>
                <w:spacing w:val="-1"/>
              </w:rPr>
              <w:t>续。</w:t>
            </w:r>
          </w:p>
        </w:tc>
        <w:tc>
          <w:tcPr>
            <w:tcW w:w="4318" w:type="dxa"/>
            <w:vAlign w:val="top"/>
          </w:tcPr>
          <w:p>
            <w:pPr>
              <w:pStyle w:val="6"/>
              <w:spacing w:before="37" w:line="226" w:lineRule="auto"/>
              <w:ind w:left="40" w:right="8"/>
            </w:pPr>
            <w:r>
              <w:rPr>
                <w:spacing w:val="8"/>
              </w:rPr>
              <w:t>按照《关于加强化工过程安全管理的指导意见》（安监总管三〔2013〕88号）第（二十四）条的要求，加强变更管理。</w:t>
            </w:r>
          </w:p>
        </w:tc>
        <w:tc>
          <w:tcPr>
            <w:tcW w:w="1091" w:type="dxa"/>
            <w:vAlign w:val="top"/>
          </w:tcPr>
          <w:p>
            <w:pPr>
              <w:rPr>
                <w:rFonts w:ascii="Arial"/>
                <w:sz w:val="21"/>
              </w:rPr>
            </w:pPr>
          </w:p>
        </w:tc>
        <w:tc>
          <w:tcPr>
            <w:tcW w:w="1244" w:type="dxa"/>
            <w:vAlign w:val="top"/>
          </w:tcPr>
          <w:p>
            <w:pPr>
              <w:pStyle w:val="6"/>
              <w:spacing w:before="267"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57" w:lineRule="auto"/>
              <w:rPr>
                <w:rFonts w:ascii="Arial"/>
                <w:sz w:val="21"/>
              </w:rPr>
            </w:pPr>
          </w:p>
          <w:p>
            <w:pPr>
              <w:pStyle w:val="6"/>
              <w:spacing w:before="58" w:line="189" w:lineRule="auto"/>
              <w:ind w:left="187"/>
            </w:pPr>
            <w:r>
              <w:t>23</w:t>
            </w:r>
          </w:p>
        </w:tc>
        <w:tc>
          <w:tcPr>
            <w:tcW w:w="1112" w:type="dxa"/>
            <w:vAlign w:val="top"/>
          </w:tcPr>
          <w:p>
            <w:pPr>
              <w:spacing w:line="357" w:lineRule="auto"/>
              <w:rPr>
                <w:rFonts w:ascii="Arial"/>
                <w:sz w:val="21"/>
              </w:rPr>
            </w:pPr>
          </w:p>
          <w:p>
            <w:pPr>
              <w:pStyle w:val="6"/>
              <w:spacing w:before="58" w:line="189" w:lineRule="auto"/>
              <w:ind w:left="324"/>
            </w:pPr>
            <w:r>
              <w:rPr>
                <w:spacing w:val="2"/>
              </w:rPr>
              <w:t>3.3.5</w:t>
            </w:r>
          </w:p>
        </w:tc>
        <w:tc>
          <w:tcPr>
            <w:tcW w:w="3860" w:type="dxa"/>
            <w:vAlign w:val="top"/>
          </w:tcPr>
          <w:p>
            <w:pPr>
              <w:pStyle w:val="6"/>
              <w:spacing w:before="40" w:line="230" w:lineRule="auto"/>
              <w:ind w:left="37" w:right="10" w:hanging="8"/>
              <w:jc w:val="both"/>
            </w:pPr>
            <w:r>
              <w:rPr>
                <w:spacing w:val="8"/>
              </w:rPr>
              <w:t>M4蒸馏接受罐 V10148A/B排放管线（VT- 10108A/B）原设计管道等级为L1E（金属管线），现场为非金属管线（LIG），未履行变更手续。</w:t>
            </w:r>
          </w:p>
        </w:tc>
        <w:tc>
          <w:tcPr>
            <w:tcW w:w="4318" w:type="dxa"/>
            <w:vAlign w:val="top"/>
          </w:tcPr>
          <w:p>
            <w:pPr>
              <w:pStyle w:val="6"/>
              <w:spacing w:before="156" w:line="234" w:lineRule="auto"/>
              <w:ind w:left="40" w:right="8"/>
            </w:pPr>
            <w:r>
              <w:rPr>
                <w:spacing w:val="8"/>
              </w:rPr>
              <w:t>按照《关于加强化工过程安全管理的指导意见》（安监总管三〔2013〕88号）第（二十四）条的要求，加强变更管理，联系设计整改。</w:t>
            </w:r>
          </w:p>
        </w:tc>
        <w:tc>
          <w:tcPr>
            <w:tcW w:w="1091" w:type="dxa"/>
            <w:vAlign w:val="top"/>
          </w:tcPr>
          <w:p>
            <w:pPr>
              <w:rPr>
                <w:rFonts w:ascii="Arial"/>
                <w:sz w:val="21"/>
              </w:rPr>
            </w:pPr>
          </w:p>
        </w:tc>
        <w:tc>
          <w:tcPr>
            <w:tcW w:w="1244" w:type="dxa"/>
            <w:vAlign w:val="top"/>
          </w:tcPr>
          <w:p>
            <w:pPr>
              <w:spacing w:line="327" w:lineRule="auto"/>
              <w:rPr>
                <w:rFonts w:ascii="Arial"/>
                <w:sz w:val="21"/>
              </w:rPr>
            </w:pPr>
          </w:p>
          <w:p>
            <w:pPr>
              <w:pStyle w:val="6"/>
              <w:spacing w:before="58"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0" w:type="dxa"/>
            <w:vMerge w:val="continue"/>
            <w:tcBorders>
              <w:top w:val="nil"/>
              <w:bottom w:val="nil"/>
            </w:tcBorders>
            <w:vAlign w:val="top"/>
          </w:tcPr>
          <w:p>
            <w:pPr>
              <w:rPr>
                <w:rFonts w:ascii="Arial"/>
                <w:sz w:val="21"/>
              </w:rPr>
            </w:pPr>
          </w:p>
        </w:tc>
        <w:tc>
          <w:tcPr>
            <w:tcW w:w="556" w:type="dxa"/>
            <w:vAlign w:val="top"/>
          </w:tcPr>
          <w:p>
            <w:pPr>
              <w:pStyle w:val="6"/>
              <w:spacing w:before="177" w:line="189" w:lineRule="auto"/>
              <w:ind w:left="187"/>
            </w:pPr>
            <w:r>
              <w:t>24</w:t>
            </w:r>
          </w:p>
        </w:tc>
        <w:tc>
          <w:tcPr>
            <w:tcW w:w="1112" w:type="dxa"/>
            <w:vAlign w:val="top"/>
          </w:tcPr>
          <w:p>
            <w:pPr>
              <w:pStyle w:val="6"/>
              <w:spacing w:before="176" w:line="190" w:lineRule="auto"/>
              <w:ind w:left="324"/>
            </w:pPr>
            <w:r>
              <w:rPr>
                <w:spacing w:val="2"/>
              </w:rPr>
              <w:t>3.4.1</w:t>
            </w:r>
          </w:p>
        </w:tc>
        <w:tc>
          <w:tcPr>
            <w:tcW w:w="3860" w:type="dxa"/>
            <w:vAlign w:val="top"/>
          </w:tcPr>
          <w:p>
            <w:pPr>
              <w:pStyle w:val="6"/>
              <w:spacing w:before="34" w:line="216" w:lineRule="auto"/>
              <w:ind w:left="41" w:right="1" w:hanging="6"/>
            </w:pPr>
            <w:r>
              <w:rPr>
                <w:spacing w:val="8"/>
              </w:rPr>
              <w:t>SIS操作画面未设置权限，预留修改输入功能，随时可以SIS联锁值编辑修改。</w:t>
            </w:r>
          </w:p>
        </w:tc>
        <w:tc>
          <w:tcPr>
            <w:tcW w:w="4318" w:type="dxa"/>
            <w:vAlign w:val="top"/>
          </w:tcPr>
          <w:p>
            <w:pPr>
              <w:pStyle w:val="6"/>
              <w:spacing w:before="147" w:line="229" w:lineRule="auto"/>
              <w:ind w:left="41"/>
            </w:pPr>
            <w:r>
              <w:rPr>
                <w:spacing w:val="8"/>
              </w:rPr>
              <w:t>设置权限，避免操作人员随意修改联锁值。</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pStyle w:val="6"/>
              <w:spacing w:before="147"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99" w:lineRule="auto"/>
              <w:rPr>
                <w:rFonts w:ascii="Arial"/>
                <w:sz w:val="21"/>
              </w:rPr>
            </w:pPr>
          </w:p>
          <w:p>
            <w:pPr>
              <w:spacing w:line="300" w:lineRule="auto"/>
              <w:rPr>
                <w:rFonts w:ascii="Arial"/>
                <w:sz w:val="21"/>
              </w:rPr>
            </w:pPr>
          </w:p>
          <w:p>
            <w:pPr>
              <w:pStyle w:val="6"/>
              <w:spacing w:before="58" w:line="189" w:lineRule="auto"/>
              <w:ind w:left="187"/>
            </w:pPr>
            <w:r>
              <w:t>25</w:t>
            </w:r>
          </w:p>
        </w:tc>
        <w:tc>
          <w:tcPr>
            <w:tcW w:w="1112" w:type="dxa"/>
            <w:vAlign w:val="top"/>
          </w:tcPr>
          <w:p>
            <w:pPr>
              <w:spacing w:line="299" w:lineRule="auto"/>
              <w:rPr>
                <w:rFonts w:ascii="Arial"/>
                <w:sz w:val="21"/>
              </w:rPr>
            </w:pPr>
          </w:p>
          <w:p>
            <w:pPr>
              <w:spacing w:line="300" w:lineRule="auto"/>
              <w:rPr>
                <w:rFonts w:ascii="Arial"/>
                <w:sz w:val="21"/>
              </w:rPr>
            </w:pPr>
          </w:p>
          <w:p>
            <w:pPr>
              <w:pStyle w:val="6"/>
              <w:spacing w:before="58" w:line="189" w:lineRule="auto"/>
              <w:ind w:left="324"/>
            </w:pPr>
            <w:r>
              <w:rPr>
                <w:spacing w:val="2"/>
              </w:rPr>
              <w:t>3.4.2</w:t>
            </w:r>
          </w:p>
        </w:tc>
        <w:tc>
          <w:tcPr>
            <w:tcW w:w="3860" w:type="dxa"/>
            <w:vAlign w:val="top"/>
          </w:tcPr>
          <w:p>
            <w:pPr>
              <w:pStyle w:val="6"/>
              <w:spacing w:before="287" w:line="234" w:lineRule="auto"/>
              <w:ind w:left="35" w:right="11" w:firstLine="24"/>
              <w:jc w:val="both"/>
            </w:pPr>
            <w:r>
              <w:rPr>
                <w:spacing w:val="8"/>
              </w:rPr>
              <w:t>甲醇储罐A温度检测量程为0~100℃，L报警值为0℃，报警下限为量程下限，无法L报警，且检查期间，冬季将无法显示真实温度，量程下限过小。</w:t>
            </w:r>
          </w:p>
        </w:tc>
        <w:tc>
          <w:tcPr>
            <w:tcW w:w="4318" w:type="dxa"/>
            <w:vAlign w:val="top"/>
          </w:tcPr>
          <w:p>
            <w:pPr>
              <w:pStyle w:val="6"/>
              <w:spacing w:before="56" w:line="233" w:lineRule="auto"/>
              <w:ind w:left="38" w:firstLine="1"/>
            </w:pPr>
            <w:r>
              <w:rPr>
                <w:spacing w:val="8"/>
              </w:rPr>
              <w:t>参照《过程工业报警系统管理》（GB/T41261-2022）、《化工企业工艺报警管理实施指南》（TCCSAS012—2022）的要求，依据工艺设计资料，将操作规程报警值与DCS系统设置报警值确保一致性，同时设置合适的设定值，加强报警管理，及时处置。</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84" w:lineRule="auto"/>
              <w:rPr>
                <w:rFonts w:ascii="Arial"/>
                <w:sz w:val="21"/>
              </w:rPr>
            </w:pPr>
          </w:p>
          <w:p>
            <w:pPr>
              <w:spacing w:line="285"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00" w:lineRule="auto"/>
              <w:rPr>
                <w:rFonts w:ascii="Arial"/>
                <w:sz w:val="21"/>
              </w:rPr>
            </w:pPr>
          </w:p>
          <w:p>
            <w:pPr>
              <w:spacing w:line="301" w:lineRule="auto"/>
              <w:rPr>
                <w:rFonts w:ascii="Arial"/>
                <w:sz w:val="21"/>
              </w:rPr>
            </w:pPr>
          </w:p>
          <w:p>
            <w:pPr>
              <w:pStyle w:val="6"/>
              <w:spacing w:before="58" w:line="189" w:lineRule="auto"/>
              <w:ind w:left="187"/>
            </w:pPr>
            <w:r>
              <w:t>26</w:t>
            </w:r>
          </w:p>
        </w:tc>
        <w:tc>
          <w:tcPr>
            <w:tcW w:w="1112" w:type="dxa"/>
            <w:vAlign w:val="top"/>
          </w:tcPr>
          <w:p>
            <w:pPr>
              <w:spacing w:line="300" w:lineRule="auto"/>
              <w:rPr>
                <w:rFonts w:ascii="Arial"/>
                <w:sz w:val="21"/>
              </w:rPr>
            </w:pPr>
          </w:p>
          <w:p>
            <w:pPr>
              <w:spacing w:line="301" w:lineRule="auto"/>
              <w:rPr>
                <w:rFonts w:ascii="Arial"/>
                <w:sz w:val="21"/>
              </w:rPr>
            </w:pPr>
          </w:p>
          <w:p>
            <w:pPr>
              <w:pStyle w:val="6"/>
              <w:spacing w:before="58" w:line="189" w:lineRule="auto"/>
              <w:ind w:left="324"/>
            </w:pPr>
            <w:r>
              <w:rPr>
                <w:spacing w:val="2"/>
              </w:rPr>
              <w:t>3.4.2</w:t>
            </w:r>
          </w:p>
        </w:tc>
        <w:tc>
          <w:tcPr>
            <w:tcW w:w="3860" w:type="dxa"/>
            <w:vAlign w:val="top"/>
          </w:tcPr>
          <w:p>
            <w:pPr>
              <w:pStyle w:val="6"/>
              <w:spacing w:before="288" w:line="234" w:lineRule="auto"/>
              <w:ind w:left="33" w:right="9" w:firstLine="3"/>
              <w:jc w:val="both"/>
            </w:pPr>
            <w:r>
              <w:rPr>
                <w:spacing w:val="8"/>
              </w:rPr>
              <w:t>异丁酸合成塔T10306A压力PT_10320A报警值设置为L0.32MPa，H0.38MPa，HH0.42MPa；而异丁酸合成塔T10306B压力PT_10320B未设置L/H/HH报警。</w:t>
            </w:r>
          </w:p>
        </w:tc>
        <w:tc>
          <w:tcPr>
            <w:tcW w:w="4318" w:type="dxa"/>
            <w:vAlign w:val="top"/>
          </w:tcPr>
          <w:p>
            <w:pPr>
              <w:pStyle w:val="6"/>
              <w:spacing w:before="56" w:line="233" w:lineRule="auto"/>
              <w:ind w:left="38" w:firstLine="1"/>
            </w:pPr>
            <w:r>
              <w:rPr>
                <w:spacing w:val="8"/>
              </w:rPr>
              <w:t>参照《过程工业报警系统管理》（GB/T41261-2022）、《化工企业工艺报警管理实施指南》（TCCSAS012—2022）的要求，依据工艺设计资料，将操作规程报警值与DCS系统设置报警值确保一致性，同时设置合适的设定值，加强报警管理，及时处置。</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85" w:lineRule="auto"/>
              <w:rPr>
                <w:rFonts w:ascii="Arial"/>
                <w:sz w:val="21"/>
              </w:rPr>
            </w:pPr>
          </w:p>
          <w:p>
            <w:pPr>
              <w:spacing w:line="286"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continue"/>
            <w:tcBorders>
              <w:top w:val="nil"/>
            </w:tcBorders>
            <w:vAlign w:val="top"/>
          </w:tcPr>
          <w:p>
            <w:pPr>
              <w:rPr>
                <w:rFonts w:ascii="Arial"/>
                <w:sz w:val="21"/>
              </w:rPr>
            </w:pPr>
          </w:p>
        </w:tc>
        <w:tc>
          <w:tcPr>
            <w:tcW w:w="556" w:type="dxa"/>
            <w:vAlign w:val="top"/>
          </w:tcPr>
          <w:p>
            <w:pPr>
              <w:spacing w:line="364" w:lineRule="auto"/>
              <w:rPr>
                <w:rFonts w:ascii="Arial"/>
                <w:sz w:val="21"/>
              </w:rPr>
            </w:pPr>
          </w:p>
          <w:p>
            <w:pPr>
              <w:pStyle w:val="6"/>
              <w:spacing w:before="59" w:line="189" w:lineRule="auto"/>
              <w:ind w:left="187"/>
            </w:pPr>
            <w:r>
              <w:t>27</w:t>
            </w:r>
          </w:p>
        </w:tc>
        <w:tc>
          <w:tcPr>
            <w:tcW w:w="1112" w:type="dxa"/>
            <w:vAlign w:val="top"/>
          </w:tcPr>
          <w:p>
            <w:pPr>
              <w:spacing w:line="355" w:lineRule="auto"/>
              <w:rPr>
                <w:rFonts w:ascii="Arial"/>
                <w:sz w:val="21"/>
              </w:rPr>
            </w:pPr>
          </w:p>
          <w:p>
            <w:pPr>
              <w:pStyle w:val="6"/>
              <w:spacing w:before="62" w:line="190" w:lineRule="auto"/>
              <w:ind w:left="315"/>
              <w:rPr>
                <w:sz w:val="19"/>
                <w:szCs w:val="19"/>
              </w:rPr>
            </w:pPr>
            <w:r>
              <w:rPr>
                <w:spacing w:val="2"/>
                <w:sz w:val="19"/>
                <w:szCs w:val="19"/>
              </w:rPr>
              <w:t>8.1.8</w:t>
            </w:r>
          </w:p>
        </w:tc>
        <w:tc>
          <w:tcPr>
            <w:tcW w:w="3860" w:type="dxa"/>
            <w:vAlign w:val="top"/>
          </w:tcPr>
          <w:p>
            <w:pPr>
              <w:pStyle w:val="6"/>
              <w:spacing w:before="28" w:line="221" w:lineRule="auto"/>
              <w:ind w:left="34" w:firstLine="3"/>
              <w:jc w:val="both"/>
              <w:rPr>
                <w:sz w:val="19"/>
                <w:szCs w:val="19"/>
              </w:rPr>
            </w:pPr>
            <w:r>
              <w:rPr>
                <w:spacing w:val="8"/>
              </w:rPr>
              <w:t>2024年2月编制的复产复工方案中，缺失各车间的具体流程打通过程，装置的容器、管道置换、气密要求，各装置的投产的具体时间节点；未提供复工复产方案的培训。</w:t>
            </w:r>
          </w:p>
        </w:tc>
        <w:tc>
          <w:tcPr>
            <w:tcW w:w="4318" w:type="dxa"/>
            <w:vAlign w:val="top"/>
          </w:tcPr>
          <w:p>
            <w:pPr>
              <w:pStyle w:val="6"/>
              <w:spacing w:before="268" w:line="231" w:lineRule="auto"/>
              <w:ind w:left="39" w:right="7"/>
              <w:rPr>
                <w:sz w:val="19"/>
                <w:szCs w:val="19"/>
              </w:rPr>
            </w:pPr>
            <w:r>
              <w:rPr>
                <w:spacing w:val="8"/>
              </w:rPr>
              <w:t>重新编制复工复产方案，组织专家审查；同时开展复工复产方案及操作规程的培训和考核。</w:t>
            </w:r>
          </w:p>
        </w:tc>
        <w:tc>
          <w:tcPr>
            <w:tcW w:w="1091" w:type="dxa"/>
            <w:vAlign w:val="top"/>
          </w:tcPr>
          <w:p>
            <w:pPr>
              <w:rPr>
                <w:rFonts w:ascii="Arial"/>
                <w:sz w:val="21"/>
              </w:rPr>
            </w:pPr>
          </w:p>
        </w:tc>
        <w:tc>
          <w:tcPr>
            <w:tcW w:w="1244" w:type="dxa"/>
            <w:vAlign w:val="top"/>
          </w:tcPr>
          <w:p>
            <w:pPr>
              <w:spacing w:line="334" w:lineRule="auto"/>
              <w:rPr>
                <w:rFonts w:ascii="Arial"/>
                <w:sz w:val="21"/>
              </w:rPr>
            </w:pPr>
          </w:p>
          <w:p>
            <w:pPr>
              <w:pStyle w:val="6"/>
              <w:spacing w:before="59"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9" w:hRule="atLeast"/>
        </w:trPr>
        <w:tc>
          <w:tcPr>
            <w:tcW w:w="620" w:type="dxa"/>
            <w:vMerge w:val="restart"/>
            <w:tcBorders>
              <w:bottom w:val="nil"/>
            </w:tcBorders>
            <w:vAlign w:val="top"/>
          </w:tcPr>
          <w:p>
            <w:pPr>
              <w:rPr>
                <w:rFonts w:ascii="Arial"/>
                <w:sz w:val="21"/>
              </w:rPr>
            </w:pPr>
          </w:p>
        </w:tc>
        <w:tc>
          <w:tcPr>
            <w:tcW w:w="556" w:type="dxa"/>
            <w:vAlign w:val="top"/>
          </w:tcPr>
          <w:p>
            <w:pPr>
              <w:spacing w:line="247" w:lineRule="auto"/>
              <w:rPr>
                <w:rFonts w:ascii="Arial"/>
                <w:sz w:val="21"/>
              </w:rPr>
            </w:pPr>
          </w:p>
          <w:p>
            <w:pPr>
              <w:pStyle w:val="6"/>
              <w:spacing w:before="59" w:line="189" w:lineRule="auto"/>
              <w:ind w:left="187"/>
            </w:pPr>
            <w:r>
              <w:t>28</w:t>
            </w:r>
          </w:p>
        </w:tc>
        <w:tc>
          <w:tcPr>
            <w:tcW w:w="1112" w:type="dxa"/>
            <w:vAlign w:val="top"/>
          </w:tcPr>
          <w:p>
            <w:pPr>
              <w:spacing w:line="247" w:lineRule="auto"/>
              <w:rPr>
                <w:rFonts w:ascii="Arial"/>
                <w:sz w:val="21"/>
              </w:rPr>
            </w:pPr>
          </w:p>
          <w:p>
            <w:pPr>
              <w:pStyle w:val="6"/>
              <w:spacing w:before="58" w:line="190" w:lineRule="auto"/>
              <w:ind w:left="320"/>
            </w:pPr>
            <w:r>
              <w:rPr>
                <w:spacing w:val="3"/>
              </w:rPr>
              <w:t>4.1.2</w:t>
            </w:r>
          </w:p>
        </w:tc>
        <w:tc>
          <w:tcPr>
            <w:tcW w:w="3860" w:type="dxa"/>
            <w:vAlign w:val="top"/>
          </w:tcPr>
          <w:p>
            <w:pPr>
              <w:pStyle w:val="6"/>
              <w:spacing w:before="162" w:line="232" w:lineRule="auto"/>
              <w:ind w:left="46" w:hanging="9"/>
            </w:pPr>
            <w:r>
              <w:rPr>
                <w:spacing w:val="8"/>
              </w:rPr>
              <w:t>2023年10月12日，污水泵闭式叶轮变更为半开式叶轮，未履行设备变更管理手续。</w:t>
            </w:r>
          </w:p>
        </w:tc>
        <w:tc>
          <w:tcPr>
            <w:tcW w:w="4318" w:type="dxa"/>
            <w:vAlign w:val="top"/>
          </w:tcPr>
          <w:p>
            <w:pPr>
              <w:pStyle w:val="6"/>
              <w:spacing w:before="46" w:line="223" w:lineRule="auto"/>
              <w:ind w:left="48" w:right="10" w:hanging="8"/>
            </w:pPr>
            <w:r>
              <w:rPr>
                <w:spacing w:val="8"/>
              </w:rPr>
              <w:t>按照《关于加强化工过程安全管理的指导意见》（安监总管三〔2013〕88号）第（二十三）</w:t>
            </w:r>
            <w:r>
              <w:rPr>
                <w:rFonts w:hint="eastAsia"/>
                <w:spacing w:val="8"/>
              </w:rPr>
              <w:t>（二十 四）条的要求，严格履行设备变更管理手续。</w:t>
            </w:r>
          </w:p>
        </w:tc>
        <w:tc>
          <w:tcPr>
            <w:tcW w:w="1091" w:type="dxa"/>
            <w:vAlign w:val="top"/>
          </w:tcPr>
          <w:p>
            <w:pPr>
              <w:rPr>
                <w:rFonts w:ascii="Arial"/>
                <w:sz w:val="21"/>
              </w:rPr>
            </w:pPr>
          </w:p>
        </w:tc>
        <w:tc>
          <w:tcPr>
            <w:tcW w:w="1244" w:type="dxa"/>
            <w:vAlign w:val="top"/>
          </w:tcPr>
          <w:p>
            <w:pPr>
              <w:pStyle w:val="6"/>
              <w:spacing w:before="277"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3" w:lineRule="auto"/>
              <w:rPr>
                <w:rFonts w:ascii="Arial"/>
                <w:sz w:val="21"/>
              </w:rPr>
            </w:pPr>
          </w:p>
          <w:p>
            <w:pPr>
              <w:spacing w:line="244" w:lineRule="auto"/>
              <w:rPr>
                <w:rFonts w:ascii="Arial"/>
                <w:sz w:val="21"/>
              </w:rPr>
            </w:pPr>
          </w:p>
          <w:p>
            <w:pPr>
              <w:pStyle w:val="6"/>
              <w:spacing w:before="58" w:line="189" w:lineRule="auto"/>
              <w:ind w:left="187"/>
            </w:pPr>
            <w:r>
              <w:t>29</w:t>
            </w:r>
          </w:p>
        </w:tc>
        <w:tc>
          <w:tcPr>
            <w:tcW w:w="1112" w:type="dxa"/>
            <w:vAlign w:val="top"/>
          </w:tcPr>
          <w:p>
            <w:pPr>
              <w:spacing w:line="243" w:lineRule="auto"/>
              <w:rPr>
                <w:rFonts w:ascii="Arial"/>
                <w:sz w:val="21"/>
              </w:rPr>
            </w:pPr>
          </w:p>
          <w:p>
            <w:pPr>
              <w:spacing w:line="244" w:lineRule="auto"/>
              <w:rPr>
                <w:rFonts w:ascii="Arial"/>
                <w:sz w:val="21"/>
              </w:rPr>
            </w:pPr>
          </w:p>
          <w:p>
            <w:pPr>
              <w:pStyle w:val="6"/>
              <w:spacing w:before="58" w:line="189" w:lineRule="auto"/>
              <w:ind w:left="320"/>
            </w:pPr>
            <w:r>
              <w:rPr>
                <w:spacing w:val="3"/>
              </w:rPr>
              <w:t>4.2.4</w:t>
            </w:r>
          </w:p>
        </w:tc>
        <w:tc>
          <w:tcPr>
            <w:tcW w:w="3860" w:type="dxa"/>
            <w:vAlign w:val="top"/>
          </w:tcPr>
          <w:p>
            <w:pPr>
              <w:spacing w:line="341" w:lineRule="auto"/>
              <w:rPr>
                <w:rFonts w:ascii="Arial"/>
                <w:sz w:val="21"/>
              </w:rPr>
            </w:pPr>
          </w:p>
          <w:p>
            <w:pPr>
              <w:pStyle w:val="6"/>
              <w:spacing w:before="59" w:line="232" w:lineRule="auto"/>
              <w:ind w:left="37" w:right="63" w:hanging="1"/>
            </w:pPr>
            <w:r>
              <w:rPr>
                <w:spacing w:val="8"/>
              </w:rPr>
              <w:t>罐区储罐测厚记录中无原始壁厚和腐蚀裕量，未计算腐蚀速率，未估算设备剩余使用寿命。</w:t>
            </w:r>
          </w:p>
        </w:tc>
        <w:tc>
          <w:tcPr>
            <w:tcW w:w="4318" w:type="dxa"/>
            <w:vAlign w:val="top"/>
          </w:tcPr>
          <w:p>
            <w:pPr>
              <w:pStyle w:val="6"/>
              <w:spacing w:before="58" w:line="230" w:lineRule="auto"/>
              <w:ind w:left="37" w:right="8" w:firstLine="2"/>
            </w:pPr>
            <w:r>
              <w:rPr>
                <w:rFonts w:hint="eastAsia"/>
                <w:spacing w:val="8"/>
              </w:rPr>
              <w:t>按照《关于加强化工过程安全管理的指导意见》（安监总管三〔2013〕88号）第（十六）条的要求，定期评估防腐效果和核算设备剩余使用寿命；及时发现并更新更换存在安全隐患的设备，完善测厚记录。</w:t>
            </w:r>
          </w:p>
        </w:tc>
        <w:tc>
          <w:tcPr>
            <w:tcW w:w="1091" w:type="dxa"/>
            <w:vAlign w:val="top"/>
          </w:tcPr>
          <w:p>
            <w:pPr>
              <w:rPr>
                <w:rFonts w:ascii="Arial"/>
                <w:sz w:val="21"/>
              </w:rPr>
            </w:pPr>
          </w:p>
        </w:tc>
        <w:tc>
          <w:tcPr>
            <w:tcW w:w="1244" w:type="dxa"/>
            <w:vAlign w:val="top"/>
          </w:tcPr>
          <w:p>
            <w:pPr>
              <w:spacing w:line="457" w:lineRule="auto"/>
              <w:rPr>
                <w:rFonts w:ascii="Arial"/>
                <w:sz w:val="21"/>
              </w:rPr>
            </w:pPr>
          </w:p>
          <w:p>
            <w:pPr>
              <w:pStyle w:val="6"/>
              <w:spacing w:before="58"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9" w:lineRule="auto"/>
              <w:rPr>
                <w:rFonts w:ascii="Arial"/>
                <w:sz w:val="21"/>
              </w:rPr>
            </w:pPr>
          </w:p>
          <w:p>
            <w:pPr>
              <w:pStyle w:val="6"/>
              <w:spacing w:before="59" w:line="189" w:lineRule="auto"/>
              <w:ind w:left="189"/>
            </w:pPr>
            <w:r>
              <w:rPr>
                <w:spacing w:val="-1"/>
              </w:rPr>
              <w:t>30</w:t>
            </w:r>
          </w:p>
        </w:tc>
        <w:tc>
          <w:tcPr>
            <w:tcW w:w="1112" w:type="dxa"/>
            <w:vAlign w:val="top"/>
          </w:tcPr>
          <w:p>
            <w:pPr>
              <w:spacing w:line="369" w:lineRule="auto"/>
              <w:rPr>
                <w:rFonts w:ascii="Arial"/>
                <w:sz w:val="21"/>
              </w:rPr>
            </w:pPr>
          </w:p>
          <w:p>
            <w:pPr>
              <w:pStyle w:val="6"/>
              <w:spacing w:before="59" w:line="189" w:lineRule="auto"/>
              <w:ind w:left="320"/>
            </w:pPr>
            <w:r>
              <w:rPr>
                <w:spacing w:val="3"/>
              </w:rPr>
              <w:t>4.2.5</w:t>
            </w:r>
          </w:p>
        </w:tc>
        <w:tc>
          <w:tcPr>
            <w:tcW w:w="3860" w:type="dxa"/>
            <w:vAlign w:val="top"/>
          </w:tcPr>
          <w:p>
            <w:pPr>
              <w:pStyle w:val="6"/>
              <w:spacing w:before="284" w:line="232" w:lineRule="auto"/>
              <w:ind w:left="34" w:right="2" w:firstLine="2"/>
            </w:pPr>
            <w:r>
              <w:rPr>
                <w:spacing w:val="8"/>
              </w:rPr>
              <w:t>罐区泵房内盐酸泵（P10616）出口法兰无防喷溅设施。</w:t>
            </w:r>
          </w:p>
        </w:tc>
        <w:tc>
          <w:tcPr>
            <w:tcW w:w="4318" w:type="dxa"/>
            <w:vAlign w:val="top"/>
          </w:tcPr>
          <w:p>
            <w:pPr>
              <w:pStyle w:val="6"/>
              <w:spacing w:before="53" w:line="229" w:lineRule="auto"/>
              <w:ind w:left="39"/>
              <w:jc w:val="both"/>
            </w:pPr>
            <w:r>
              <w:rPr>
                <w:rFonts w:hint="eastAsia"/>
                <w:spacing w:val="8"/>
              </w:rPr>
              <w:t>按照《化工企业安全卫生设计规范》（HG20571-2014）第5.6.1条的要求，设计具有化学灼伤危害物质的生产过程时，应合理选择流程、设备和管道结构及材料，防止物料外泄或喷溅。</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39" w:lineRule="auto"/>
              <w:rPr>
                <w:rFonts w:ascii="Arial"/>
                <w:sz w:val="21"/>
              </w:rPr>
            </w:pPr>
          </w:p>
          <w:p>
            <w:pPr>
              <w:pStyle w:val="6"/>
              <w:spacing w:before="59" w:line="241" w:lineRule="exact"/>
              <w:ind w:left="456"/>
            </w:pPr>
            <w:r>
              <w:rPr>
                <w:position w:val="1"/>
              </w:rPr>
              <w:t>√</w:t>
            </w:r>
          </w:p>
        </w:tc>
        <w:tc>
          <w:tcPr>
            <w:tcW w:w="891"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99" w:right="1138" w:bottom="0" w:left="1010" w:header="0" w:footer="0" w:gutter="0"/>
          <w:cols w:space="720" w:num="1"/>
        </w:sectPr>
      </w:pP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860"/>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0" w:type="dxa"/>
            <w:tcBorders>
              <w:top w:val="nil"/>
            </w:tcBorders>
            <w:vAlign w:val="top"/>
          </w:tcPr>
          <w:p>
            <w:pPr>
              <w:pStyle w:val="6"/>
              <w:spacing w:before="100"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00"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before="1" w:line="224"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860" w:type="dxa"/>
            <w:tcBorders>
              <w:top w:val="nil"/>
            </w:tcBorders>
            <w:vAlign w:val="top"/>
          </w:tcPr>
          <w:p>
            <w:pPr>
              <w:pStyle w:val="6"/>
              <w:spacing w:before="100" w:line="231" w:lineRule="auto"/>
              <w:ind w:left="1575"/>
            </w:pPr>
            <w:r>
              <w:rPr>
                <w:spacing w:val="4"/>
                <w14:textOutline w14:w="3394" w14:cap="sq" w14:cmpd="sng">
                  <w14:solidFill>
                    <w14:srgbClr w14:val="000000"/>
                  </w14:solidFill>
                  <w14:prstDash w14:val="solid"/>
                  <w14:bevel/>
                </w14:textOutline>
              </w:rPr>
              <w:t>问题描述</w:t>
            </w:r>
          </w:p>
        </w:tc>
        <w:tc>
          <w:tcPr>
            <w:tcW w:w="4318" w:type="dxa"/>
            <w:tcBorders>
              <w:top w:val="nil"/>
            </w:tcBorders>
            <w:vAlign w:val="top"/>
          </w:tcPr>
          <w:p>
            <w:pPr>
              <w:pStyle w:val="6"/>
              <w:spacing w:before="100" w:line="229" w:lineRule="auto"/>
              <w:ind w:left="178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19"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219" w:line="229" w:lineRule="auto"/>
              <w:ind w:left="220"/>
            </w:pPr>
            <w:r>
              <w:rPr>
                <w:spacing w:val="8"/>
                <w14:textOutline w14:w="3394" w14:cap="sq" w14:cmpd="sng">
                  <w14:solidFill>
                    <w14:srgbClr w14:val="000000"/>
                  </w14:solidFill>
                  <w14:prstDash w14:val="solid"/>
                  <w14:bevel/>
                </w14:textOutline>
              </w:rPr>
              <w:t>现场类</w:t>
            </w:r>
          </w:p>
        </w:tc>
        <w:tc>
          <w:tcPr>
            <w:tcW w:w="891" w:type="dxa"/>
            <w:tcBorders>
              <w:top w:val="nil"/>
            </w:tcBorders>
            <w:vAlign w:val="top"/>
          </w:tcPr>
          <w:p>
            <w:pPr>
              <w:pStyle w:val="6"/>
              <w:spacing w:before="94" w:line="213" w:lineRule="auto"/>
              <w:ind w:left="405" w:right="22" w:hanging="345"/>
              <w:rPr>
                <w:sz w:val="19"/>
                <w:szCs w:val="19"/>
              </w:rPr>
            </w:pPr>
            <w:r>
              <w:rPr>
                <w:spacing w:val="8"/>
                <w:sz w:val="19"/>
                <w:szCs w:val="19"/>
                <w14:textOutline w14:w="3572" w14:cap="sq" w14:cmpd="sng">
                  <w14:solidFill>
                    <w14:srgbClr w14:val="000000"/>
                  </w14:solidFill>
                  <w14:prstDash w14:val="solid"/>
                  <w14:bevel/>
                </w14:textOutline>
              </w:rPr>
              <w:t>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620"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9" w:line="232" w:lineRule="auto"/>
              <w:ind w:left="128" w:right="106" w:hanging="1"/>
            </w:pPr>
            <w:r>
              <w:rPr>
                <w:spacing w:val="5"/>
                <w14:textOutline w14:w="3394" w14:cap="sq" w14:cmpd="sng">
                  <w14:solidFill>
                    <w14:srgbClr w14:val="000000"/>
                  </w14:solidFill>
                  <w14:prstDash w14:val="solid"/>
                  <w14:bevel/>
                </w14:textOutline>
              </w:rPr>
              <w:t>设备</w:t>
            </w:r>
            <w:r>
              <w:t xml:space="preserve"> </w:t>
            </w:r>
            <w:r>
              <w:rPr>
                <w:spacing w:val="4"/>
                <w14:textOutline w14:w="3394" w14:cap="sq" w14:cmpd="sng">
                  <w14:solidFill>
                    <w14:srgbClr w14:val="000000"/>
                  </w14:solidFill>
                  <w14:prstDash w14:val="solid"/>
                  <w14:bevel/>
                </w14:textOutline>
              </w:rPr>
              <w:t>管理</w:t>
            </w:r>
          </w:p>
        </w:tc>
        <w:tc>
          <w:tcPr>
            <w:tcW w:w="556" w:type="dxa"/>
            <w:vAlign w:val="top"/>
          </w:tcPr>
          <w:p>
            <w:pPr>
              <w:pStyle w:val="6"/>
              <w:spacing w:before="296" w:line="190" w:lineRule="auto"/>
              <w:ind w:left="189"/>
            </w:pPr>
            <w:r>
              <w:rPr>
                <w:spacing w:val="-1"/>
              </w:rPr>
              <w:t>31</w:t>
            </w:r>
          </w:p>
        </w:tc>
        <w:tc>
          <w:tcPr>
            <w:tcW w:w="1112" w:type="dxa"/>
            <w:vAlign w:val="top"/>
          </w:tcPr>
          <w:p>
            <w:pPr>
              <w:pStyle w:val="6"/>
              <w:spacing w:before="297" w:line="189" w:lineRule="auto"/>
              <w:ind w:left="320"/>
            </w:pPr>
            <w:r>
              <w:rPr>
                <w:spacing w:val="3"/>
              </w:rPr>
              <w:t>4.2.6</w:t>
            </w:r>
          </w:p>
        </w:tc>
        <w:tc>
          <w:tcPr>
            <w:tcW w:w="3860" w:type="dxa"/>
            <w:vAlign w:val="top"/>
          </w:tcPr>
          <w:p>
            <w:pPr>
              <w:pStyle w:val="6"/>
              <w:spacing w:before="266" w:line="228" w:lineRule="auto"/>
              <w:ind w:left="36"/>
            </w:pPr>
            <w:r>
              <w:rPr>
                <w:spacing w:val="6"/>
              </w:rPr>
              <w:t>罐区甲醇罐（V20601C）通气管使用</w:t>
            </w:r>
            <w:r>
              <w:t>PP</w:t>
            </w:r>
            <w:r>
              <w:rPr>
                <w:spacing w:val="6"/>
              </w:rPr>
              <w:t>材质。</w:t>
            </w: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snapToGrid w:val="0"/>
                <w:color w:val="000000"/>
                <w:spacing w:val="6"/>
                <w:kern w:val="0"/>
                <w:sz w:val="18"/>
                <w:szCs w:val="18"/>
                <w:lang w:val="en-US" w:eastAsia="en-US" w:bidi="ar-SA"/>
              </w:rPr>
              <w:t>按照《精细化工企业工程设计防火标准》（GB51283-2020）第7.2.4条的要求，可燃气体的排放导出管应采用金属管道。</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pStyle w:val="6"/>
              <w:spacing w:before="267"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57" w:lineRule="auto"/>
              <w:rPr>
                <w:rFonts w:ascii="Arial"/>
                <w:sz w:val="21"/>
              </w:rPr>
            </w:pPr>
          </w:p>
          <w:p>
            <w:pPr>
              <w:pStyle w:val="6"/>
              <w:spacing w:before="58" w:line="189" w:lineRule="auto"/>
              <w:ind w:left="189"/>
            </w:pPr>
            <w:r>
              <w:rPr>
                <w:spacing w:val="-1"/>
              </w:rPr>
              <w:t>32</w:t>
            </w:r>
          </w:p>
        </w:tc>
        <w:tc>
          <w:tcPr>
            <w:tcW w:w="1112" w:type="dxa"/>
            <w:vAlign w:val="top"/>
          </w:tcPr>
          <w:p>
            <w:pPr>
              <w:spacing w:line="357" w:lineRule="auto"/>
              <w:rPr>
                <w:rFonts w:ascii="Arial"/>
                <w:sz w:val="21"/>
              </w:rPr>
            </w:pPr>
          </w:p>
          <w:p>
            <w:pPr>
              <w:pStyle w:val="6"/>
              <w:spacing w:before="58" w:line="189" w:lineRule="auto"/>
              <w:ind w:left="320"/>
            </w:pPr>
            <w:r>
              <w:rPr>
                <w:spacing w:val="3"/>
              </w:rPr>
              <w:t>4.2.7</w:t>
            </w:r>
          </w:p>
        </w:tc>
        <w:tc>
          <w:tcPr>
            <w:tcW w:w="386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1.LNG站LNG卸车管道法兰使用六角头螺栓。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snapToGrid w:val="0"/>
                <w:color w:val="000000"/>
                <w:spacing w:val="6"/>
                <w:kern w:val="0"/>
                <w:sz w:val="18"/>
                <w:szCs w:val="18"/>
                <w:lang w:val="en-US" w:eastAsia="en-US" w:bidi="ar-SA"/>
              </w:rPr>
              <w:t>2.二车间酰氯化釜（R102A01B）备用管口盲板、三氯化磷进料管道备用管口盲板安装方向相反（密封面朝外）。</w:t>
            </w: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1.按照《钢制管法兰用紧固件（PN系列）》（HG/T 20613-2009）第5条的要求，选用专用级全螺纹螺栓和Ⅱ型六角螺母。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napToGrid w:val="0"/>
                <w:color w:val="000000"/>
                <w:spacing w:val="6"/>
                <w:kern w:val="0"/>
                <w:sz w:val="18"/>
                <w:szCs w:val="18"/>
                <w:lang w:val="en-US" w:eastAsia="en-US" w:bidi="ar-SA"/>
              </w:rPr>
              <w:t>2</w:t>
            </w:r>
            <w:r>
              <w:rPr>
                <w:rFonts w:hint="eastAsia" w:ascii="宋体" w:hAnsi="宋体" w:eastAsia="宋体" w:cs="宋体"/>
                <w:snapToGrid w:val="0"/>
                <w:color w:val="000000"/>
                <w:spacing w:val="6"/>
                <w:kern w:val="0"/>
                <w:sz w:val="18"/>
                <w:szCs w:val="18"/>
                <w:lang w:val="en-US" w:eastAsia="zh-CN" w:bidi="ar-SA"/>
              </w:rPr>
              <w:t>.</w:t>
            </w:r>
            <w:r>
              <w:rPr>
                <w:rFonts w:hint="eastAsia" w:ascii="宋体" w:hAnsi="宋体" w:eastAsia="宋体" w:cs="宋体"/>
                <w:snapToGrid w:val="0"/>
                <w:color w:val="000000"/>
                <w:spacing w:val="6"/>
                <w:kern w:val="0"/>
                <w:sz w:val="18"/>
                <w:szCs w:val="18"/>
                <w:lang w:val="en-US" w:eastAsia="en-US" w:bidi="ar-SA"/>
              </w:rPr>
              <w:t>调整法兰安装方向。</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27"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98" w:lineRule="auto"/>
              <w:rPr>
                <w:rFonts w:ascii="Arial"/>
                <w:sz w:val="21"/>
              </w:rPr>
            </w:pPr>
          </w:p>
          <w:p>
            <w:pPr>
              <w:spacing w:line="299" w:lineRule="auto"/>
              <w:rPr>
                <w:rFonts w:ascii="Arial"/>
                <w:sz w:val="21"/>
              </w:rPr>
            </w:pPr>
          </w:p>
          <w:p>
            <w:pPr>
              <w:pStyle w:val="6"/>
              <w:spacing w:before="59" w:line="189" w:lineRule="auto"/>
              <w:ind w:left="189"/>
            </w:pPr>
            <w:r>
              <w:rPr>
                <w:spacing w:val="-1"/>
              </w:rPr>
              <w:t>33</w:t>
            </w:r>
          </w:p>
        </w:tc>
        <w:tc>
          <w:tcPr>
            <w:tcW w:w="1112" w:type="dxa"/>
            <w:vAlign w:val="top"/>
          </w:tcPr>
          <w:p>
            <w:pPr>
              <w:spacing w:line="298" w:lineRule="auto"/>
              <w:rPr>
                <w:rFonts w:ascii="Arial"/>
                <w:sz w:val="21"/>
              </w:rPr>
            </w:pPr>
          </w:p>
          <w:p>
            <w:pPr>
              <w:spacing w:line="299" w:lineRule="auto"/>
              <w:rPr>
                <w:rFonts w:ascii="Arial"/>
                <w:sz w:val="21"/>
              </w:rPr>
            </w:pPr>
          </w:p>
          <w:p>
            <w:pPr>
              <w:pStyle w:val="6"/>
              <w:spacing w:before="58" w:line="190" w:lineRule="auto"/>
              <w:ind w:left="320"/>
            </w:pPr>
            <w:r>
              <w:rPr>
                <w:spacing w:val="3"/>
              </w:rPr>
              <w:t>4.3.1</w:t>
            </w:r>
          </w:p>
        </w:tc>
        <w:tc>
          <w:tcPr>
            <w:tcW w:w="3860" w:type="dxa"/>
            <w:vAlign w:val="top"/>
          </w:tcPr>
          <w:p>
            <w:pPr>
              <w:spacing w:line="453" w:lineRule="auto"/>
              <w:rPr>
                <w:rFonts w:ascii="Arial"/>
                <w:sz w:val="21"/>
              </w:rPr>
            </w:pPr>
          </w:p>
          <w:p>
            <w:pPr>
              <w:pStyle w:val="6"/>
              <w:spacing w:before="58" w:line="232" w:lineRule="auto"/>
              <w:ind w:left="34" w:right="7" w:firstLine="3"/>
            </w:pPr>
            <w:r>
              <w:rPr>
                <w:spacing w:val="12"/>
              </w:rPr>
              <w:t>一车间三层M4离心机（M10103C）处理物料涉</w:t>
            </w:r>
            <w:r>
              <w:rPr>
                <w:spacing w:val="8"/>
              </w:rPr>
              <w:t>及异丙醇，无氮封失效报警和联锁停机功能。</w:t>
            </w:r>
          </w:p>
        </w:tc>
        <w:tc>
          <w:tcPr>
            <w:tcW w:w="4318" w:type="dxa"/>
            <w:vAlign w:val="top"/>
          </w:tcPr>
          <w:p>
            <w:pPr>
              <w:pStyle w:val="6"/>
              <w:spacing w:before="167" w:line="235" w:lineRule="auto"/>
              <w:ind w:left="37" w:firstLine="2"/>
            </w:pPr>
            <w:r>
              <w:rPr>
                <w:rFonts w:hint="eastAsia" w:ascii="宋体" w:hAnsi="宋体" w:eastAsia="宋体" w:cs="宋体"/>
                <w:snapToGrid w:val="0"/>
                <w:color w:val="000000"/>
                <w:spacing w:val="6"/>
                <w:kern w:val="0"/>
                <w:sz w:val="18"/>
                <w:szCs w:val="18"/>
                <w:lang w:val="en-US" w:eastAsia="en-US" w:bidi="ar-SA"/>
              </w:rPr>
              <w:t>按照《离心机安全要求》（GB19815-2021）第5.7.3.1条的要求，离心机处理具有挥发性、易燃或易爆物料时，应符合密闭要求，与易燃易爆物料接触的密闭腔体应提供可靠、稳定的惰性气体保护；在惰性气体保护失效时，应具备报警和停机功能。</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83" w:lineRule="auto"/>
              <w:rPr>
                <w:rFonts w:ascii="Arial"/>
                <w:sz w:val="21"/>
              </w:rPr>
            </w:pPr>
          </w:p>
          <w:p>
            <w:pPr>
              <w:spacing w:line="284" w:lineRule="auto"/>
              <w:rPr>
                <w:rFonts w:ascii="Arial"/>
                <w:sz w:val="21"/>
              </w:rPr>
            </w:pPr>
          </w:p>
          <w:p>
            <w:pPr>
              <w:pStyle w:val="6"/>
              <w:spacing w:before="59"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1" w:lineRule="auto"/>
              <w:rPr>
                <w:rFonts w:ascii="Arial"/>
                <w:sz w:val="21"/>
              </w:rPr>
            </w:pPr>
          </w:p>
          <w:p>
            <w:pPr>
              <w:pStyle w:val="6"/>
              <w:spacing w:before="58" w:line="189" w:lineRule="auto"/>
              <w:ind w:left="189"/>
            </w:pPr>
            <w:r>
              <w:rPr>
                <w:spacing w:val="-1"/>
              </w:rPr>
              <w:t>34</w:t>
            </w:r>
          </w:p>
        </w:tc>
        <w:tc>
          <w:tcPr>
            <w:tcW w:w="1112" w:type="dxa"/>
            <w:vAlign w:val="top"/>
          </w:tcPr>
          <w:p>
            <w:pPr>
              <w:spacing w:line="361" w:lineRule="auto"/>
              <w:rPr>
                <w:rFonts w:ascii="Arial"/>
                <w:sz w:val="21"/>
              </w:rPr>
            </w:pPr>
          </w:p>
          <w:p>
            <w:pPr>
              <w:pStyle w:val="6"/>
              <w:spacing w:before="58" w:line="189" w:lineRule="auto"/>
              <w:ind w:left="320"/>
            </w:pPr>
            <w:r>
              <w:rPr>
                <w:spacing w:val="3"/>
              </w:rPr>
              <w:t>4.3.3</w:t>
            </w:r>
          </w:p>
        </w:tc>
        <w:tc>
          <w:tcPr>
            <w:tcW w:w="386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1.罐区泵房内，甲醇泵（P20602）出口采用直通 式升降止回阀。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8"/>
                <w:kern w:val="0"/>
                <w:sz w:val="18"/>
                <w:szCs w:val="18"/>
                <w:lang w:val="en-US" w:eastAsia="en-US" w:bidi="ar-SA"/>
              </w:rPr>
              <w:t>2.三车间一层一台粗异丁酸泵的出口竖直管道上采用升降式止回阀。</w:t>
            </w:r>
          </w:p>
          <w:p>
            <w:pPr>
              <w:pStyle w:val="6"/>
              <w:spacing w:before="7" w:line="221" w:lineRule="auto"/>
            </w:pPr>
          </w:p>
        </w:tc>
        <w:tc>
          <w:tcPr>
            <w:tcW w:w="4318" w:type="dxa"/>
            <w:vAlign w:val="top"/>
          </w:tcPr>
          <w:p>
            <w:pPr>
              <w:pStyle w:val="6"/>
              <w:spacing w:before="160" w:line="234" w:lineRule="auto"/>
              <w:ind w:left="37" w:firstLine="2"/>
              <w:jc w:val="both"/>
            </w:pPr>
            <w:r>
              <w:rPr>
                <w:rFonts w:hint="eastAsia" w:ascii="宋体" w:hAnsi="宋体" w:eastAsia="宋体" w:cs="宋体"/>
                <w:snapToGrid w:val="0"/>
                <w:color w:val="000000"/>
                <w:spacing w:val="6"/>
                <w:kern w:val="0"/>
                <w:sz w:val="18"/>
                <w:szCs w:val="18"/>
                <w:lang w:val="en-US" w:eastAsia="en-US" w:bidi="ar-SA"/>
              </w:rPr>
              <w:t>按照《阀门的设置》（HG/T20570.18-95）第3.0.2.5条的要求，升降式止回阀只能安装在水平管道上。联系设计单位设计整改。</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31"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4"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58" w:line="189" w:lineRule="auto"/>
              <w:ind w:left="189"/>
            </w:pPr>
            <w:r>
              <w:rPr>
                <w:spacing w:val="-1"/>
              </w:rPr>
              <w:t>35</w:t>
            </w:r>
          </w:p>
        </w:tc>
        <w:tc>
          <w:tcPr>
            <w:tcW w:w="1112"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58" w:line="190" w:lineRule="auto"/>
              <w:ind w:left="320"/>
            </w:pPr>
            <w:r>
              <w:rPr>
                <w:spacing w:val="3"/>
              </w:rPr>
              <w:t>4.4.1</w:t>
            </w:r>
          </w:p>
        </w:tc>
        <w:tc>
          <w:tcPr>
            <w:tcW w:w="3860" w:type="dxa"/>
            <w:vAlign w:val="top"/>
          </w:tcPr>
          <w:p>
            <w:pPr>
              <w:spacing w:line="349" w:lineRule="auto"/>
              <w:rPr>
                <w:rFonts w:ascii="Arial"/>
                <w:sz w:val="21"/>
              </w:rPr>
            </w:pPr>
          </w:p>
          <w:p>
            <w:pPr>
              <w:spacing w:line="350" w:lineRule="auto"/>
              <w:rPr>
                <w:rFonts w:ascii="Arial"/>
                <w:sz w:val="21"/>
              </w:rPr>
            </w:pPr>
          </w:p>
          <w:p>
            <w:pPr>
              <w:pStyle w:val="6"/>
              <w:spacing w:before="58" w:line="232" w:lineRule="auto"/>
              <w:ind w:left="38" w:hanging="2"/>
            </w:pPr>
            <w:r>
              <w:rPr>
                <w:spacing w:val="13"/>
              </w:rPr>
              <w:t>罐区甲醇罐（V20601A）直排大气的通气</w:t>
            </w:r>
            <w:r>
              <w:rPr>
                <w:spacing w:val="12"/>
              </w:rPr>
              <w:t>管口</w:t>
            </w:r>
            <w:r>
              <w:rPr>
                <w:spacing w:val="7"/>
              </w:rPr>
              <w:t>与罐顶齐平，管口高度不足。</w:t>
            </w:r>
          </w:p>
        </w:tc>
        <w:tc>
          <w:tcPr>
            <w:tcW w:w="4318" w:type="dxa"/>
            <w:vAlign w:val="top"/>
          </w:tcPr>
          <w:p>
            <w:pPr>
              <w:pStyle w:val="6"/>
              <w:spacing w:before="71" w:line="235" w:lineRule="auto"/>
              <w:ind w:left="38" w:firstLine="1"/>
            </w:pPr>
            <w:r>
              <w:rPr>
                <w:rFonts w:hint="eastAsia" w:ascii="宋体" w:hAnsi="宋体" w:eastAsia="宋体" w:cs="宋体"/>
                <w:snapToGrid w:val="0"/>
                <w:color w:val="000000"/>
                <w:spacing w:val="6"/>
                <w:kern w:val="0"/>
                <w:sz w:val="18"/>
                <w:szCs w:val="18"/>
                <w:lang w:val="en-US" w:eastAsia="en-US" w:bidi="ar-SA"/>
              </w:rPr>
              <w:t>按照《 精细化工企业工程设计防火标准》（GB51283-2020）第6.2.1条及《石油化工储运系统罐区设计规范》（SH3007-2014）第5.3.14条的要求，地上露天式甲B、乙类卧式储罐的通气管管口高于地面4m，且高于罐顶1.5m。同时联系设计单位核实油气回收系统的安全性。落实储罐尾气回收的通气管上的油气控制措施，可参照中石化系统的油气回收系统设置。</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2" w:hRule="atLeast"/>
        </w:trPr>
        <w:tc>
          <w:tcPr>
            <w:tcW w:w="620" w:type="dxa"/>
            <w:vMerge w:val="continue"/>
            <w:tcBorders>
              <w:top w:val="nil"/>
            </w:tcBorders>
            <w:vAlign w:val="top"/>
          </w:tcPr>
          <w:p>
            <w:pPr>
              <w:rPr>
                <w:rFonts w:ascii="Arial"/>
                <w:sz w:val="21"/>
              </w:rPr>
            </w:pPr>
          </w:p>
        </w:tc>
        <w:tc>
          <w:tcPr>
            <w:tcW w:w="556"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9" w:line="189" w:lineRule="auto"/>
              <w:ind w:left="189"/>
            </w:pPr>
            <w:r>
              <w:rPr>
                <w:spacing w:val="-1"/>
              </w:rPr>
              <w:t>36</w:t>
            </w:r>
          </w:p>
        </w:tc>
        <w:tc>
          <w:tcPr>
            <w:tcW w:w="1112"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9" w:line="190" w:lineRule="auto"/>
              <w:ind w:left="320"/>
            </w:pPr>
            <w:r>
              <w:rPr>
                <w:spacing w:val="3"/>
              </w:rPr>
              <w:t>4.5.1</w:t>
            </w:r>
          </w:p>
        </w:tc>
        <w:tc>
          <w:tcPr>
            <w:tcW w:w="386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1.锅</w:t>
            </w:r>
            <w:r>
              <w:rPr>
                <w:rFonts w:hint="eastAsia" w:ascii="宋体" w:hAnsi="宋体" w:eastAsia="宋体" w:cs="宋体"/>
                <w:snapToGrid w:val="0"/>
                <w:color w:val="000000"/>
                <w:spacing w:val="7"/>
                <w:kern w:val="0"/>
                <w:sz w:val="18"/>
                <w:szCs w:val="18"/>
                <w:lang w:val="en-US" w:eastAsia="en-US" w:bidi="ar-SA"/>
              </w:rPr>
              <w:t>炉房蒸汽分配缸安全阀内漏。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2.三车间一层一台新鲜甲醇储罐的输送泵出口压力表坏，指针打偏。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3.LNG站（备用设备）减压撬过滤器下游安全阀入口；切断阀关闭，旁通阀打开。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8"/>
                <w:szCs w:val="18"/>
                <w:lang w:val="en-US" w:eastAsia="en-US" w:bidi="ar-SA"/>
              </w:rPr>
            </w:pPr>
            <w:r>
              <w:rPr>
                <w:rFonts w:hint="eastAsia" w:ascii="宋体" w:hAnsi="宋体" w:eastAsia="宋体" w:cs="宋体"/>
                <w:snapToGrid w:val="0"/>
                <w:color w:val="000000"/>
                <w:spacing w:val="7"/>
                <w:kern w:val="0"/>
                <w:sz w:val="18"/>
                <w:szCs w:val="18"/>
                <w:lang w:val="en-US" w:eastAsia="en-US" w:bidi="ar-SA"/>
              </w:rPr>
              <w:t>4.三车间一层西侧缓冲间内，氮气缓冲罐安全阀入口阀未全开。</w:t>
            </w:r>
          </w:p>
          <w:p>
            <w:pPr>
              <w:pStyle w:val="6"/>
              <w:spacing w:before="7" w:line="233" w:lineRule="auto"/>
            </w:pP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1～2.维修或更换压力表。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3.按照《安全阀安全技术监察规程》（TSGZF001-2006）第B4.2（4）条的要求，安全阀进出口切断阀全开，并加铅封或锁定。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4.按照《安全阀安全技术监察规程》（TSGZF001-2006）第B4.2条的要求，安全阀出口阀应全开，并铅封或锁定，同时核实氮气缓冲罐的排放是否引至室外。</w:t>
            </w:r>
          </w:p>
          <w:p>
            <w:pPr>
              <w:pStyle w:val="6"/>
              <w:spacing w:before="8" w:line="233" w:lineRule="auto"/>
              <w:jc w:val="both"/>
            </w:pP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42"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620" w:type="dxa"/>
            <w:tcBorders>
              <w:bottom w:val="nil"/>
            </w:tcBorders>
            <w:vAlign w:val="top"/>
          </w:tcPr>
          <w:p>
            <w:pPr>
              <w:rPr>
                <w:rFonts w:ascii="Arial"/>
                <w:sz w:val="21"/>
              </w:rPr>
            </w:pPr>
          </w:p>
        </w:tc>
        <w:tc>
          <w:tcPr>
            <w:tcW w:w="556" w:type="dxa"/>
            <w:vAlign w:val="top"/>
          </w:tcPr>
          <w:p>
            <w:pPr>
              <w:spacing w:line="244" w:lineRule="auto"/>
              <w:rPr>
                <w:rFonts w:ascii="Arial"/>
                <w:sz w:val="21"/>
              </w:rPr>
            </w:pPr>
          </w:p>
          <w:p>
            <w:pPr>
              <w:spacing w:line="244" w:lineRule="auto"/>
              <w:rPr>
                <w:rFonts w:ascii="Arial"/>
                <w:sz w:val="21"/>
              </w:rPr>
            </w:pPr>
          </w:p>
          <w:p>
            <w:pPr>
              <w:pStyle w:val="6"/>
              <w:spacing w:before="59" w:line="189" w:lineRule="auto"/>
              <w:ind w:left="189"/>
            </w:pPr>
            <w:r>
              <w:rPr>
                <w:spacing w:val="-1"/>
              </w:rPr>
              <w:t>37</w:t>
            </w:r>
          </w:p>
        </w:tc>
        <w:tc>
          <w:tcPr>
            <w:tcW w:w="1112" w:type="dxa"/>
            <w:vAlign w:val="top"/>
          </w:tcPr>
          <w:p>
            <w:pPr>
              <w:spacing w:line="243" w:lineRule="auto"/>
              <w:rPr>
                <w:rFonts w:ascii="Arial"/>
                <w:sz w:val="21"/>
              </w:rPr>
            </w:pPr>
          </w:p>
          <w:p>
            <w:pPr>
              <w:spacing w:line="244" w:lineRule="auto"/>
              <w:rPr>
                <w:rFonts w:ascii="Arial"/>
                <w:sz w:val="21"/>
              </w:rPr>
            </w:pPr>
          </w:p>
          <w:p>
            <w:pPr>
              <w:pStyle w:val="6"/>
              <w:spacing w:before="59" w:line="190" w:lineRule="auto"/>
              <w:ind w:left="324"/>
            </w:pPr>
            <w:r>
              <w:rPr>
                <w:spacing w:val="2"/>
              </w:rPr>
              <w:t>5.1.1</w:t>
            </w:r>
          </w:p>
        </w:tc>
        <w:tc>
          <w:tcPr>
            <w:tcW w:w="3860" w:type="dxa"/>
            <w:vAlign w:val="top"/>
          </w:tcPr>
          <w:p>
            <w:pPr>
              <w:spacing w:line="343" w:lineRule="auto"/>
              <w:rPr>
                <w:rFonts w:ascii="Arial"/>
                <w:sz w:val="21"/>
              </w:rPr>
            </w:pPr>
          </w:p>
          <w:p>
            <w:pPr>
              <w:pStyle w:val="6"/>
              <w:spacing w:before="58" w:line="228" w:lineRule="auto"/>
            </w:pPr>
            <w:r>
              <w:rPr>
                <w:spacing w:val="6"/>
              </w:rPr>
              <w:t>1.未提供仪表维护保养记录。</w:t>
            </w:r>
          </w:p>
          <w:p>
            <w:pPr>
              <w:pStyle w:val="6"/>
              <w:spacing w:before="8" w:line="229" w:lineRule="auto"/>
            </w:pPr>
            <w:r>
              <w:rPr>
                <w:spacing w:val="8"/>
              </w:rPr>
              <w:t>2.未对控制系统的应急预案开展培训和演练。</w:t>
            </w: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1.按照《危险化学品企业安全风险隐患排查治理导 则》《关于加强化工过程安全管理的指导意见》（安监总管三〔2013〕88号）第（十六）条的要求，建立仪表维护保养记录。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2.组织进行控制系统应急预案的培训和演练。</w:t>
            </w:r>
          </w:p>
          <w:p>
            <w:pPr>
              <w:pStyle w:val="6"/>
              <w:spacing w:before="8" w:line="213" w:lineRule="auto"/>
            </w:pPr>
          </w:p>
        </w:tc>
        <w:tc>
          <w:tcPr>
            <w:tcW w:w="1091" w:type="dxa"/>
            <w:vAlign w:val="top"/>
          </w:tcPr>
          <w:p>
            <w:pPr>
              <w:rPr>
                <w:rFonts w:ascii="Arial"/>
                <w:sz w:val="21"/>
              </w:rPr>
            </w:pPr>
          </w:p>
        </w:tc>
        <w:tc>
          <w:tcPr>
            <w:tcW w:w="1244" w:type="dxa"/>
            <w:vAlign w:val="top"/>
          </w:tcPr>
          <w:p>
            <w:pPr>
              <w:spacing w:line="458" w:lineRule="auto"/>
              <w:rPr>
                <w:rFonts w:ascii="Arial"/>
                <w:sz w:val="21"/>
              </w:rPr>
            </w:pPr>
          </w:p>
          <w:p>
            <w:pPr>
              <w:pStyle w:val="6"/>
              <w:spacing w:before="59" w:line="241" w:lineRule="exact"/>
              <w:ind w:left="587"/>
            </w:pPr>
            <w:r>
              <w:rPr>
                <w:position w:val="1"/>
              </w:rPr>
              <w:t>√</w:t>
            </w:r>
          </w:p>
        </w:tc>
        <w:tc>
          <w:tcPr>
            <w:tcW w:w="980" w:type="dxa"/>
            <w:vAlign w:val="top"/>
          </w:tcPr>
          <w:p>
            <w:pPr>
              <w:rPr>
                <w:rFonts w:ascii="Arial"/>
                <w:sz w:val="21"/>
              </w:rPr>
            </w:pPr>
          </w:p>
        </w:tc>
        <w:tc>
          <w:tcPr>
            <w:tcW w:w="891"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99" w:right="1138" w:bottom="0" w:left="1010" w:header="0" w:footer="0" w:gutter="0"/>
          <w:cols w:space="720" w:num="1"/>
        </w:sectPr>
      </w:pP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860"/>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0" w:type="dxa"/>
            <w:tcBorders>
              <w:top w:val="nil"/>
            </w:tcBorders>
            <w:vAlign w:val="top"/>
          </w:tcPr>
          <w:p>
            <w:pPr>
              <w:pStyle w:val="6"/>
              <w:spacing w:before="100"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00"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before="1" w:line="224"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860" w:type="dxa"/>
            <w:tcBorders>
              <w:top w:val="nil"/>
            </w:tcBorders>
            <w:vAlign w:val="top"/>
          </w:tcPr>
          <w:p>
            <w:pPr>
              <w:pStyle w:val="6"/>
              <w:spacing w:before="100" w:line="231" w:lineRule="auto"/>
              <w:ind w:left="1575"/>
            </w:pPr>
            <w:r>
              <w:rPr>
                <w:spacing w:val="4"/>
                <w14:textOutline w14:w="3394" w14:cap="sq" w14:cmpd="sng">
                  <w14:solidFill>
                    <w14:srgbClr w14:val="000000"/>
                  </w14:solidFill>
                  <w14:prstDash w14:val="solid"/>
                  <w14:bevel/>
                </w14:textOutline>
              </w:rPr>
              <w:t>问题描述</w:t>
            </w:r>
          </w:p>
        </w:tc>
        <w:tc>
          <w:tcPr>
            <w:tcW w:w="4318" w:type="dxa"/>
            <w:tcBorders>
              <w:top w:val="nil"/>
            </w:tcBorders>
            <w:vAlign w:val="top"/>
          </w:tcPr>
          <w:p>
            <w:pPr>
              <w:pStyle w:val="6"/>
              <w:spacing w:before="100" w:line="229" w:lineRule="auto"/>
              <w:ind w:left="178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19"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219" w:line="229" w:lineRule="auto"/>
              <w:ind w:left="220"/>
            </w:pPr>
            <w:r>
              <w:rPr>
                <w:spacing w:val="8"/>
                <w14:textOutline w14:w="3394" w14:cap="sq" w14:cmpd="sng">
                  <w14:solidFill>
                    <w14:srgbClr w14:val="000000"/>
                  </w14:solidFill>
                  <w14:prstDash w14:val="solid"/>
                  <w14:bevel/>
                </w14:textOutline>
              </w:rPr>
              <w:t>现场类</w:t>
            </w:r>
          </w:p>
        </w:tc>
        <w:tc>
          <w:tcPr>
            <w:tcW w:w="891" w:type="dxa"/>
            <w:tcBorders>
              <w:top w:val="nil"/>
            </w:tcBorders>
            <w:vAlign w:val="top"/>
          </w:tcPr>
          <w:p>
            <w:pPr>
              <w:pStyle w:val="6"/>
              <w:spacing w:before="94" w:line="213" w:lineRule="auto"/>
              <w:ind w:left="405" w:right="22" w:hanging="345"/>
              <w:rPr>
                <w:sz w:val="19"/>
                <w:szCs w:val="19"/>
              </w:rPr>
            </w:pPr>
            <w:r>
              <w:rPr>
                <w:spacing w:val="8"/>
                <w:sz w:val="19"/>
                <w:szCs w:val="19"/>
                <w14:textOutline w14:w="3572" w14:cap="sq" w14:cmpd="sng">
                  <w14:solidFill>
                    <w14:srgbClr w14:val="000000"/>
                  </w14:solidFill>
                  <w14:prstDash w14:val="solid"/>
                  <w14:bevel/>
                </w14:textOutline>
              </w:rPr>
              <w:t>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0" w:hRule="atLeast"/>
        </w:trPr>
        <w:tc>
          <w:tcPr>
            <w:tcW w:w="620"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8" w:line="232" w:lineRule="auto"/>
              <w:ind w:left="125" w:right="106" w:firstLine="21"/>
            </w:pPr>
            <w:r>
              <w:rPr>
                <w:spacing w:val="-4"/>
                <w14:textOutline w14:w="3394" w14:cap="sq" w14:cmpd="sng">
                  <w14:solidFill>
                    <w14:srgbClr w14:val="000000"/>
                  </w14:solidFill>
                  <w14:prstDash w14:val="solid"/>
                  <w14:bevel/>
                </w14:textOutline>
              </w:rPr>
              <w:t>电气</w:t>
            </w:r>
            <w:r>
              <w:t xml:space="preserve"> </w:t>
            </w:r>
            <w:r>
              <w:rPr>
                <w:spacing w:val="6"/>
                <w14:textOutline w14:w="3394" w14:cap="sq" w14:cmpd="sng">
                  <w14:solidFill>
                    <w14:srgbClr w14:val="000000"/>
                  </w14:solidFill>
                  <w14:prstDash w14:val="solid"/>
                  <w14:bevel/>
                </w14:textOutline>
              </w:rPr>
              <w:t>仪表</w:t>
            </w:r>
          </w:p>
        </w:tc>
        <w:tc>
          <w:tcPr>
            <w:tcW w:w="556" w:type="dxa"/>
            <w:vAlign w:val="top"/>
          </w:tcPr>
          <w:p>
            <w:pPr>
              <w:spacing w:line="297" w:lineRule="auto"/>
              <w:rPr>
                <w:rFonts w:ascii="Arial"/>
                <w:sz w:val="21"/>
              </w:rPr>
            </w:pPr>
          </w:p>
          <w:p>
            <w:pPr>
              <w:spacing w:line="297" w:lineRule="auto"/>
              <w:rPr>
                <w:rFonts w:ascii="Arial"/>
                <w:sz w:val="21"/>
              </w:rPr>
            </w:pPr>
          </w:p>
          <w:p>
            <w:pPr>
              <w:pStyle w:val="6"/>
              <w:spacing w:before="59" w:line="189" w:lineRule="auto"/>
              <w:ind w:left="189"/>
            </w:pPr>
            <w:r>
              <w:rPr>
                <w:spacing w:val="-1"/>
              </w:rPr>
              <w:t>38</w:t>
            </w:r>
          </w:p>
        </w:tc>
        <w:tc>
          <w:tcPr>
            <w:tcW w:w="1112" w:type="dxa"/>
            <w:vAlign w:val="top"/>
          </w:tcPr>
          <w:p>
            <w:pPr>
              <w:spacing w:line="297" w:lineRule="auto"/>
              <w:rPr>
                <w:rFonts w:ascii="Arial"/>
                <w:sz w:val="21"/>
              </w:rPr>
            </w:pPr>
          </w:p>
          <w:p>
            <w:pPr>
              <w:spacing w:line="297" w:lineRule="auto"/>
              <w:rPr>
                <w:rFonts w:ascii="Arial"/>
                <w:sz w:val="21"/>
              </w:rPr>
            </w:pPr>
          </w:p>
          <w:p>
            <w:pPr>
              <w:pStyle w:val="6"/>
              <w:spacing w:before="59" w:line="189" w:lineRule="auto"/>
              <w:ind w:left="324"/>
            </w:pPr>
            <w:r>
              <w:rPr>
                <w:spacing w:val="2"/>
              </w:rPr>
              <w:t>5.2.3</w:t>
            </w:r>
          </w:p>
        </w:tc>
        <w:tc>
          <w:tcPr>
            <w:tcW w:w="3860"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1.罐区泵房内一台消防电动阀控制器为非防爆设备。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2.一车间、二车间和三车间四层电梯控制柜操作箱和电话为非防爆设备。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8"/>
                <w:kern w:val="0"/>
                <w:sz w:val="18"/>
                <w:szCs w:val="18"/>
                <w:lang w:val="en-US" w:eastAsia="en-US" w:bidi="ar-SA"/>
              </w:rPr>
              <w:t>3.三车间一层西侧缓冲间内，一台冷冻式干燥机为非防爆设备。</w:t>
            </w:r>
          </w:p>
          <w:p>
            <w:pPr>
              <w:pStyle w:val="6"/>
              <w:spacing w:before="9" w:line="229" w:lineRule="auto"/>
            </w:pPr>
          </w:p>
        </w:tc>
        <w:tc>
          <w:tcPr>
            <w:tcW w:w="4318" w:type="dxa"/>
            <w:vAlign w:val="top"/>
          </w:tcPr>
          <w:p>
            <w:pPr>
              <w:pStyle w:val="6"/>
              <w:spacing w:before="51" w:line="234" w:lineRule="auto"/>
              <w:ind w:left="38" w:firstLine="1"/>
              <w:jc w:val="both"/>
            </w:pPr>
            <w:r>
              <w:rPr>
                <w:rFonts w:hint="eastAsia" w:ascii="宋体" w:hAnsi="宋体" w:eastAsia="宋体" w:cs="宋体"/>
                <w:snapToGrid w:val="0"/>
                <w:color w:val="000000"/>
                <w:spacing w:val="6"/>
                <w:kern w:val="0"/>
                <w:sz w:val="18"/>
                <w:szCs w:val="18"/>
                <w:lang w:val="en-US" w:eastAsia="en-US" w:bidi="ar-SA"/>
              </w:rPr>
              <w:t>按照《爆炸危险环境电力装置设计规范》（GB50058-2014）第5.2.3条的要求和《危险场所电气防 爆安全规范》（AQ3009-2007）第5.1条的要求，防爆电气设备应根据爆炸危险区域的等级和爆炸危险物质的类别、级别和组别选型，安装使用合格的防爆型电气设备。</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82" w:lineRule="auto"/>
              <w:rPr>
                <w:rFonts w:ascii="Arial"/>
                <w:sz w:val="21"/>
              </w:rPr>
            </w:pPr>
          </w:p>
          <w:p>
            <w:pPr>
              <w:spacing w:line="282" w:lineRule="auto"/>
              <w:rPr>
                <w:rFonts w:ascii="Arial"/>
                <w:sz w:val="21"/>
              </w:rPr>
            </w:pPr>
          </w:p>
          <w:p>
            <w:pPr>
              <w:pStyle w:val="6"/>
              <w:spacing w:before="59" w:line="241" w:lineRule="exact"/>
              <w:ind w:left="456"/>
            </w:pPr>
            <w:r>
              <w:rPr>
                <w:position w:val="1"/>
                <w14:textOutline w14:w="3394" w14:cap="sq" w14:cmpd="sng">
                  <w14:solidFill>
                    <w14:srgbClr w14:val="000000"/>
                  </w14:solidFill>
                  <w14:prstDash w14:val="solid"/>
                  <w14:bevel/>
                </w14:textOutline>
              </w:rPr>
              <w:t>√</w:t>
            </w:r>
          </w:p>
        </w:tc>
        <w:tc>
          <w:tcPr>
            <w:tcW w:w="891" w:type="dxa"/>
            <w:vAlign w:val="top"/>
          </w:tcPr>
          <w:p>
            <w:pPr>
              <w:spacing w:line="282" w:lineRule="auto"/>
              <w:rPr>
                <w:rFonts w:ascii="Arial"/>
                <w:sz w:val="21"/>
              </w:rPr>
            </w:pPr>
          </w:p>
          <w:p>
            <w:pPr>
              <w:spacing w:line="282" w:lineRule="auto"/>
              <w:rPr>
                <w:rFonts w:ascii="Arial"/>
                <w:sz w:val="21"/>
              </w:rPr>
            </w:pPr>
          </w:p>
          <w:p>
            <w:pPr>
              <w:pStyle w:val="6"/>
              <w:spacing w:before="59" w:line="241" w:lineRule="exact"/>
              <w:ind w:left="408"/>
            </w:pPr>
            <w:r>
              <w:rPr>
                <w:position w:val="1"/>
                <w14:textOutline w14:w="3394"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620" w:type="dxa"/>
            <w:vMerge w:val="continue"/>
            <w:tcBorders>
              <w:top w:val="nil"/>
              <w:bottom w:val="nil"/>
            </w:tcBorders>
            <w:vAlign w:val="top"/>
          </w:tcPr>
          <w:p>
            <w:pPr>
              <w:rPr>
                <w:rFonts w:ascii="Arial"/>
                <w:sz w:val="21"/>
              </w:rPr>
            </w:pPr>
          </w:p>
        </w:tc>
        <w:tc>
          <w:tcPr>
            <w:tcW w:w="556" w:type="dxa"/>
            <w:vAlign w:val="top"/>
          </w:tcPr>
          <w:p>
            <w:pPr>
              <w:pStyle w:val="6"/>
              <w:spacing w:before="177" w:line="189" w:lineRule="auto"/>
              <w:ind w:left="189"/>
            </w:pPr>
            <w:r>
              <w:rPr>
                <w:spacing w:val="-1"/>
              </w:rPr>
              <w:t>39</w:t>
            </w:r>
          </w:p>
        </w:tc>
        <w:tc>
          <w:tcPr>
            <w:tcW w:w="1112" w:type="dxa"/>
            <w:vAlign w:val="top"/>
          </w:tcPr>
          <w:p>
            <w:pPr>
              <w:pStyle w:val="6"/>
              <w:spacing w:before="176" w:line="190" w:lineRule="auto"/>
              <w:ind w:left="324"/>
            </w:pPr>
            <w:r>
              <w:rPr>
                <w:spacing w:val="2"/>
              </w:rPr>
              <w:t>5.3.1</w:t>
            </w:r>
          </w:p>
        </w:tc>
        <w:tc>
          <w:tcPr>
            <w:tcW w:w="3860" w:type="dxa"/>
            <w:vAlign w:val="top"/>
          </w:tcPr>
          <w:p>
            <w:pPr>
              <w:pStyle w:val="6"/>
              <w:spacing w:before="30" w:line="218" w:lineRule="auto"/>
              <w:ind w:left="36" w:firstLine="16"/>
            </w:pPr>
            <w:r>
              <w:rPr>
                <w:rFonts w:hint="eastAsia" w:ascii="宋体" w:hAnsi="宋体" w:eastAsia="宋体" w:cs="宋体"/>
                <w:snapToGrid w:val="0"/>
                <w:color w:val="000000"/>
                <w:spacing w:val="8"/>
                <w:kern w:val="0"/>
                <w:sz w:val="18"/>
                <w:szCs w:val="18"/>
                <w:lang w:val="en-US" w:eastAsia="en-US" w:bidi="ar-SA"/>
              </w:rPr>
              <w:t>中控室GDS操作站、冷冻站6台氧气探测器显示为0%VOL，显示异常。</w:t>
            </w:r>
          </w:p>
        </w:tc>
        <w:tc>
          <w:tcPr>
            <w:tcW w:w="4318" w:type="dxa"/>
            <w:vAlign w:val="top"/>
          </w:tcPr>
          <w:p>
            <w:pPr>
              <w:pStyle w:val="6"/>
              <w:spacing w:before="147" w:line="229" w:lineRule="auto"/>
              <w:ind w:left="40"/>
            </w:pPr>
            <w:r>
              <w:rPr>
                <w:spacing w:val="6"/>
              </w:rPr>
              <w:t>分析原因，及时处理。</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pStyle w:val="6"/>
              <w:spacing w:before="147"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4"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9" w:line="189" w:lineRule="auto"/>
              <w:ind w:left="184"/>
            </w:pPr>
            <w:r>
              <w:rPr>
                <w:spacing w:val="1"/>
              </w:rPr>
              <w:t>40</w:t>
            </w:r>
          </w:p>
        </w:tc>
        <w:tc>
          <w:tcPr>
            <w:tcW w:w="1112"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9" w:line="189" w:lineRule="auto"/>
              <w:ind w:left="324"/>
            </w:pPr>
            <w:r>
              <w:rPr>
                <w:spacing w:val="2"/>
              </w:rPr>
              <w:t>5.4.2</w:t>
            </w:r>
          </w:p>
        </w:tc>
        <w:tc>
          <w:tcPr>
            <w:tcW w:w="3860" w:type="dxa"/>
            <w:vAlign w:val="top"/>
          </w:tcPr>
          <w:p>
            <w:pPr>
              <w:spacing w:line="352"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1.一车间三层离心机（M10103C）防爆控制箱底部被人工打孔。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2.十车间一层西北角房间被划分为爆炸危险区，房间内一台应急疏散指示灯外壳脱落；内部指示灯裸露，防爆失效。</w:t>
            </w:r>
          </w:p>
          <w:p>
            <w:pPr>
              <w:pStyle w:val="6"/>
              <w:spacing w:before="8" w:line="233" w:lineRule="auto"/>
              <w:jc w:val="both"/>
            </w:pP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1.按照《爆炸危险环境电力装置设计规范》（GB50058-2014）第5.2.3条的要求和《危险场所电气防 爆安全规范》（AQ3009-2007）第5.1条的要求，防爆电气设备应根据爆炸危险区域的等级和爆炸危险物质的类别、级别和组别选型，安装使用合格的防爆型电气设备。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2.联系设计院，核实设计图纸，根据核实情况进行整改。</w:t>
            </w:r>
          </w:p>
          <w:p>
            <w:pPr>
              <w:pStyle w:val="6"/>
              <w:spacing w:before="10" w:line="232" w:lineRule="auto"/>
            </w:pP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3" w:hRule="atLeast"/>
        </w:trPr>
        <w:tc>
          <w:tcPr>
            <w:tcW w:w="620" w:type="dxa"/>
            <w:vMerge w:val="continue"/>
            <w:tcBorders>
              <w:top w:val="nil"/>
            </w:tcBorders>
            <w:vAlign w:val="top"/>
          </w:tcPr>
          <w:p>
            <w:pPr>
              <w:rPr>
                <w:rFonts w:ascii="Arial"/>
                <w:sz w:val="21"/>
              </w:rPr>
            </w:pPr>
          </w:p>
        </w:tc>
        <w:tc>
          <w:tcPr>
            <w:tcW w:w="556"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8" w:line="190" w:lineRule="auto"/>
              <w:ind w:left="184"/>
            </w:pPr>
            <w:r>
              <w:rPr>
                <w:spacing w:val="1"/>
              </w:rPr>
              <w:t>41</w:t>
            </w:r>
          </w:p>
        </w:tc>
        <w:tc>
          <w:tcPr>
            <w:tcW w:w="111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8" w:line="189" w:lineRule="auto"/>
              <w:ind w:left="324"/>
            </w:pPr>
            <w:r>
              <w:rPr>
                <w:spacing w:val="2"/>
              </w:rPr>
              <w:t>5.4.3</w:t>
            </w:r>
          </w:p>
        </w:tc>
        <w:tc>
          <w:tcPr>
            <w:tcW w:w="3860" w:type="dxa"/>
            <w:vAlign w:val="top"/>
          </w:tcPr>
          <w:p>
            <w:pPr>
              <w:spacing w:line="293" w:lineRule="auto"/>
              <w:rPr>
                <w:rFonts w:ascii="Arial"/>
                <w:sz w:val="21"/>
              </w:rPr>
            </w:pPr>
          </w:p>
          <w:p>
            <w:pPr>
              <w:spacing w:line="294"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w:t>
            </w:r>
            <w:r>
              <w:rPr>
                <w:rFonts w:hint="eastAsia" w:ascii="宋体" w:hAnsi="宋体" w:eastAsia="宋体" w:cs="宋体"/>
                <w:snapToGrid w:val="0"/>
                <w:color w:val="000000"/>
                <w:spacing w:val="8"/>
                <w:kern w:val="0"/>
                <w:sz w:val="18"/>
                <w:szCs w:val="18"/>
                <w:lang w:val="en-US" w:eastAsia="en-US" w:bidi="ar-SA"/>
              </w:rPr>
              <w:t>.一车间一层四台泵操作柱外壳保护接地线串接。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2.亚磷酸装车鹤管旁两台电伴热配电箱外壳未进行保护接地。</w:t>
            </w:r>
          </w:p>
          <w:p>
            <w:pPr>
              <w:pStyle w:val="6"/>
              <w:spacing w:before="15" w:line="233" w:lineRule="auto"/>
            </w:pP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1.按照《电气装置安装工程接地装置施工及验收规范》（GB50169-2016）第4.2.9条的要求，电气装置的接地必须单独与接地母线或接地网相连接，严禁在一条接地线中串接两个及两个以上需要接地的电气装置。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8"/>
                <w:szCs w:val="18"/>
                <w:lang w:val="en-US" w:eastAsia="en-US" w:bidi="ar-SA"/>
              </w:rPr>
            </w:pPr>
            <w:r>
              <w:rPr>
                <w:rFonts w:hint="eastAsia" w:ascii="宋体" w:hAnsi="宋体" w:eastAsia="宋体" w:cs="宋体"/>
                <w:snapToGrid w:val="0"/>
                <w:color w:val="000000"/>
                <w:spacing w:val="6"/>
                <w:kern w:val="0"/>
                <w:sz w:val="18"/>
                <w:szCs w:val="18"/>
                <w:lang w:val="en-US" w:eastAsia="en-US" w:bidi="ar-SA"/>
              </w:rPr>
              <w:t>2.按照《电气装置安装工程接地装置施工及验收规范》（GB50169-2016）第3.0.4条的要求，电气设备的金属底座、框架及外壳和传动装置均必须接地。</w:t>
            </w:r>
          </w:p>
          <w:p>
            <w:pPr>
              <w:pStyle w:val="6"/>
              <w:spacing w:before="130" w:line="92" w:lineRule="exact"/>
              <w:ind w:left="57"/>
            </w:pP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4" w:hRule="atLeast"/>
        </w:trPr>
        <w:tc>
          <w:tcPr>
            <w:tcW w:w="620" w:type="dxa"/>
            <w:vAlign w:val="top"/>
          </w:tcPr>
          <w:p>
            <w:pPr>
              <w:pStyle w:val="6"/>
              <w:spacing w:before="71" w:line="235" w:lineRule="auto"/>
              <w:ind w:left="116" w:right="19" w:firstLine="8"/>
              <w:jc w:val="both"/>
            </w:pPr>
            <w:r>
              <w:rPr>
                <w:spacing w:val="7"/>
                <w14:textOutline w14:w="3394" w14:cap="sq" w14:cmpd="sng">
                  <w14:solidFill>
                    <w14:srgbClr w14:val="000000"/>
                  </w14:solidFill>
                  <w14:prstDash w14:val="solid"/>
                  <w14:bevel/>
                </w14:textOutline>
              </w:rPr>
              <w:t>精细</w:t>
            </w:r>
            <w:r>
              <w:t xml:space="preserve">  </w:t>
            </w:r>
            <w:r>
              <w:rPr>
                <w:spacing w:val="11"/>
                <w14:textOutline w14:w="3394" w14:cap="sq" w14:cmpd="sng">
                  <w14:solidFill>
                    <w14:srgbClr w14:val="000000"/>
                  </w14:solidFill>
                  <w14:prstDash w14:val="solid"/>
                  <w14:bevel/>
                </w14:textOutline>
              </w:rPr>
              <w:t>化工</w:t>
            </w:r>
            <w:r>
              <w:t xml:space="preserve">  </w:t>
            </w:r>
            <w:r>
              <w:rPr>
                <w:spacing w:val="11"/>
                <w14:textOutline w14:w="3394" w14:cap="sq" w14:cmpd="sng">
                  <w14:solidFill>
                    <w14:srgbClr w14:val="000000"/>
                  </w14:solidFill>
                  <w14:prstDash w14:val="solid"/>
                  <w14:bevel/>
                </w14:textOutline>
              </w:rPr>
              <w:t>企业</w:t>
            </w:r>
            <w:r>
              <w:t xml:space="preserve">  </w:t>
            </w:r>
            <w:r>
              <w:rPr>
                <w:spacing w:val="11"/>
                <w14:textOutline w14:w="3394" w14:cap="sq" w14:cmpd="sng">
                  <w14:solidFill>
                    <w14:srgbClr w14:val="000000"/>
                  </w14:solidFill>
                  <w14:prstDash w14:val="solid"/>
                  <w14:bevel/>
                </w14:textOutline>
              </w:rPr>
              <w:t>整治</w:t>
            </w:r>
            <w:r>
              <w:t xml:space="preserve">  </w:t>
            </w:r>
            <w:r>
              <w:rPr>
                <w:spacing w:val="11"/>
                <w14:textOutline w14:w="3394" w14:cap="sq" w14:cmpd="sng">
                  <w14:solidFill>
                    <w14:srgbClr w14:val="000000"/>
                  </w14:solidFill>
                  <w14:prstDash w14:val="solid"/>
                  <w14:bevel/>
                </w14:textOutline>
              </w:rPr>
              <w:t>任务</w:t>
            </w:r>
            <w:r>
              <w:t xml:space="preserve">  </w:t>
            </w:r>
            <w:r>
              <w:rPr>
                <w:spacing w:val="-3"/>
                <w14:textOutline w14:w="3394" w14:cap="sq" w14:cmpd="sng">
                  <w14:solidFill>
                    <w14:srgbClr w14:val="000000"/>
                  </w14:solidFill>
                  <w14:prstDash w14:val="solid"/>
                  <w14:bevel/>
                </w14:textOutline>
              </w:rPr>
              <w:t>“</w:t>
            </w:r>
            <w:r>
              <w:rPr>
                <w:spacing w:val="-65"/>
              </w:rPr>
              <w:t xml:space="preserve"> </w:t>
            </w:r>
            <w:r>
              <w:rPr>
                <w:spacing w:val="-3"/>
                <w14:textOutline w14:w="3394" w14:cap="sq" w14:cmpd="sng">
                  <w14:solidFill>
                    <w14:srgbClr w14:val="000000"/>
                  </w14:solidFill>
                  <w14:prstDash w14:val="solid"/>
                  <w14:bevel/>
                </w14:textOutline>
              </w:rPr>
              <w:t>四</w:t>
            </w:r>
            <w:r>
              <w:t xml:space="preserve">  </w:t>
            </w:r>
            <w:r>
              <w:rPr>
                <w:spacing w:val="11"/>
                <w14:textOutline w14:w="3394" w14:cap="sq" w14:cmpd="sng">
                  <w14:solidFill>
                    <w14:srgbClr w14:val="000000"/>
                  </w14:solidFill>
                  <w14:prstDash w14:val="solid"/>
                  <w14:bevel/>
                </w14:textOutline>
              </w:rPr>
              <w:t>个清</w:t>
            </w:r>
            <w:r>
              <w:t xml:space="preserve">  </w:t>
            </w:r>
            <w:r>
              <w:rPr>
                <w:spacing w:val="42"/>
                <w14:textOutline w14:w="3394" w14:cap="sq" w14:cmpd="sng">
                  <w14:solidFill>
                    <w14:srgbClr w14:val="000000"/>
                  </w14:solidFill>
                  <w14:prstDash w14:val="solid"/>
                  <w14:bevel/>
                </w14:textOutline>
              </w:rPr>
              <w:t>零</w:t>
            </w:r>
            <w:r>
              <w:rPr>
                <w:spacing w:val="-65"/>
              </w:rPr>
              <w:t xml:space="preserve"> </w:t>
            </w:r>
            <w:r>
              <w:rPr>
                <w:spacing w:val="42"/>
                <w14:textOutline w14:w="3394" w14:cap="sq" w14:cmpd="sng">
                  <w14:solidFill>
                    <w14:srgbClr w14:val="000000"/>
                  </w14:solidFill>
                  <w14:prstDash w14:val="solid"/>
                  <w14:bevel/>
                </w14:textOutline>
              </w:rPr>
              <w:t>”</w:t>
            </w:r>
          </w:p>
        </w:tc>
        <w:tc>
          <w:tcPr>
            <w:tcW w:w="556"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8" w:line="189" w:lineRule="auto"/>
              <w:ind w:left="184"/>
            </w:pPr>
            <w:r>
              <w:rPr>
                <w:spacing w:val="1"/>
              </w:rPr>
              <w:t>42</w:t>
            </w:r>
          </w:p>
        </w:tc>
        <w:tc>
          <w:tcPr>
            <w:tcW w:w="1112"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9" w:line="189" w:lineRule="auto"/>
              <w:ind w:left="322"/>
            </w:pPr>
            <w:r>
              <w:rPr>
                <w:spacing w:val="3"/>
              </w:rPr>
              <w:t>6.4.4</w:t>
            </w:r>
          </w:p>
        </w:tc>
        <w:tc>
          <w:tcPr>
            <w:tcW w:w="3860" w:type="dxa"/>
            <w:vAlign w:val="top"/>
          </w:tcPr>
          <w:p>
            <w:pPr>
              <w:spacing w:line="293" w:lineRule="auto"/>
              <w:rPr>
                <w:rFonts w:ascii="Arial"/>
                <w:sz w:val="21"/>
              </w:rPr>
            </w:pPr>
          </w:p>
          <w:p>
            <w:pPr>
              <w:spacing w:line="293" w:lineRule="auto"/>
              <w:rPr>
                <w:rFonts w:ascii="Arial"/>
                <w:sz w:val="21"/>
              </w:rPr>
            </w:pPr>
          </w:p>
          <w:p>
            <w:pPr>
              <w:pStyle w:val="6"/>
              <w:spacing w:before="59" w:line="234" w:lineRule="auto"/>
              <w:ind w:left="35" w:firstLine="2"/>
              <w:jc w:val="both"/>
            </w:pPr>
            <w:r>
              <w:rPr>
                <w:rFonts w:hint="eastAsia" w:ascii="宋体" w:hAnsi="宋体" w:eastAsia="宋体" w:cs="宋体"/>
                <w:snapToGrid w:val="0"/>
                <w:color w:val="000000"/>
                <w:spacing w:val="8"/>
                <w:kern w:val="0"/>
                <w:sz w:val="18"/>
                <w:szCs w:val="18"/>
                <w:lang w:val="en-US" w:eastAsia="en-US" w:bidi="ar-SA"/>
              </w:rPr>
              <w:t>2023年12月12日8：00至20：00，三车间中控室交接班记录中，交班人操作工杨某某未取得胺基化特种作业操作证。</w:t>
            </w:r>
          </w:p>
        </w:tc>
        <w:tc>
          <w:tcPr>
            <w:tcW w:w="4318" w:type="dxa"/>
            <w:vAlign w:val="top"/>
          </w:tcPr>
          <w:p>
            <w:pPr>
              <w:spacing w:line="474" w:lineRule="auto"/>
              <w:rPr>
                <w:rFonts w:ascii="Arial"/>
                <w:sz w:val="21"/>
              </w:rPr>
            </w:pPr>
          </w:p>
          <w:p>
            <w:pPr>
              <w:pStyle w:val="6"/>
              <w:spacing w:before="58" w:line="234" w:lineRule="auto"/>
              <w:ind w:left="37" w:right="8" w:firstLine="2"/>
            </w:pPr>
            <w:r>
              <w:rPr>
                <w:rFonts w:hint="eastAsia" w:ascii="宋体" w:hAnsi="宋体" w:eastAsia="宋体" w:cs="宋体"/>
                <w:snapToGrid w:val="0"/>
                <w:color w:val="000000"/>
                <w:spacing w:val="6"/>
                <w:kern w:val="0"/>
                <w:sz w:val="18"/>
                <w:szCs w:val="18"/>
                <w:lang w:val="en-US" w:eastAsia="en-US" w:bidi="ar-SA"/>
              </w:rPr>
              <w:t>按照《特种作业人员安全技术培训考核管理规定》国家安全生产监督管理总局令〔第30号〕第五条的要求，特种作业人员必须经专门的安全技术培训并考核合格，取得特种作业操作证后，方可上岗作业。</w:t>
            </w:r>
          </w:p>
        </w:tc>
        <w:tc>
          <w:tcPr>
            <w:tcW w:w="1091" w:type="dxa"/>
            <w:vAlign w:val="top"/>
          </w:tcPr>
          <w:p>
            <w:pPr>
              <w:rPr>
                <w:rFonts w:ascii="Arial"/>
                <w:sz w:val="21"/>
              </w:rPr>
            </w:pPr>
          </w:p>
        </w:tc>
        <w:tc>
          <w:tcPr>
            <w:tcW w:w="1244"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42" w:lineRule="exact"/>
              <w:ind w:left="587"/>
            </w:pPr>
            <w:r>
              <w:rPr>
                <w:position w:val="1"/>
                <w14:textOutline w14:w="3394" w14:cap="sq" w14:cmpd="sng">
                  <w14:solidFill>
                    <w14:srgbClr w14:val="000000"/>
                  </w14:solidFill>
                  <w14:prstDash w14:val="solid"/>
                  <w14:bevel/>
                </w14:textOutline>
              </w:rPr>
              <w:t>√</w:t>
            </w:r>
          </w:p>
        </w:tc>
        <w:tc>
          <w:tcPr>
            <w:tcW w:w="980" w:type="dxa"/>
            <w:vAlign w:val="top"/>
          </w:tcPr>
          <w:p>
            <w:pPr>
              <w:rPr>
                <w:rFonts w:ascii="Arial"/>
                <w:sz w:val="21"/>
              </w:rPr>
            </w:pPr>
          </w:p>
        </w:tc>
        <w:tc>
          <w:tcPr>
            <w:tcW w:w="89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8" w:line="242" w:lineRule="exact"/>
              <w:ind w:left="408"/>
            </w:pPr>
            <w:r>
              <w:rPr>
                <w:position w:val="1"/>
                <w14:textOutline w14:w="3394"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atLeast"/>
        </w:trPr>
        <w:tc>
          <w:tcPr>
            <w:tcW w:w="620" w:type="dxa"/>
            <w:tcBorders>
              <w:bottom w:val="nil"/>
            </w:tcBorders>
            <w:vAlign w:val="top"/>
          </w:tcPr>
          <w:p>
            <w:pPr>
              <w:rPr>
                <w:rFonts w:ascii="Arial"/>
                <w:sz w:val="21"/>
              </w:rPr>
            </w:pPr>
          </w:p>
        </w:tc>
        <w:tc>
          <w:tcPr>
            <w:tcW w:w="556" w:type="dxa"/>
            <w:vAlign w:val="top"/>
          </w:tcPr>
          <w:p>
            <w:pPr>
              <w:pStyle w:val="6"/>
              <w:spacing w:before="189" w:line="189" w:lineRule="auto"/>
              <w:ind w:left="184"/>
            </w:pPr>
            <w:r>
              <w:rPr>
                <w:spacing w:val="1"/>
              </w:rPr>
              <w:t>43</w:t>
            </w:r>
          </w:p>
        </w:tc>
        <w:tc>
          <w:tcPr>
            <w:tcW w:w="1112" w:type="dxa"/>
            <w:vAlign w:val="top"/>
          </w:tcPr>
          <w:p>
            <w:pPr>
              <w:pStyle w:val="6"/>
              <w:spacing w:before="188" w:line="190" w:lineRule="auto"/>
              <w:ind w:left="321"/>
            </w:pPr>
            <w:r>
              <w:rPr>
                <w:spacing w:val="3"/>
              </w:rPr>
              <w:t>8.1.1</w:t>
            </w:r>
          </w:p>
        </w:tc>
        <w:tc>
          <w:tcPr>
            <w:tcW w:w="3860" w:type="dxa"/>
            <w:vAlign w:val="top"/>
          </w:tcPr>
          <w:p>
            <w:pPr>
              <w:pStyle w:val="6"/>
              <w:spacing w:before="43" w:line="216" w:lineRule="auto"/>
              <w:ind w:left="52" w:hanging="15"/>
            </w:pPr>
            <w:r>
              <w:rPr>
                <w:rFonts w:hint="eastAsia" w:ascii="宋体" w:hAnsi="宋体" w:eastAsia="宋体" w:cs="宋体"/>
                <w:snapToGrid w:val="0"/>
                <w:color w:val="000000"/>
                <w:spacing w:val="8"/>
                <w:kern w:val="0"/>
                <w:sz w:val="18"/>
                <w:szCs w:val="18"/>
                <w:lang w:val="en-US" w:eastAsia="en-US" w:bidi="ar-SA"/>
              </w:rPr>
              <w:t>2</w:t>
            </w:r>
            <w:r>
              <w:rPr>
                <w:rFonts w:hint="eastAsia" w:ascii="宋体" w:hAnsi="宋体" w:eastAsia="宋体" w:cs="宋体"/>
                <w:snapToGrid w:val="0"/>
                <w:color w:val="000000"/>
                <w:spacing w:val="8"/>
                <w:kern w:val="0"/>
                <w:sz w:val="18"/>
                <w:szCs w:val="18"/>
                <w:lang w:val="en-US" w:eastAsia="en-US" w:bidi="ar-SA"/>
              </w:rPr>
              <w:t>024年2月11日～17日公司领导带班检查记录中，“检查评价”栏未填写具体内容。</w:t>
            </w:r>
          </w:p>
        </w:tc>
        <w:tc>
          <w:tcPr>
            <w:tcW w:w="4318" w:type="dxa"/>
            <w:vAlign w:val="top"/>
          </w:tcPr>
          <w:p>
            <w:pPr>
              <w:pStyle w:val="6"/>
              <w:spacing w:before="158" w:line="227" w:lineRule="auto"/>
              <w:ind w:left="40"/>
            </w:pPr>
            <w:r>
              <w:rPr>
                <w:spacing w:val="7"/>
              </w:rPr>
              <w:t>完善检查评价内容。</w:t>
            </w:r>
          </w:p>
        </w:tc>
        <w:tc>
          <w:tcPr>
            <w:tcW w:w="1091" w:type="dxa"/>
            <w:vAlign w:val="top"/>
          </w:tcPr>
          <w:p>
            <w:pPr>
              <w:pStyle w:val="6"/>
              <w:spacing w:before="158" w:line="241"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99" w:right="1138" w:bottom="0" w:left="1010" w:header="0" w:footer="0" w:gutter="0"/>
          <w:cols w:space="720" w:num="1"/>
        </w:sectPr>
      </w:pP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860"/>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620" w:type="dxa"/>
            <w:tcBorders>
              <w:top w:val="nil"/>
            </w:tcBorders>
            <w:vAlign w:val="top"/>
          </w:tcPr>
          <w:p>
            <w:pPr>
              <w:pStyle w:val="6"/>
              <w:spacing w:before="100"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00"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before="1" w:line="224"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860" w:type="dxa"/>
            <w:tcBorders>
              <w:top w:val="nil"/>
            </w:tcBorders>
            <w:vAlign w:val="top"/>
          </w:tcPr>
          <w:p>
            <w:pPr>
              <w:pStyle w:val="6"/>
              <w:spacing w:before="100" w:line="231" w:lineRule="auto"/>
              <w:ind w:left="1575"/>
            </w:pPr>
            <w:r>
              <w:rPr>
                <w:spacing w:val="4"/>
                <w14:textOutline w14:w="3394" w14:cap="sq" w14:cmpd="sng">
                  <w14:solidFill>
                    <w14:srgbClr w14:val="000000"/>
                  </w14:solidFill>
                  <w14:prstDash w14:val="solid"/>
                  <w14:bevel/>
                </w14:textOutline>
              </w:rPr>
              <w:t>问题描述</w:t>
            </w:r>
          </w:p>
        </w:tc>
        <w:tc>
          <w:tcPr>
            <w:tcW w:w="4318" w:type="dxa"/>
            <w:tcBorders>
              <w:top w:val="nil"/>
            </w:tcBorders>
            <w:vAlign w:val="top"/>
          </w:tcPr>
          <w:p>
            <w:pPr>
              <w:pStyle w:val="6"/>
              <w:spacing w:before="100" w:line="229" w:lineRule="auto"/>
              <w:ind w:left="178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19"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219" w:line="229" w:lineRule="auto"/>
              <w:ind w:left="220"/>
            </w:pPr>
            <w:r>
              <w:rPr>
                <w:spacing w:val="8"/>
                <w14:textOutline w14:w="3394" w14:cap="sq" w14:cmpd="sng">
                  <w14:solidFill>
                    <w14:srgbClr w14:val="000000"/>
                  </w14:solidFill>
                  <w14:prstDash w14:val="solid"/>
                  <w14:bevel/>
                </w14:textOutline>
              </w:rPr>
              <w:t>现场类</w:t>
            </w:r>
          </w:p>
        </w:tc>
        <w:tc>
          <w:tcPr>
            <w:tcW w:w="891" w:type="dxa"/>
            <w:tcBorders>
              <w:top w:val="nil"/>
            </w:tcBorders>
            <w:vAlign w:val="top"/>
          </w:tcPr>
          <w:p>
            <w:pPr>
              <w:pStyle w:val="6"/>
              <w:spacing w:before="94" w:line="213" w:lineRule="auto"/>
              <w:ind w:left="405" w:right="22" w:hanging="345"/>
              <w:rPr>
                <w:sz w:val="19"/>
                <w:szCs w:val="19"/>
              </w:rPr>
            </w:pPr>
            <w:r>
              <w:rPr>
                <w:spacing w:val="8"/>
                <w:sz w:val="19"/>
                <w:szCs w:val="19"/>
                <w14:textOutline w14:w="3572" w14:cap="sq" w14:cmpd="sng">
                  <w14:solidFill>
                    <w14:srgbClr w14:val="000000"/>
                  </w14:solidFill>
                  <w14:prstDash w14:val="solid"/>
                  <w14:bevel/>
                </w14:textOutline>
              </w:rPr>
              <w:t>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62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29" w:lineRule="auto"/>
              <w:ind w:left="125"/>
            </w:pPr>
            <w:r>
              <w:rPr>
                <w:spacing w:val="6"/>
                <w14:textOutline w14:w="3394" w14:cap="sq" w14:cmpd="sng">
                  <w14:solidFill>
                    <w14:srgbClr w14:val="000000"/>
                  </w14:solidFill>
                  <w14:prstDash w14:val="solid"/>
                  <w14:bevel/>
                </w14:textOutline>
              </w:rPr>
              <w:t>其他</w:t>
            </w:r>
          </w:p>
        </w:tc>
        <w:tc>
          <w:tcPr>
            <w:tcW w:w="556" w:type="dxa"/>
            <w:vAlign w:val="top"/>
          </w:tcPr>
          <w:p>
            <w:pPr>
              <w:spacing w:line="356" w:lineRule="auto"/>
              <w:rPr>
                <w:rFonts w:ascii="Arial"/>
                <w:sz w:val="21"/>
              </w:rPr>
            </w:pPr>
          </w:p>
          <w:p>
            <w:pPr>
              <w:pStyle w:val="6"/>
              <w:spacing w:before="59" w:line="189" w:lineRule="auto"/>
              <w:ind w:left="184"/>
            </w:pPr>
            <w:r>
              <w:rPr>
                <w:spacing w:val="1"/>
              </w:rPr>
              <w:t>44</w:t>
            </w:r>
          </w:p>
        </w:tc>
        <w:tc>
          <w:tcPr>
            <w:tcW w:w="1112" w:type="dxa"/>
            <w:vAlign w:val="top"/>
          </w:tcPr>
          <w:p>
            <w:pPr>
              <w:spacing w:line="355" w:lineRule="auto"/>
              <w:rPr>
                <w:rFonts w:ascii="Arial"/>
                <w:sz w:val="21"/>
              </w:rPr>
            </w:pPr>
          </w:p>
          <w:p>
            <w:pPr>
              <w:pStyle w:val="6"/>
              <w:spacing w:before="59" w:line="190" w:lineRule="auto"/>
              <w:ind w:left="321"/>
            </w:pPr>
            <w:r>
              <w:rPr>
                <w:spacing w:val="3"/>
              </w:rPr>
              <w:t>8.1.7</w:t>
            </w:r>
          </w:p>
        </w:tc>
        <w:tc>
          <w:tcPr>
            <w:tcW w:w="3860" w:type="dxa"/>
            <w:vAlign w:val="top"/>
          </w:tcPr>
          <w:p>
            <w:pPr>
              <w:pStyle w:val="6"/>
              <w:spacing w:before="157" w:line="234" w:lineRule="auto"/>
              <w:ind w:left="36"/>
              <w:jc w:val="both"/>
            </w:pPr>
            <w:r>
              <w:rPr>
                <w:rFonts w:hint="eastAsia" w:ascii="宋体" w:hAnsi="宋体" w:eastAsia="宋体" w:cs="宋体"/>
                <w:snapToGrid w:val="0"/>
                <w:color w:val="000000"/>
                <w:spacing w:val="8"/>
                <w:kern w:val="0"/>
                <w:sz w:val="18"/>
                <w:szCs w:val="18"/>
                <w:lang w:val="en-US" w:eastAsia="en-US" w:bidi="ar-SA"/>
              </w:rPr>
              <w:t>2024年2月22日，二车间二氯甲烷接受罐泄漏逃生应急演练记录中，无演练影像记录及过程演练记录。</w:t>
            </w:r>
          </w:p>
        </w:tc>
        <w:tc>
          <w:tcPr>
            <w:tcW w:w="4318" w:type="dxa"/>
            <w:vAlign w:val="top"/>
          </w:tcPr>
          <w:p>
            <w:pPr>
              <w:pStyle w:val="6"/>
              <w:spacing w:before="40" w:line="230" w:lineRule="auto"/>
              <w:ind w:left="37" w:firstLine="2"/>
              <w:jc w:val="both"/>
            </w:pPr>
            <w:r>
              <w:rPr>
                <w:rFonts w:hint="eastAsia" w:ascii="宋体" w:hAnsi="宋体" w:eastAsia="宋体" w:cs="宋体"/>
                <w:snapToGrid w:val="0"/>
                <w:color w:val="000000"/>
                <w:spacing w:val="8"/>
                <w:kern w:val="0"/>
                <w:sz w:val="18"/>
                <w:szCs w:val="18"/>
                <w:lang w:val="en-US" w:eastAsia="en-US" w:bidi="ar-SA"/>
              </w:rPr>
              <w:t>按照《生产安全事故应急演练基本规范》（AQ/T9007-2019）第7.5条的要求，演练实施过程中，安排专门人员采用文字、照片和音像手段记录演练过程。</w:t>
            </w:r>
            <w:bookmarkStart w:id="0" w:name="_GoBack"/>
            <w:bookmarkEnd w:id="0"/>
          </w:p>
        </w:tc>
        <w:tc>
          <w:tcPr>
            <w:tcW w:w="1091" w:type="dxa"/>
            <w:vAlign w:val="top"/>
          </w:tcPr>
          <w:p>
            <w:pPr>
              <w:spacing w:line="326" w:lineRule="auto"/>
              <w:rPr>
                <w:rFonts w:ascii="Arial"/>
                <w:sz w:val="21"/>
              </w:rPr>
            </w:pPr>
          </w:p>
          <w:p>
            <w:pPr>
              <w:pStyle w:val="6"/>
              <w:spacing w:before="59" w:line="241" w:lineRule="exact"/>
              <w:ind w:left="509"/>
            </w:pPr>
            <w:r>
              <w:rPr>
                <w:position w:val="1"/>
              </w:rPr>
              <w:t>√</w:t>
            </w:r>
          </w:p>
        </w:tc>
        <w:tc>
          <w:tcPr>
            <w:tcW w:w="1244" w:type="dxa"/>
            <w:vAlign w:val="top"/>
          </w:tcPr>
          <w:p>
            <w:pPr>
              <w:rPr>
                <w:rFonts w:ascii="Arial"/>
                <w:sz w:val="21"/>
              </w:rPr>
            </w:pPr>
          </w:p>
        </w:tc>
        <w:tc>
          <w:tcPr>
            <w:tcW w:w="980" w:type="dxa"/>
            <w:vAlign w:val="top"/>
          </w:tcPr>
          <w:p>
            <w:pPr>
              <w:rPr>
                <w:rFonts w:ascii="Arial"/>
                <w:sz w:val="21"/>
              </w:rPr>
            </w:pP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2"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89" w:lineRule="auto"/>
              <w:ind w:left="184"/>
            </w:pPr>
            <w:r>
              <w:rPr>
                <w:spacing w:val="1"/>
              </w:rPr>
              <w:t>45</w:t>
            </w:r>
          </w:p>
        </w:tc>
        <w:tc>
          <w:tcPr>
            <w:tcW w:w="111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8" w:line="190" w:lineRule="auto"/>
              <w:ind w:left="289"/>
            </w:pPr>
            <w:r>
              <w:rPr>
                <w:spacing w:val="1"/>
              </w:rPr>
              <w:t>10.4.1</w:t>
            </w:r>
          </w:p>
        </w:tc>
        <w:tc>
          <w:tcPr>
            <w:tcW w:w="386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1.二车间二层一台视孔灯防爆配电箱，一个进线孔接入多根电缆。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2.二车间三层一台干簧管液位计防爆挠性软管脱落。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3.罐区西北角，一台声光报警器保护壳内进水，防爆密封失效。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4.三车间三层气动调节阀（XV103012）定位器一进线孔使用设备自带的软胶塞密封，不符合防爆要求。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8"/>
                <w:kern w:val="0"/>
                <w:sz w:val="18"/>
                <w:szCs w:val="18"/>
                <w:lang w:val="en-US" w:eastAsia="en-US" w:bidi="ar-SA"/>
              </w:rPr>
              <w:t>5.一车间四层反应器（R10124A/C）搅拌电机防爆接线盒缺螺栓。</w:t>
            </w:r>
          </w:p>
          <w:p>
            <w:pPr>
              <w:pStyle w:val="6"/>
              <w:spacing w:before="8" w:line="232" w:lineRule="auto"/>
              <w:ind w:right="10"/>
            </w:pP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1.按照《电气装置安装工程爆炸和火灾危险环境电气装置施工及验收规范》（GB50257-2014）第 5.2.3条的要求，弹性密封圈的一个孔，应密封一根电缆。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2.按照《危险场所电气防爆安全规范》（AQ3009-2007）第6.1.1.3.11条“的要求，防爆挠性连接管应无裂纹、孔洞、机械损伤、变形等缺陷。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3.及时维修处理。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4.按照《电气装置安装工程爆炸和火灾危险环境电气装置施工及验收规范》（GB50257-2014 ） 第4.1.4条的要求，防爆电气设备的进线口与电缆、导线引入连接后，应保持引入单元的完整性和弹性密封圈的密封性。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5.按照《危险场所电气防爆安全规范》（AQ 3009-2007）第6.1.2.1.4条的要求，防爆电气设备的紧固螺栓应有防松措施，无松动和锈蚀。</w:t>
            </w:r>
          </w:p>
          <w:p>
            <w:pPr>
              <w:pStyle w:val="6"/>
              <w:spacing w:before="5" w:line="234" w:lineRule="auto"/>
              <w:jc w:val="both"/>
            </w:pP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1"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8" w:line="189" w:lineRule="auto"/>
              <w:ind w:left="184"/>
            </w:pPr>
            <w:r>
              <w:rPr>
                <w:spacing w:val="1"/>
              </w:rPr>
              <w:t>46</w:t>
            </w:r>
          </w:p>
        </w:tc>
        <w:tc>
          <w:tcPr>
            <w:tcW w:w="1112"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58" w:line="190" w:lineRule="auto"/>
              <w:ind w:left="289"/>
            </w:pPr>
            <w:r>
              <w:rPr>
                <w:spacing w:val="1"/>
              </w:rPr>
              <w:t>10.4.1</w:t>
            </w:r>
          </w:p>
        </w:tc>
        <w:tc>
          <w:tcPr>
            <w:tcW w:w="3860" w:type="dxa"/>
            <w:vAlign w:val="top"/>
          </w:tcPr>
          <w:p>
            <w:pPr>
              <w:spacing w:line="349"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一车间一层热水槽出口气动切断阀和气源管使用PU材质。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二车间三层反应器（R102A07A/B/C）搅拌电机操作柱急停按钮缺少防护罩。</w:t>
            </w:r>
          </w:p>
          <w:p>
            <w:pPr>
              <w:pStyle w:val="6"/>
              <w:spacing w:before="9" w:line="232" w:lineRule="auto"/>
              <w:ind w:left="34" w:right="10" w:firstLine="3"/>
            </w:pP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1.按照《仪表供气设计规范》（HG/T20510-2014） 第8.1.2条的要求，气源球阀下游侧配管宜选用不锈钢管。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2.按照《生产设备安全卫生设计总则》（GB5083-1999）第5.5.1条的要求，对可能出现误动作或被误操作的操纵器，应采取必要的保护措施。</w:t>
            </w:r>
          </w:p>
          <w:p>
            <w:pPr>
              <w:pStyle w:val="6"/>
              <w:spacing w:before="6" w:line="234" w:lineRule="auto"/>
              <w:jc w:val="both"/>
            </w:pP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47" w:lineRule="auto"/>
              <w:rPr>
                <w:rFonts w:ascii="Arial"/>
                <w:sz w:val="21"/>
              </w:rPr>
            </w:pPr>
          </w:p>
          <w:p>
            <w:pPr>
              <w:spacing w:line="348"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620" w:type="dxa"/>
            <w:vMerge w:val="continue"/>
            <w:tcBorders>
              <w:top w:val="nil"/>
              <w:bottom w:val="nil"/>
            </w:tcBorders>
            <w:vAlign w:val="top"/>
          </w:tcPr>
          <w:p>
            <w:pPr>
              <w:rPr>
                <w:rFonts w:ascii="Arial"/>
                <w:sz w:val="21"/>
              </w:rPr>
            </w:pPr>
          </w:p>
        </w:tc>
        <w:tc>
          <w:tcPr>
            <w:tcW w:w="556" w:type="dxa"/>
            <w:vAlign w:val="top"/>
          </w:tcPr>
          <w:p>
            <w:pPr>
              <w:spacing w:line="369" w:lineRule="auto"/>
              <w:rPr>
                <w:rFonts w:ascii="Arial"/>
                <w:sz w:val="21"/>
              </w:rPr>
            </w:pPr>
          </w:p>
          <w:p>
            <w:pPr>
              <w:pStyle w:val="6"/>
              <w:spacing w:before="58" w:line="189" w:lineRule="auto"/>
              <w:ind w:left="184"/>
            </w:pPr>
            <w:r>
              <w:rPr>
                <w:spacing w:val="1"/>
              </w:rPr>
              <w:t>47</w:t>
            </w:r>
          </w:p>
        </w:tc>
        <w:tc>
          <w:tcPr>
            <w:tcW w:w="1112" w:type="dxa"/>
            <w:vAlign w:val="top"/>
          </w:tcPr>
          <w:p>
            <w:pPr>
              <w:spacing w:line="368" w:lineRule="auto"/>
              <w:rPr>
                <w:rFonts w:ascii="Arial"/>
                <w:sz w:val="21"/>
              </w:rPr>
            </w:pPr>
          </w:p>
          <w:p>
            <w:pPr>
              <w:pStyle w:val="6"/>
              <w:spacing w:before="59" w:line="190" w:lineRule="auto"/>
              <w:ind w:left="289"/>
            </w:pPr>
            <w:r>
              <w:rPr>
                <w:spacing w:val="1"/>
              </w:rPr>
              <w:t>10.4.1</w:t>
            </w:r>
          </w:p>
        </w:tc>
        <w:tc>
          <w:tcPr>
            <w:tcW w:w="3860" w:type="dxa"/>
            <w:vAlign w:val="top"/>
          </w:tcPr>
          <w:p>
            <w:pPr>
              <w:pStyle w:val="6"/>
              <w:spacing w:before="285" w:line="232" w:lineRule="auto"/>
              <w:ind w:left="38" w:hanging="3"/>
            </w:pPr>
            <w:r>
              <w:rPr>
                <w:rFonts w:hint="eastAsia" w:ascii="宋体" w:hAnsi="宋体" w:eastAsia="宋体" w:cs="宋体"/>
                <w:snapToGrid w:val="0"/>
                <w:color w:val="000000"/>
                <w:spacing w:val="8"/>
                <w:kern w:val="0"/>
                <w:sz w:val="18"/>
                <w:szCs w:val="18"/>
                <w:lang w:val="en-US" w:eastAsia="en-US" w:bidi="ar-SA"/>
              </w:rPr>
              <w:t>三车间二层氨水泄爆罐前安全阀与爆破片之间未安装压力表。</w:t>
            </w:r>
          </w:p>
        </w:tc>
        <w:tc>
          <w:tcPr>
            <w:tcW w:w="4318" w:type="dxa"/>
            <w:vAlign w:val="top"/>
          </w:tcPr>
          <w:p>
            <w:pPr>
              <w:pStyle w:val="6"/>
              <w:spacing w:before="52" w:line="229" w:lineRule="auto"/>
              <w:ind w:left="38" w:firstLine="1"/>
              <w:jc w:val="both"/>
            </w:pPr>
            <w:r>
              <w:rPr>
                <w:rFonts w:hint="eastAsia" w:ascii="宋体" w:hAnsi="宋体" w:eastAsia="宋体" w:cs="宋体"/>
                <w:snapToGrid w:val="0"/>
                <w:color w:val="000000"/>
                <w:spacing w:val="8"/>
                <w:kern w:val="0"/>
                <w:sz w:val="18"/>
                <w:szCs w:val="18"/>
                <w:lang w:val="en-US" w:eastAsia="en-US" w:bidi="ar-SA"/>
              </w:rPr>
              <w:t>按照《爆破片的设置和选用》（HG/T 20570.3- 1995）第10.0.1.5条的要求，爆破片在安全阀前串联使用时，应在爆破片与安全阀之间设置压力表和放空阀。</w:t>
            </w: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39" w:lineRule="auto"/>
              <w:rPr>
                <w:rFonts w:ascii="Arial"/>
                <w:sz w:val="21"/>
              </w:rPr>
            </w:pPr>
          </w:p>
          <w:p>
            <w:pPr>
              <w:pStyle w:val="6"/>
              <w:spacing w:before="58" w:line="241" w:lineRule="exact"/>
              <w:ind w:left="456"/>
            </w:pPr>
            <w:r>
              <w:rPr>
                <w:position w:val="1"/>
              </w:rPr>
              <w:t>√</w:t>
            </w:r>
          </w:p>
        </w:tc>
        <w:tc>
          <w:tcPr>
            <w:tcW w:w="891"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999" w:right="1138" w:bottom="0" w:left="1010" w:header="0" w:footer="0" w:gutter="0"/>
          <w:cols w:space="720" w:num="1"/>
        </w:sectPr>
      </w:pPr>
    </w:p>
    <w:tbl>
      <w:tblPr>
        <w:tblStyle w:val="5"/>
        <w:tblW w:w="1467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0"/>
        <w:gridCol w:w="556"/>
        <w:gridCol w:w="1112"/>
        <w:gridCol w:w="3860"/>
        <w:gridCol w:w="4318"/>
        <w:gridCol w:w="1091"/>
        <w:gridCol w:w="1244"/>
        <w:gridCol w:w="980"/>
        <w:gridCol w:w="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20" w:type="dxa"/>
            <w:tcBorders>
              <w:top w:val="nil"/>
            </w:tcBorders>
            <w:vAlign w:val="top"/>
          </w:tcPr>
          <w:p>
            <w:pPr>
              <w:pStyle w:val="6"/>
              <w:spacing w:before="100" w:line="229" w:lineRule="auto"/>
              <w:ind w:left="125"/>
            </w:pPr>
            <w:r>
              <w:rPr>
                <w:spacing w:val="6"/>
                <w14:textOutline w14:w="3394" w14:cap="sq" w14:cmpd="sng">
                  <w14:solidFill>
                    <w14:srgbClr w14:val="000000"/>
                  </w14:solidFill>
                  <w14:prstDash w14:val="solid"/>
                  <w14:bevel/>
                </w14:textOutline>
              </w:rPr>
              <w:t>专业</w:t>
            </w:r>
          </w:p>
        </w:tc>
        <w:tc>
          <w:tcPr>
            <w:tcW w:w="556" w:type="dxa"/>
            <w:tcBorders>
              <w:top w:val="nil"/>
            </w:tcBorders>
            <w:vAlign w:val="top"/>
          </w:tcPr>
          <w:p>
            <w:pPr>
              <w:pStyle w:val="6"/>
              <w:spacing w:before="100" w:line="230" w:lineRule="auto"/>
              <w:ind w:left="86"/>
            </w:pPr>
            <w:r>
              <w:rPr>
                <w:spacing w:val="7"/>
                <w14:textOutline w14:w="3394" w14:cap="sq" w14:cmpd="sng">
                  <w14:solidFill>
                    <w14:srgbClr w14:val="000000"/>
                  </w14:solidFill>
                  <w14:prstDash w14:val="solid"/>
                  <w14:bevel/>
                </w14:textOutline>
              </w:rPr>
              <w:t>序号</w:t>
            </w:r>
          </w:p>
        </w:tc>
        <w:tc>
          <w:tcPr>
            <w:tcW w:w="1112" w:type="dxa"/>
            <w:tcBorders>
              <w:top w:val="nil"/>
            </w:tcBorders>
            <w:vAlign w:val="top"/>
          </w:tcPr>
          <w:p>
            <w:pPr>
              <w:pStyle w:val="6"/>
              <w:spacing w:before="1" w:line="224" w:lineRule="auto"/>
              <w:ind w:left="83" w:right="64"/>
            </w:pPr>
            <w:r>
              <w:rPr>
                <w:spacing w:val="9"/>
                <w14:textOutline w14:w="3394" w14:cap="sq" w14:cmpd="sng">
                  <w14:solidFill>
                    <w14:srgbClr w14:val="000000"/>
                  </w14:solidFill>
                  <w14:prstDash w14:val="solid"/>
                  <w14:bevel/>
                </w14:textOutline>
              </w:rPr>
              <w:t>核查表中检</w:t>
            </w:r>
            <w:r>
              <w:rPr>
                <w:spacing w:val="3"/>
              </w:rPr>
              <w:t xml:space="preserve"> </w:t>
            </w:r>
            <w:r>
              <w:rPr>
                <w:spacing w:val="9"/>
                <w14:textOutline w14:w="3394" w14:cap="sq" w14:cmpd="sng">
                  <w14:solidFill>
                    <w14:srgbClr w14:val="000000"/>
                  </w14:solidFill>
                  <w14:prstDash w14:val="solid"/>
                  <w14:bevel/>
                </w14:textOutline>
              </w:rPr>
              <w:t>查内容序号</w:t>
            </w:r>
          </w:p>
        </w:tc>
        <w:tc>
          <w:tcPr>
            <w:tcW w:w="3860" w:type="dxa"/>
            <w:tcBorders>
              <w:top w:val="nil"/>
            </w:tcBorders>
            <w:vAlign w:val="top"/>
          </w:tcPr>
          <w:p>
            <w:pPr>
              <w:pStyle w:val="6"/>
              <w:spacing w:before="100" w:line="231" w:lineRule="auto"/>
              <w:ind w:left="1575"/>
            </w:pPr>
            <w:r>
              <w:rPr>
                <w:spacing w:val="4"/>
                <w14:textOutline w14:w="3394" w14:cap="sq" w14:cmpd="sng">
                  <w14:solidFill>
                    <w14:srgbClr w14:val="000000"/>
                  </w14:solidFill>
                  <w14:prstDash w14:val="solid"/>
                  <w14:bevel/>
                </w14:textOutline>
              </w:rPr>
              <w:t>问题描述</w:t>
            </w:r>
          </w:p>
        </w:tc>
        <w:tc>
          <w:tcPr>
            <w:tcW w:w="4318" w:type="dxa"/>
            <w:tcBorders>
              <w:top w:val="nil"/>
            </w:tcBorders>
            <w:vAlign w:val="top"/>
          </w:tcPr>
          <w:p>
            <w:pPr>
              <w:pStyle w:val="6"/>
              <w:spacing w:before="100" w:line="229" w:lineRule="auto"/>
              <w:ind w:left="1786"/>
            </w:pPr>
            <w:r>
              <w:rPr>
                <w:spacing w:val="9"/>
                <w14:textOutline w14:w="3394" w14:cap="sq" w14:cmpd="sng">
                  <w14:solidFill>
                    <w14:srgbClr w14:val="000000"/>
                  </w14:solidFill>
                  <w14:prstDash w14:val="solid"/>
                  <w14:bevel/>
                </w14:textOutline>
              </w:rPr>
              <w:t>整改建议</w:t>
            </w:r>
          </w:p>
        </w:tc>
        <w:tc>
          <w:tcPr>
            <w:tcW w:w="1091" w:type="dxa"/>
            <w:vAlign w:val="top"/>
          </w:tcPr>
          <w:p>
            <w:pPr>
              <w:pStyle w:val="6"/>
              <w:spacing w:before="29" w:line="219" w:lineRule="auto"/>
              <w:ind w:left="460" w:right="48" w:hanging="377"/>
              <w:jc w:val="center"/>
              <w:rPr>
                <w:rFonts w:hint="eastAsia"/>
                <w:spacing w:val="8"/>
                <w:lang w:eastAsia="zh-CN"/>
                <w14:textOutline w14:w="3394" w14:cap="sq" w14:cmpd="sng">
                  <w14:solidFill>
                    <w14:srgbClr w14:val="000000"/>
                  </w14:solidFill>
                  <w14:prstDash w14:val="solid"/>
                  <w14:bevel/>
                </w14:textOutline>
              </w:rPr>
            </w:pPr>
            <w:r>
              <w:rPr>
                <w:spacing w:val="8"/>
                <w14:textOutline w14:w="3394" w14:cap="sq" w14:cmpd="sng">
                  <w14:solidFill>
                    <w14:srgbClr w14:val="000000"/>
                  </w14:solidFill>
                  <w14:prstDash w14:val="solid"/>
                  <w14:bevel/>
                </w14:textOutline>
              </w:rPr>
              <w:t>文件</w:t>
            </w:r>
            <w:r>
              <w:rPr>
                <w:rFonts w:hint="eastAsia"/>
                <w:spacing w:val="8"/>
                <w:lang w:eastAsia="zh-CN"/>
                <w14:textOutline w14:w="3394" w14:cap="sq" w14:cmpd="sng">
                  <w14:solidFill>
                    <w14:srgbClr w14:val="000000"/>
                  </w14:solidFill>
                  <w14:prstDash w14:val="solid"/>
                  <w14:bevel/>
                </w14:textOutline>
              </w:rPr>
              <w:t>类</w:t>
            </w:r>
          </w:p>
          <w:p>
            <w:pPr>
              <w:pStyle w:val="6"/>
              <w:spacing w:before="29" w:line="219" w:lineRule="auto"/>
              <w:ind w:left="460" w:right="48" w:hanging="377"/>
              <w:jc w:val="center"/>
            </w:pPr>
            <w:r>
              <w:rPr>
                <w:spacing w:val="8"/>
                <w14:textOutline w14:w="3394" w14:cap="sq" w14:cmpd="sng">
                  <w14:solidFill>
                    <w14:srgbClr w14:val="000000"/>
                  </w14:solidFill>
                  <w14:prstDash w14:val="solid"/>
                  <w14:bevel/>
                </w14:textOutline>
              </w:rPr>
              <w:t>资料</w:t>
            </w:r>
            <w:r>
              <w:rPr>
                <w:spacing w:val="1"/>
                <w14:textOutline w14:w="3394" w14:cap="sq" w14:cmpd="sng">
                  <w14:solidFill>
                    <w14:srgbClr w14:val="000000"/>
                  </w14:solidFill>
                  <w14:prstDash w14:val="solid"/>
                  <w14:bevel/>
                </w14:textOutline>
              </w:rPr>
              <w:t>类</w:t>
            </w:r>
          </w:p>
        </w:tc>
        <w:tc>
          <w:tcPr>
            <w:tcW w:w="1244" w:type="dxa"/>
            <w:vAlign w:val="top"/>
          </w:tcPr>
          <w:p>
            <w:pPr>
              <w:pStyle w:val="6"/>
              <w:spacing w:before="219" w:line="229" w:lineRule="auto"/>
              <w:ind w:left="348"/>
            </w:pPr>
            <w:r>
              <w:rPr>
                <w:spacing w:val="8"/>
                <w14:textOutline w14:w="3394" w14:cap="sq" w14:cmpd="sng">
                  <w14:solidFill>
                    <w14:srgbClr w14:val="000000"/>
                  </w14:solidFill>
                  <w14:prstDash w14:val="solid"/>
                  <w14:bevel/>
                </w14:textOutline>
              </w:rPr>
              <w:t>执行类</w:t>
            </w:r>
          </w:p>
        </w:tc>
        <w:tc>
          <w:tcPr>
            <w:tcW w:w="980" w:type="dxa"/>
            <w:vAlign w:val="top"/>
          </w:tcPr>
          <w:p>
            <w:pPr>
              <w:pStyle w:val="6"/>
              <w:spacing w:before="219" w:line="229" w:lineRule="auto"/>
              <w:ind w:left="220"/>
            </w:pPr>
            <w:r>
              <w:rPr>
                <w:spacing w:val="8"/>
                <w14:textOutline w14:w="3394" w14:cap="sq" w14:cmpd="sng">
                  <w14:solidFill>
                    <w14:srgbClr w14:val="000000"/>
                  </w14:solidFill>
                  <w14:prstDash w14:val="solid"/>
                  <w14:bevel/>
                </w14:textOutline>
              </w:rPr>
              <w:t>现场类</w:t>
            </w:r>
          </w:p>
        </w:tc>
        <w:tc>
          <w:tcPr>
            <w:tcW w:w="891" w:type="dxa"/>
            <w:tcBorders>
              <w:top w:val="nil"/>
            </w:tcBorders>
            <w:vAlign w:val="top"/>
          </w:tcPr>
          <w:p>
            <w:pPr>
              <w:pStyle w:val="6"/>
              <w:spacing w:before="93" w:line="212" w:lineRule="auto"/>
              <w:ind w:left="405" w:right="22" w:hanging="345"/>
              <w:rPr>
                <w:sz w:val="19"/>
                <w:szCs w:val="19"/>
              </w:rPr>
            </w:pPr>
            <w:r>
              <w:rPr>
                <w:spacing w:val="8"/>
                <w:sz w:val="19"/>
                <w:szCs w:val="19"/>
                <w14:textOutline w14:w="3572" w14:cap="sq" w14:cmpd="sng">
                  <w14:solidFill>
                    <w14:srgbClr w14:val="000000"/>
                  </w14:solidFill>
                  <w14:prstDash w14:val="solid"/>
                  <w14:bevel/>
                </w14:textOutline>
              </w:rPr>
              <w:t>重大隐患</w:t>
            </w:r>
            <w:r>
              <w:rPr>
                <w:sz w:val="19"/>
                <w:szCs w:val="19"/>
              </w:rPr>
              <w:t xml:space="preserve"> </w:t>
            </w:r>
            <w:r>
              <w:rPr>
                <w:sz w:val="19"/>
                <w:szCs w:val="19"/>
                <w14:textOutline w14:w="3572"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5" w:hRule="atLeast"/>
        </w:trPr>
        <w:tc>
          <w:tcPr>
            <w:tcW w:w="620" w:type="dxa"/>
            <w:vAlign w:val="top"/>
          </w:tcPr>
          <w:p>
            <w:pPr>
              <w:rPr>
                <w:rFonts w:ascii="Arial"/>
                <w:sz w:val="21"/>
              </w:rPr>
            </w:pPr>
          </w:p>
        </w:tc>
        <w:tc>
          <w:tcPr>
            <w:tcW w:w="556" w:type="dxa"/>
            <w:vAlign w:val="top"/>
          </w:tcPr>
          <w:p>
            <w:pPr>
              <w:spacing w:line="359" w:lineRule="auto"/>
              <w:rPr>
                <w:rFonts w:ascii="Arial"/>
                <w:sz w:val="21"/>
              </w:rPr>
            </w:pPr>
          </w:p>
          <w:p>
            <w:pPr>
              <w:spacing w:line="360" w:lineRule="auto"/>
              <w:rPr>
                <w:rFonts w:ascii="Arial"/>
                <w:sz w:val="21"/>
              </w:rPr>
            </w:pPr>
          </w:p>
          <w:p>
            <w:pPr>
              <w:pStyle w:val="6"/>
              <w:spacing w:before="59" w:line="189" w:lineRule="auto"/>
              <w:ind w:left="184"/>
            </w:pPr>
            <w:r>
              <w:rPr>
                <w:spacing w:val="1"/>
              </w:rPr>
              <w:t>48</w:t>
            </w:r>
          </w:p>
        </w:tc>
        <w:tc>
          <w:tcPr>
            <w:tcW w:w="1112" w:type="dxa"/>
            <w:vAlign w:val="top"/>
          </w:tcPr>
          <w:p>
            <w:pPr>
              <w:spacing w:line="359" w:lineRule="auto"/>
              <w:rPr>
                <w:rFonts w:ascii="Arial"/>
                <w:sz w:val="21"/>
              </w:rPr>
            </w:pPr>
          </w:p>
          <w:p>
            <w:pPr>
              <w:spacing w:line="359" w:lineRule="auto"/>
              <w:rPr>
                <w:rFonts w:ascii="Arial"/>
                <w:sz w:val="21"/>
              </w:rPr>
            </w:pPr>
          </w:p>
          <w:p>
            <w:pPr>
              <w:pStyle w:val="6"/>
              <w:spacing w:before="59" w:line="190" w:lineRule="auto"/>
              <w:ind w:left="289"/>
            </w:pPr>
            <w:r>
              <w:rPr>
                <w:spacing w:val="1"/>
              </w:rPr>
              <w:t>10.4.1</w:t>
            </w:r>
          </w:p>
        </w:tc>
        <w:tc>
          <w:tcPr>
            <w:tcW w:w="3860" w:type="dxa"/>
            <w:vAlign w:val="top"/>
          </w:tcPr>
          <w:p>
            <w:pPr>
              <w:spacing w:line="460"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1.低压配电室东南角门为向内开启的门。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2.高压配电室内绝缘手套检测有效期至2024年2月20日，检查时已过有效期。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9" w:line="232" w:lineRule="auto"/>
              <w:ind w:right="16"/>
            </w:pPr>
          </w:p>
        </w:tc>
        <w:tc>
          <w:tcPr>
            <w:tcW w:w="4318"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1.按照《低压配电设计规范》（GB50054-2011）第4.3.2条的要求，配电室的门均应向外开启，联系设计单位设计。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8"/>
                <w:kern w:val="0"/>
                <w:sz w:val="18"/>
                <w:szCs w:val="18"/>
                <w:lang w:val="en-US" w:eastAsia="en-US" w:bidi="ar-SA"/>
              </w:rPr>
            </w:pPr>
            <w:r>
              <w:rPr>
                <w:rFonts w:hint="eastAsia" w:ascii="宋体" w:hAnsi="宋体" w:eastAsia="宋体" w:cs="宋体"/>
                <w:snapToGrid w:val="0"/>
                <w:color w:val="000000"/>
                <w:spacing w:val="8"/>
                <w:kern w:val="0"/>
                <w:sz w:val="18"/>
                <w:szCs w:val="18"/>
                <w:lang w:val="en-US" w:eastAsia="en-US" w:bidi="ar-SA"/>
              </w:rPr>
              <w:t>2.按照《电力安全工作规程发电厂和变电站电气部分》（GB26860-2011）第6.1.3条的要求，工作中所使用的绝缘安全工器具应满足附录E的要求，做好绝缘工具检测计划，及时检测。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8" w:line="231" w:lineRule="auto"/>
              <w:jc w:val="both"/>
            </w:pPr>
          </w:p>
        </w:tc>
        <w:tc>
          <w:tcPr>
            <w:tcW w:w="1091" w:type="dxa"/>
            <w:vAlign w:val="top"/>
          </w:tcPr>
          <w:p>
            <w:pPr>
              <w:rPr>
                <w:rFonts w:ascii="Arial"/>
                <w:sz w:val="21"/>
              </w:rPr>
            </w:pPr>
          </w:p>
        </w:tc>
        <w:tc>
          <w:tcPr>
            <w:tcW w:w="1244" w:type="dxa"/>
            <w:vAlign w:val="top"/>
          </w:tcPr>
          <w:p>
            <w:pPr>
              <w:rPr>
                <w:rFonts w:ascii="Arial"/>
                <w:sz w:val="21"/>
              </w:rPr>
            </w:pPr>
          </w:p>
        </w:tc>
        <w:tc>
          <w:tcPr>
            <w:tcW w:w="980" w:type="dxa"/>
            <w:vAlign w:val="top"/>
          </w:tcPr>
          <w:p>
            <w:pPr>
              <w:spacing w:line="344" w:lineRule="auto"/>
              <w:rPr>
                <w:rFonts w:ascii="Arial"/>
                <w:sz w:val="21"/>
              </w:rPr>
            </w:pPr>
          </w:p>
          <w:p>
            <w:pPr>
              <w:spacing w:line="345" w:lineRule="auto"/>
              <w:rPr>
                <w:rFonts w:ascii="Arial"/>
                <w:sz w:val="21"/>
              </w:rPr>
            </w:pPr>
          </w:p>
          <w:p>
            <w:pPr>
              <w:pStyle w:val="6"/>
              <w:spacing w:before="59" w:line="241" w:lineRule="exact"/>
              <w:ind w:left="456"/>
            </w:pPr>
            <w:r>
              <w:rPr>
                <w:position w:val="1"/>
              </w:rPr>
              <w:t>√</w:t>
            </w:r>
          </w:p>
        </w:tc>
        <w:tc>
          <w:tcPr>
            <w:tcW w:w="89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620" w:type="dxa"/>
            <w:vAlign w:val="top"/>
          </w:tcPr>
          <w:p>
            <w:pPr>
              <w:pStyle w:val="6"/>
              <w:spacing w:before="37" w:line="191" w:lineRule="auto"/>
              <w:ind w:left="125"/>
            </w:pPr>
            <w:r>
              <w:rPr>
                <w:spacing w:val="6"/>
                <w14:textOutline w14:w="3394" w14:cap="sq" w14:cmpd="sng">
                  <w14:solidFill>
                    <w14:srgbClr w14:val="000000"/>
                  </w14:solidFill>
                  <w14:prstDash w14:val="solid"/>
                  <w14:bevel/>
                </w14:textOutline>
              </w:rPr>
              <w:t>合计</w:t>
            </w:r>
          </w:p>
        </w:tc>
        <w:tc>
          <w:tcPr>
            <w:tcW w:w="556" w:type="dxa"/>
            <w:vAlign w:val="top"/>
          </w:tcPr>
          <w:p>
            <w:pPr>
              <w:pStyle w:val="6"/>
              <w:spacing w:before="67" w:line="161" w:lineRule="auto"/>
              <w:ind w:left="184"/>
            </w:pPr>
            <w:r>
              <w:rPr>
                <w:spacing w:val="1"/>
              </w:rPr>
              <w:t>48</w:t>
            </w:r>
          </w:p>
        </w:tc>
        <w:tc>
          <w:tcPr>
            <w:tcW w:w="1112" w:type="dxa"/>
            <w:vAlign w:val="top"/>
          </w:tcPr>
          <w:p>
            <w:pPr>
              <w:pStyle w:val="6"/>
              <w:spacing w:before="37" w:line="191" w:lineRule="auto"/>
              <w:ind w:left="509"/>
            </w:pPr>
            <w:r>
              <w:t>/</w:t>
            </w:r>
          </w:p>
        </w:tc>
        <w:tc>
          <w:tcPr>
            <w:tcW w:w="3860" w:type="dxa"/>
            <w:vAlign w:val="top"/>
          </w:tcPr>
          <w:p>
            <w:pPr>
              <w:pStyle w:val="6"/>
              <w:spacing w:before="37" w:line="191" w:lineRule="auto"/>
              <w:ind w:left="1889"/>
            </w:pPr>
            <w:r>
              <w:t>/</w:t>
            </w:r>
          </w:p>
        </w:tc>
        <w:tc>
          <w:tcPr>
            <w:tcW w:w="4318" w:type="dxa"/>
            <w:vAlign w:val="top"/>
          </w:tcPr>
          <w:p>
            <w:pPr>
              <w:pStyle w:val="6"/>
              <w:spacing w:before="37" w:line="191" w:lineRule="auto"/>
              <w:ind w:left="2121"/>
            </w:pPr>
            <w:r>
              <w:t>/</w:t>
            </w:r>
          </w:p>
        </w:tc>
        <w:tc>
          <w:tcPr>
            <w:tcW w:w="1091" w:type="dxa"/>
            <w:vAlign w:val="top"/>
          </w:tcPr>
          <w:p>
            <w:pPr>
              <w:pStyle w:val="6"/>
              <w:spacing w:before="62" w:line="157" w:lineRule="auto"/>
              <w:ind w:left="475"/>
              <w:rPr>
                <w:sz w:val="19"/>
                <w:szCs w:val="19"/>
              </w:rPr>
            </w:pPr>
            <w:r>
              <w:rPr>
                <w:spacing w:val="-8"/>
                <w:sz w:val="19"/>
                <w:szCs w:val="19"/>
              </w:rPr>
              <w:t>10</w:t>
            </w:r>
          </w:p>
        </w:tc>
        <w:tc>
          <w:tcPr>
            <w:tcW w:w="1244" w:type="dxa"/>
            <w:vAlign w:val="top"/>
          </w:tcPr>
          <w:p>
            <w:pPr>
              <w:pStyle w:val="6"/>
              <w:spacing w:before="62" w:line="157" w:lineRule="auto"/>
              <w:ind w:left="553"/>
              <w:rPr>
                <w:sz w:val="19"/>
                <w:szCs w:val="19"/>
              </w:rPr>
            </w:pPr>
            <w:r>
              <w:rPr>
                <w:spacing w:val="-8"/>
                <w:sz w:val="19"/>
                <w:szCs w:val="19"/>
              </w:rPr>
              <w:t>17</w:t>
            </w:r>
          </w:p>
        </w:tc>
        <w:tc>
          <w:tcPr>
            <w:tcW w:w="980" w:type="dxa"/>
            <w:vAlign w:val="top"/>
          </w:tcPr>
          <w:p>
            <w:pPr>
              <w:pStyle w:val="6"/>
              <w:spacing w:before="62" w:line="157" w:lineRule="auto"/>
              <w:ind w:left="408"/>
              <w:rPr>
                <w:sz w:val="19"/>
                <w:szCs w:val="19"/>
              </w:rPr>
            </w:pPr>
            <w:r>
              <w:rPr>
                <w:spacing w:val="-1"/>
                <w:sz w:val="19"/>
                <w:szCs w:val="19"/>
              </w:rPr>
              <w:t>22</w:t>
            </w:r>
          </w:p>
        </w:tc>
        <w:tc>
          <w:tcPr>
            <w:tcW w:w="891" w:type="dxa"/>
            <w:vAlign w:val="top"/>
          </w:tcPr>
          <w:p>
            <w:pPr>
              <w:pStyle w:val="6"/>
              <w:spacing w:before="62" w:line="157" w:lineRule="auto"/>
              <w:ind w:left="411"/>
              <w:rPr>
                <w:sz w:val="19"/>
                <w:szCs w:val="19"/>
              </w:rPr>
            </w:pPr>
            <w:r>
              <w:rPr>
                <w:sz w:val="19"/>
                <w:szCs w:val="19"/>
              </w:rPr>
              <w:t>3</w:t>
            </w:r>
          </w:p>
        </w:tc>
      </w:tr>
    </w:tbl>
    <w:p>
      <w:pPr>
        <w:rPr>
          <w:rFonts w:ascii="Arial"/>
          <w:sz w:val="21"/>
        </w:rPr>
      </w:pPr>
    </w:p>
    <w:sectPr>
      <w:pgSz w:w="16837" w:h="11905"/>
      <w:pgMar w:top="999" w:right="1138" w:bottom="0" w:left="10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6172D63"/>
    <w:rsid w:val="07216475"/>
    <w:rsid w:val="0BB52366"/>
    <w:rsid w:val="0C8E21C9"/>
    <w:rsid w:val="0D58687D"/>
    <w:rsid w:val="0FBA55CD"/>
    <w:rsid w:val="1240373C"/>
    <w:rsid w:val="127463CF"/>
    <w:rsid w:val="17651530"/>
    <w:rsid w:val="1B0100A9"/>
    <w:rsid w:val="266822D2"/>
    <w:rsid w:val="3456585F"/>
    <w:rsid w:val="3D632A5E"/>
    <w:rsid w:val="401A15ED"/>
    <w:rsid w:val="4ECA28F0"/>
    <w:rsid w:val="51E97071"/>
    <w:rsid w:val="62104582"/>
    <w:rsid w:val="7328265F"/>
    <w:rsid w:val="75573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159</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2024-03-28T10:37:00Z</dcterms:created>
  <dc:creator>雨林木风</dc:creator>
  <cp:lastModifiedBy>火龙果</cp:lastModifiedBy>
  <dcterms:modified xsi:type="dcterms:W3CDTF">2024-04-03T07:50:14Z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2024-04-02T10:48:53Z</vt:filetime>
  </property>
  <property fmtid="{D5CDD505-2E9C-101B-9397-08002B2CF9AE}" pid="4" name="KSOProductBuildVer">
    <vt:lpwstr>2052-12.1.0.16412</vt:lpwstr>
  </property>
  <property fmtid="{D5CDD505-2E9C-101B-9397-08002B2CF9AE}" pid="5" name="ICV">
    <vt:lpwstr>240B703949284D5798B70C46B47AC193_12</vt:lpwstr>
  </property>
</Properties>
</file>