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4" w:lineRule="auto"/>
        <w:rPr>
          <w:rFonts w:ascii="Arial"/>
          <w:sz w:val="21"/>
        </w:rPr>
      </w:pPr>
    </w:p>
    <w:p>
      <w:pPr>
        <w:spacing w:before="101" w:line="220" w:lineRule="auto"/>
        <w:ind w:left="1430"/>
        <w:outlineLvl w:val="0"/>
        <w:rPr>
          <w:rFonts w:ascii="宋体" w:hAnsi="宋体" w:eastAsia="宋体" w:cs="宋体"/>
          <w:sz w:val="31"/>
          <w:szCs w:val="31"/>
        </w:rPr>
      </w:pPr>
      <w:r>
        <w:rPr>
          <w:rFonts w:ascii="宋体" w:hAnsi="宋体" w:eastAsia="宋体" w:cs="宋体"/>
          <w:spacing w:val="3"/>
          <w:sz w:val="31"/>
          <w:szCs w:val="31"/>
          <w14:textOutline w14:w="5652" w14:cap="sq" w14:cmpd="sng">
            <w14:solidFill>
              <w14:srgbClr w14:val="000000"/>
            </w14:solidFill>
            <w14:prstDash w14:val="solid"/>
            <w14:bevel/>
          </w14:textOutline>
        </w:rPr>
        <w:t>内蒙古安德力化工有限公司危险化学品重点县专家指导服务核查问题及整改建议</w:t>
      </w:r>
      <w:r>
        <w:rPr>
          <w:rFonts w:ascii="宋体" w:hAnsi="宋体" w:eastAsia="宋体" w:cs="宋体"/>
          <w:spacing w:val="2"/>
          <w:sz w:val="31"/>
          <w:szCs w:val="31"/>
          <w14:textOutline w14:w="5652" w14:cap="sq" w14:cmpd="sng">
            <w14:solidFill>
              <w14:srgbClr w14:val="000000"/>
            </w14:solidFill>
            <w14:prstDash w14:val="solid"/>
            <w14:bevel/>
          </w14:textOutline>
        </w:rPr>
        <w:t>汇总表</w:t>
      </w:r>
    </w:p>
    <w:p>
      <w:pPr>
        <w:spacing w:line="209" w:lineRule="exact"/>
      </w:pPr>
    </w:p>
    <w:tbl>
      <w:tblPr>
        <w:tblStyle w:val="5"/>
        <w:tblW w:w="146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489"/>
        <w:gridCol w:w="974"/>
        <w:gridCol w:w="3566"/>
        <w:gridCol w:w="4751"/>
        <w:gridCol w:w="957"/>
        <w:gridCol w:w="1091"/>
        <w:gridCol w:w="861"/>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542" w:type="dxa"/>
            <w:vMerge w:val="restart"/>
            <w:tcBorders>
              <w:bottom w:val="nil"/>
            </w:tcBorders>
            <w:vAlign w:val="top"/>
          </w:tcPr>
          <w:p>
            <w:pPr>
              <w:pStyle w:val="6"/>
              <w:spacing w:before="244" w:line="224" w:lineRule="auto"/>
              <w:ind w:left="109"/>
            </w:pPr>
            <w:r>
              <w:rPr>
                <w:spacing w:val="1"/>
                <w14:textOutline w14:w="2960" w14:cap="sq" w14:cmpd="sng">
                  <w14:solidFill>
                    <w14:srgbClr w14:val="000000"/>
                  </w14:solidFill>
                  <w14:prstDash w14:val="solid"/>
                  <w14:bevel/>
                </w14:textOutline>
              </w:rPr>
              <w:t>专业</w:t>
            </w:r>
          </w:p>
        </w:tc>
        <w:tc>
          <w:tcPr>
            <w:tcW w:w="489" w:type="dxa"/>
            <w:vMerge w:val="restart"/>
            <w:tcBorders>
              <w:bottom w:val="nil"/>
            </w:tcBorders>
            <w:vAlign w:val="top"/>
          </w:tcPr>
          <w:p>
            <w:pPr>
              <w:pStyle w:val="6"/>
              <w:spacing w:before="244" w:line="224" w:lineRule="auto"/>
              <w:ind w:left="80"/>
            </w:pPr>
            <w:r>
              <w:rPr>
                <w:spacing w:val="2"/>
                <w14:textOutline w14:w="2960" w14:cap="sq" w14:cmpd="sng">
                  <w14:solidFill>
                    <w14:srgbClr w14:val="000000"/>
                  </w14:solidFill>
                  <w14:prstDash w14:val="solid"/>
                  <w14:bevel/>
                </w14:textOutline>
              </w:rPr>
              <w:t>序号</w:t>
            </w:r>
          </w:p>
        </w:tc>
        <w:tc>
          <w:tcPr>
            <w:tcW w:w="974" w:type="dxa"/>
            <w:vMerge w:val="restart"/>
            <w:tcBorders>
              <w:bottom w:val="nil"/>
            </w:tcBorders>
            <w:vAlign w:val="top"/>
          </w:tcPr>
          <w:p>
            <w:pPr>
              <w:pStyle w:val="6"/>
              <w:spacing w:before="143" w:line="228" w:lineRule="auto"/>
              <w:ind w:left="76" w:right="65"/>
            </w:pPr>
            <w:r>
              <w:rPr>
                <w:spacing w:val="4"/>
                <w14:textOutline w14:w="2960" w14:cap="sq" w14:cmpd="sng">
                  <w14:solidFill>
                    <w14:srgbClr w14:val="000000"/>
                  </w14:solidFill>
                  <w14:prstDash w14:val="solid"/>
                  <w14:bevel/>
                </w14:textOutline>
              </w:rPr>
              <w:t>核查表中检</w:t>
            </w:r>
            <w:r>
              <w:rPr>
                <w:spacing w:val="1"/>
              </w:rPr>
              <w:t xml:space="preserve"> </w:t>
            </w:r>
            <w:r>
              <w:rPr>
                <w:spacing w:val="4"/>
                <w14:textOutline w14:w="2960" w14:cap="sq" w14:cmpd="sng">
                  <w14:solidFill>
                    <w14:srgbClr w14:val="000000"/>
                  </w14:solidFill>
                  <w14:prstDash w14:val="solid"/>
                  <w14:bevel/>
                </w14:textOutline>
              </w:rPr>
              <w:t>查内容序号</w:t>
            </w:r>
          </w:p>
        </w:tc>
        <w:tc>
          <w:tcPr>
            <w:tcW w:w="3566" w:type="dxa"/>
            <w:vMerge w:val="restart"/>
            <w:tcBorders>
              <w:bottom w:val="nil"/>
            </w:tcBorders>
            <w:vAlign w:val="top"/>
          </w:tcPr>
          <w:p>
            <w:pPr>
              <w:pStyle w:val="6"/>
              <w:spacing w:before="244" w:line="225" w:lineRule="auto"/>
              <w:ind w:left="1472"/>
            </w:pPr>
            <w:r>
              <w:rPr>
                <w:spacing w:val="-1"/>
                <w14:textOutline w14:w="2960" w14:cap="sq" w14:cmpd="sng">
                  <w14:solidFill>
                    <w14:srgbClr w14:val="000000"/>
                  </w14:solidFill>
                  <w14:prstDash w14:val="solid"/>
                  <w14:bevel/>
                </w14:textOutline>
              </w:rPr>
              <w:t>问题描述</w:t>
            </w:r>
          </w:p>
        </w:tc>
        <w:tc>
          <w:tcPr>
            <w:tcW w:w="4751" w:type="dxa"/>
            <w:vMerge w:val="restart"/>
            <w:tcBorders>
              <w:bottom w:val="nil"/>
            </w:tcBorders>
            <w:vAlign w:val="top"/>
          </w:tcPr>
          <w:p>
            <w:pPr>
              <w:pStyle w:val="6"/>
              <w:spacing w:before="244" w:line="223" w:lineRule="auto"/>
              <w:ind w:left="2050"/>
            </w:pPr>
            <w:r>
              <w:rPr>
                <w:spacing w:val="4"/>
                <w14:textOutline w14:w="2960" w14:cap="sq" w14:cmpd="sng">
                  <w14:solidFill>
                    <w14:srgbClr w14:val="000000"/>
                  </w14:solidFill>
                  <w14:prstDash w14:val="solid"/>
                  <w14:bevel/>
                </w14:textOutline>
              </w:rPr>
              <w:t>整改建议</w:t>
            </w:r>
          </w:p>
        </w:tc>
        <w:tc>
          <w:tcPr>
            <w:tcW w:w="2909" w:type="dxa"/>
            <w:gridSpan w:val="3"/>
            <w:vAlign w:val="top"/>
          </w:tcPr>
          <w:p>
            <w:pPr>
              <w:pStyle w:val="6"/>
              <w:spacing w:before="33" w:line="190" w:lineRule="auto"/>
              <w:ind w:left="1222"/>
            </w:pPr>
            <w:r>
              <w:rPr>
                <w:spacing w:val="-1"/>
                <w14:textOutline w14:w="2960" w14:cap="sq" w14:cmpd="sng">
                  <w14:solidFill>
                    <w14:srgbClr w14:val="000000"/>
                  </w14:solidFill>
                  <w14:prstDash w14:val="solid"/>
                  <w14:bevel/>
                </w14:textOutline>
              </w:rPr>
              <w:t>归属</w:t>
            </w:r>
            <w:r>
              <w:rPr>
                <w:spacing w:val="-30"/>
              </w:rPr>
              <w:t xml:space="preserve"> </w:t>
            </w:r>
            <w:r>
              <w:rPr>
                <w:spacing w:val="-1"/>
                <w14:textOutline w14:w="2960" w14:cap="sq" w14:cmpd="sng">
                  <w14:solidFill>
                    <w14:srgbClr w14:val="000000"/>
                  </w14:solidFill>
                  <w14:prstDash w14:val="solid"/>
                  <w14:bevel/>
                </w14:textOutline>
              </w:rPr>
              <w:t>√</w:t>
            </w:r>
          </w:p>
        </w:tc>
        <w:tc>
          <w:tcPr>
            <w:tcW w:w="1451" w:type="dxa"/>
            <w:vMerge w:val="restart"/>
            <w:tcBorders>
              <w:bottom w:val="nil"/>
            </w:tcBorders>
            <w:vAlign w:val="top"/>
          </w:tcPr>
          <w:p>
            <w:pPr>
              <w:pStyle w:val="6"/>
              <w:spacing w:before="27" w:line="223" w:lineRule="auto"/>
              <w:ind w:left="129"/>
              <w:rPr>
                <w:sz w:val="17"/>
                <w:szCs w:val="17"/>
              </w:rPr>
            </w:pPr>
            <w:r>
              <w:rPr>
                <w:spacing w:val="2"/>
                <w:sz w:val="17"/>
                <w:szCs w:val="17"/>
                <w14:textOutline w14:w="3130" w14:cap="sq" w14:cmpd="sng">
                  <w14:solidFill>
                    <w14:srgbClr w14:val="000000"/>
                  </w14:solidFill>
                  <w14:prstDash w14:val="solid"/>
                  <w14:bevel/>
                </w14:textOutline>
              </w:rPr>
              <w:t>是否构成重大隐</w:t>
            </w:r>
          </w:p>
          <w:p>
            <w:pPr>
              <w:pStyle w:val="6"/>
              <w:spacing w:before="6" w:line="228" w:lineRule="auto"/>
              <w:ind w:left="655"/>
              <w:rPr>
                <w:sz w:val="17"/>
                <w:szCs w:val="17"/>
              </w:rPr>
            </w:pPr>
            <w:r>
              <w:rPr>
                <w:sz w:val="17"/>
                <w:szCs w:val="17"/>
                <w14:textOutline w14:w="3130" w14:cap="sq" w14:cmpd="sng">
                  <w14:solidFill>
                    <w14:srgbClr w14:val="000000"/>
                  </w14:solidFill>
                  <w14:prstDash w14:val="solid"/>
                  <w14:bevel/>
                </w14:textOutline>
              </w:rPr>
              <w:t>患</w:t>
            </w:r>
          </w:p>
          <w:p>
            <w:pPr>
              <w:pStyle w:val="6"/>
              <w:spacing w:before="2" w:line="184" w:lineRule="auto"/>
              <w:ind w:left="689"/>
              <w:rPr>
                <w:sz w:val="17"/>
                <w:szCs w:val="17"/>
              </w:rPr>
            </w:pPr>
            <w:r>
              <w:rPr>
                <w:sz w:val="17"/>
                <w:szCs w:val="17"/>
                <w14:textOutline w14:w="3130" w14:cap="sq" w14:cmpd="sng">
                  <w14:solidFill>
                    <w14:srgbClr w14:val="000000"/>
                  </w14:solidFill>
                  <w14:prstDash w14:val="solid"/>
                  <w14:bevel/>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42" w:type="dxa"/>
            <w:vMerge w:val="continue"/>
            <w:tcBorders>
              <w:top w:val="nil"/>
            </w:tcBorders>
            <w:vAlign w:val="top"/>
          </w:tcPr>
          <w:p>
            <w:pPr>
              <w:rPr>
                <w:rFonts w:ascii="Arial"/>
                <w:sz w:val="21"/>
              </w:rPr>
            </w:pPr>
          </w:p>
        </w:tc>
        <w:tc>
          <w:tcPr>
            <w:tcW w:w="489" w:type="dxa"/>
            <w:vMerge w:val="continue"/>
            <w:tcBorders>
              <w:top w:val="nil"/>
            </w:tcBorders>
            <w:vAlign w:val="top"/>
          </w:tcPr>
          <w:p>
            <w:pPr>
              <w:rPr>
                <w:rFonts w:ascii="Arial"/>
                <w:sz w:val="21"/>
              </w:rPr>
            </w:pPr>
          </w:p>
        </w:tc>
        <w:tc>
          <w:tcPr>
            <w:tcW w:w="974" w:type="dxa"/>
            <w:vMerge w:val="continue"/>
            <w:tcBorders>
              <w:top w:val="nil"/>
            </w:tcBorders>
            <w:vAlign w:val="top"/>
          </w:tcPr>
          <w:p>
            <w:pPr>
              <w:rPr>
                <w:rFonts w:ascii="Arial"/>
                <w:sz w:val="21"/>
              </w:rPr>
            </w:pPr>
          </w:p>
        </w:tc>
        <w:tc>
          <w:tcPr>
            <w:tcW w:w="3566" w:type="dxa"/>
            <w:vMerge w:val="continue"/>
            <w:tcBorders>
              <w:top w:val="nil"/>
            </w:tcBorders>
            <w:vAlign w:val="top"/>
          </w:tcPr>
          <w:p>
            <w:pPr>
              <w:rPr>
                <w:rFonts w:ascii="Arial"/>
                <w:sz w:val="21"/>
              </w:rPr>
            </w:pPr>
          </w:p>
        </w:tc>
        <w:tc>
          <w:tcPr>
            <w:tcW w:w="4751" w:type="dxa"/>
            <w:vMerge w:val="continue"/>
            <w:tcBorders>
              <w:top w:val="nil"/>
            </w:tcBorders>
            <w:vAlign w:val="top"/>
          </w:tcPr>
          <w:p>
            <w:pPr>
              <w:rPr>
                <w:rFonts w:ascii="Arial"/>
                <w:sz w:val="21"/>
              </w:rPr>
            </w:pPr>
          </w:p>
        </w:tc>
        <w:tc>
          <w:tcPr>
            <w:tcW w:w="957" w:type="dxa"/>
            <w:vAlign w:val="top"/>
          </w:tcPr>
          <w:p>
            <w:pPr>
              <w:pStyle w:val="6"/>
              <w:spacing w:before="31" w:line="214" w:lineRule="auto"/>
              <w:ind w:left="403" w:right="50" w:hanging="331"/>
              <w:jc w:val="center"/>
              <w:rPr>
                <w:rFonts w:hint="eastAsia"/>
                <w:spacing w:val="4"/>
                <w:lang w:eastAsia="zh-CN"/>
                <w14:textOutline w14:w="2960" w14:cap="sq" w14:cmpd="sng">
                  <w14:solidFill>
                    <w14:srgbClr w14:val="000000"/>
                  </w14:solidFill>
                  <w14:prstDash w14:val="solid"/>
                  <w14:bevel/>
                </w14:textOutline>
              </w:rPr>
            </w:pPr>
            <w:r>
              <w:rPr>
                <w:spacing w:val="4"/>
                <w14:textOutline w14:w="2960" w14:cap="sq" w14:cmpd="sng">
                  <w14:solidFill>
                    <w14:srgbClr w14:val="000000"/>
                  </w14:solidFill>
                  <w14:prstDash w14:val="solid"/>
                  <w14:bevel/>
                </w14:textOutline>
              </w:rPr>
              <w:t>文件</w:t>
            </w:r>
            <w:r>
              <w:rPr>
                <w:rFonts w:hint="eastAsia"/>
                <w:spacing w:val="4"/>
                <w:lang w:eastAsia="zh-CN"/>
                <w14:textOutline w14:w="2960" w14:cap="sq" w14:cmpd="sng">
                  <w14:solidFill>
                    <w14:srgbClr w14:val="000000"/>
                  </w14:solidFill>
                  <w14:prstDash w14:val="solid"/>
                  <w14:bevel/>
                </w14:textOutline>
              </w:rPr>
              <w:t>类</w:t>
            </w:r>
          </w:p>
          <w:p>
            <w:pPr>
              <w:pStyle w:val="6"/>
              <w:spacing w:before="31" w:line="214" w:lineRule="auto"/>
              <w:ind w:left="403" w:right="50" w:hanging="331"/>
              <w:jc w:val="center"/>
            </w:pPr>
            <w:r>
              <w:rPr>
                <w:spacing w:val="4"/>
                <w14:textOutline w14:w="2960" w14:cap="sq" w14:cmpd="sng">
                  <w14:solidFill>
                    <w14:srgbClr w14:val="000000"/>
                  </w14:solidFill>
                  <w14:prstDash w14:val="solid"/>
                  <w14:bevel/>
                </w14:textOutline>
              </w:rPr>
              <w:t>资料</w:t>
            </w:r>
            <w:r>
              <w:rPr>
                <w14:textOutline w14:w="2960" w14:cap="sq" w14:cmpd="sng">
                  <w14:solidFill>
                    <w14:srgbClr w14:val="000000"/>
                  </w14:solidFill>
                  <w14:prstDash w14:val="solid"/>
                  <w14:bevel/>
                </w14:textOutline>
              </w:rPr>
              <w:t>类</w:t>
            </w:r>
          </w:p>
        </w:tc>
        <w:tc>
          <w:tcPr>
            <w:tcW w:w="1091" w:type="dxa"/>
            <w:vAlign w:val="top"/>
          </w:tcPr>
          <w:p>
            <w:pPr>
              <w:pStyle w:val="6"/>
              <w:spacing w:before="131" w:line="223" w:lineRule="auto"/>
              <w:ind w:left="304"/>
            </w:pPr>
            <w:r>
              <w:rPr>
                <w:spacing w:val="3"/>
                <w14:textOutline w14:w="2960" w14:cap="sq" w14:cmpd="sng">
                  <w14:solidFill>
                    <w14:srgbClr w14:val="000000"/>
                  </w14:solidFill>
                  <w14:prstDash w14:val="solid"/>
                  <w14:bevel/>
                </w14:textOutline>
              </w:rPr>
              <w:t>执行类</w:t>
            </w:r>
          </w:p>
        </w:tc>
        <w:tc>
          <w:tcPr>
            <w:tcW w:w="861" w:type="dxa"/>
            <w:vAlign w:val="top"/>
          </w:tcPr>
          <w:p>
            <w:pPr>
              <w:pStyle w:val="6"/>
              <w:spacing w:before="131" w:line="223" w:lineRule="auto"/>
              <w:ind w:left="193"/>
            </w:pPr>
            <w:r>
              <w:rPr>
                <w:spacing w:val="3"/>
                <w14:textOutline w14:w="2960" w14:cap="sq" w14:cmpd="sng">
                  <w14:solidFill>
                    <w14:srgbClr w14:val="000000"/>
                  </w14:solidFill>
                  <w14:prstDash w14:val="solid"/>
                  <w14:bevel/>
                </w14:textOutline>
              </w:rPr>
              <w:t>现场类</w:t>
            </w:r>
          </w:p>
        </w:tc>
        <w:tc>
          <w:tcPr>
            <w:tcW w:w="145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542" w:type="dxa"/>
            <w:vAlign w:val="top"/>
          </w:tcPr>
          <w:p>
            <w:pPr>
              <w:pStyle w:val="6"/>
              <w:spacing w:before="51" w:line="161" w:lineRule="auto"/>
              <w:ind w:left="248"/>
            </w:pPr>
            <w:r>
              <w:rPr>
                <w14:textOutline w14:w="2960" w14:cap="sq" w14:cmpd="sng">
                  <w14:solidFill>
                    <w14:srgbClr w14:val="000000"/>
                  </w14:solidFill>
                  <w14:prstDash w14:val="solid"/>
                  <w14:bevel/>
                </w14:textOutline>
              </w:rPr>
              <w:t>1</w:t>
            </w:r>
          </w:p>
        </w:tc>
        <w:tc>
          <w:tcPr>
            <w:tcW w:w="489" w:type="dxa"/>
            <w:vAlign w:val="top"/>
          </w:tcPr>
          <w:p>
            <w:pPr>
              <w:pStyle w:val="6"/>
              <w:spacing w:before="52" w:line="160" w:lineRule="auto"/>
              <w:ind w:left="207"/>
            </w:pPr>
            <w:r>
              <w:rPr>
                <w14:textOutline w14:w="2960" w14:cap="sq" w14:cmpd="sng">
                  <w14:solidFill>
                    <w14:srgbClr w14:val="000000"/>
                  </w14:solidFill>
                  <w14:prstDash w14:val="solid"/>
                  <w14:bevel/>
                </w14:textOutline>
              </w:rPr>
              <w:t>2</w:t>
            </w:r>
          </w:p>
        </w:tc>
        <w:tc>
          <w:tcPr>
            <w:tcW w:w="974" w:type="dxa"/>
            <w:vAlign w:val="top"/>
          </w:tcPr>
          <w:p>
            <w:pPr>
              <w:pStyle w:val="6"/>
              <w:spacing w:before="52" w:line="160" w:lineRule="auto"/>
              <w:ind w:left="451"/>
            </w:pPr>
            <w:r>
              <w:rPr>
                <w14:textOutline w14:w="2960" w14:cap="sq" w14:cmpd="sng">
                  <w14:solidFill>
                    <w14:srgbClr w14:val="000000"/>
                  </w14:solidFill>
                  <w14:prstDash w14:val="solid"/>
                  <w14:bevel/>
                </w14:textOutline>
              </w:rPr>
              <w:t>3</w:t>
            </w:r>
          </w:p>
        </w:tc>
        <w:tc>
          <w:tcPr>
            <w:tcW w:w="3566" w:type="dxa"/>
            <w:vAlign w:val="top"/>
          </w:tcPr>
          <w:p>
            <w:pPr>
              <w:pStyle w:val="6"/>
              <w:spacing w:before="52" w:line="160" w:lineRule="auto"/>
              <w:ind w:left="1746"/>
            </w:pPr>
            <w:r>
              <w:rPr>
                <w14:textOutline w14:w="2960" w14:cap="sq" w14:cmpd="sng">
                  <w14:solidFill>
                    <w14:srgbClr w14:val="000000"/>
                  </w14:solidFill>
                  <w14:prstDash w14:val="solid"/>
                  <w14:bevel/>
                </w14:textOutline>
              </w:rPr>
              <w:t>4</w:t>
            </w:r>
          </w:p>
        </w:tc>
        <w:tc>
          <w:tcPr>
            <w:tcW w:w="4751" w:type="dxa"/>
            <w:vAlign w:val="top"/>
          </w:tcPr>
          <w:p>
            <w:pPr>
              <w:pStyle w:val="6"/>
              <w:spacing w:before="53" w:line="159" w:lineRule="auto"/>
              <w:ind w:left="2346"/>
            </w:pPr>
            <w:r>
              <w:rPr>
                <w14:textOutline w14:w="2960" w14:cap="sq" w14:cmpd="sng">
                  <w14:solidFill>
                    <w14:srgbClr w14:val="000000"/>
                  </w14:solidFill>
                  <w14:prstDash w14:val="solid"/>
                  <w14:bevel/>
                </w14:textOutline>
              </w:rPr>
              <w:t>5</w:t>
            </w:r>
          </w:p>
        </w:tc>
        <w:tc>
          <w:tcPr>
            <w:tcW w:w="957" w:type="dxa"/>
            <w:vAlign w:val="top"/>
          </w:tcPr>
          <w:p>
            <w:pPr>
              <w:pStyle w:val="6"/>
              <w:spacing w:before="52" w:line="160" w:lineRule="auto"/>
              <w:ind w:left="449"/>
            </w:pPr>
            <w:r>
              <w:rPr>
                <w14:textOutline w14:w="2960" w14:cap="sq" w14:cmpd="sng">
                  <w14:solidFill>
                    <w14:srgbClr w14:val="000000"/>
                  </w14:solidFill>
                  <w14:prstDash w14:val="solid"/>
                  <w14:bevel/>
                </w14:textOutline>
              </w:rPr>
              <w:t>6</w:t>
            </w:r>
          </w:p>
        </w:tc>
        <w:tc>
          <w:tcPr>
            <w:tcW w:w="1091" w:type="dxa"/>
            <w:vAlign w:val="top"/>
          </w:tcPr>
          <w:p>
            <w:pPr>
              <w:pStyle w:val="6"/>
              <w:spacing w:before="53" w:line="159" w:lineRule="auto"/>
              <w:ind w:left="519"/>
            </w:pPr>
            <w:r>
              <w:rPr>
                <w14:textOutline w14:w="2960" w14:cap="sq" w14:cmpd="sng">
                  <w14:solidFill>
                    <w14:srgbClr w14:val="000000"/>
                  </w14:solidFill>
                  <w14:prstDash w14:val="solid"/>
                  <w14:bevel/>
                </w14:textOutline>
              </w:rPr>
              <w:t>7</w:t>
            </w:r>
          </w:p>
        </w:tc>
        <w:tc>
          <w:tcPr>
            <w:tcW w:w="861" w:type="dxa"/>
            <w:vAlign w:val="top"/>
          </w:tcPr>
          <w:p>
            <w:pPr>
              <w:pStyle w:val="6"/>
              <w:spacing w:before="52" w:line="160" w:lineRule="auto"/>
              <w:ind w:left="402"/>
            </w:pPr>
            <w:r>
              <w:rPr>
                <w14:textOutline w14:w="2960" w14:cap="sq" w14:cmpd="sng">
                  <w14:solidFill>
                    <w14:srgbClr w14:val="000000"/>
                  </w14:solidFill>
                  <w14:prstDash w14:val="solid"/>
                  <w14:bevel/>
                </w14:textOutline>
              </w:rPr>
              <w:t>8</w:t>
            </w:r>
          </w:p>
        </w:tc>
        <w:tc>
          <w:tcPr>
            <w:tcW w:w="1451" w:type="dxa"/>
            <w:vAlign w:val="top"/>
          </w:tcPr>
          <w:p>
            <w:pPr>
              <w:pStyle w:val="6"/>
              <w:spacing w:before="52" w:line="160" w:lineRule="auto"/>
              <w:ind w:left="693"/>
            </w:pPr>
            <w:r>
              <w:rPr>
                <w14:textOutline w14:w="2960" w14:cap="sq" w14:cmpd="sng">
                  <w14:solidFill>
                    <w14:srgbClr w14:val="000000"/>
                  </w14:solidFill>
                  <w14:prstDash w14:val="solid"/>
                  <w14:bevel/>
                </w14:textOutline>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54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30" w:lineRule="auto"/>
              <w:ind w:left="111" w:right="99" w:hanging="2"/>
              <w:jc w:val="both"/>
            </w:pPr>
            <w:r>
              <w:rPr>
                <w:spacing w:val="1"/>
                <w14:textOutline w14:w="2960" w14:cap="sq" w14:cmpd="sng">
                  <w14:solidFill>
                    <w14:srgbClr w14:val="000000"/>
                  </w14:solidFill>
                  <w14:prstDash w14:val="solid"/>
                  <w14:bevel/>
                </w14:textOutline>
              </w:rPr>
              <w:t>作业</w:t>
            </w:r>
            <w:r>
              <w:t xml:space="preserve"> </w:t>
            </w:r>
            <w:r>
              <w:rPr>
                <w14:textOutline w14:w="2960" w14:cap="sq" w14:cmpd="sng">
                  <w14:solidFill>
                    <w14:srgbClr w14:val="000000"/>
                  </w14:solidFill>
                  <w14:prstDash w14:val="solid"/>
                  <w14:bevel/>
                </w14:textOutline>
              </w:rPr>
              <w:t>安全</w:t>
            </w:r>
            <w:r>
              <w:t xml:space="preserve"> </w:t>
            </w:r>
            <w:r>
              <w:rPr>
                <w14:textOutline w14:w="2960" w14:cap="sq" w14:cmpd="sng">
                  <w14:solidFill>
                    <w14:srgbClr w14:val="000000"/>
                  </w14:solidFill>
                  <w14:prstDash w14:val="solid"/>
                  <w14:bevel/>
                </w14:textOutline>
              </w:rPr>
              <w:t>管理</w:t>
            </w:r>
          </w:p>
        </w:tc>
        <w:tc>
          <w:tcPr>
            <w:tcW w:w="489" w:type="dxa"/>
            <w:vAlign w:val="top"/>
          </w:tcPr>
          <w:p>
            <w:pPr>
              <w:spacing w:line="320" w:lineRule="auto"/>
              <w:rPr>
                <w:rFonts w:ascii="Arial"/>
                <w:sz w:val="21"/>
              </w:rPr>
            </w:pPr>
          </w:p>
          <w:p>
            <w:pPr>
              <w:pStyle w:val="6"/>
              <w:spacing w:before="52" w:line="185" w:lineRule="auto"/>
              <w:ind w:left="209"/>
            </w:pPr>
            <w:r>
              <w:t>0</w:t>
            </w:r>
          </w:p>
        </w:tc>
        <w:tc>
          <w:tcPr>
            <w:tcW w:w="974" w:type="dxa"/>
            <w:vAlign w:val="top"/>
          </w:tcPr>
          <w:p>
            <w:pPr>
              <w:spacing w:line="319" w:lineRule="auto"/>
              <w:rPr>
                <w:rFonts w:ascii="Arial"/>
                <w:sz w:val="21"/>
              </w:rPr>
            </w:pPr>
          </w:p>
          <w:p>
            <w:pPr>
              <w:pStyle w:val="6"/>
              <w:spacing w:before="52" w:line="186" w:lineRule="auto"/>
              <w:ind w:left="295"/>
            </w:pPr>
            <w:r>
              <w:rPr>
                <w:spacing w:val="-2"/>
              </w:rPr>
              <w:t>1.1.1</w:t>
            </w:r>
          </w:p>
        </w:tc>
        <w:tc>
          <w:tcPr>
            <w:tcW w:w="3566" w:type="dxa"/>
            <w:vAlign w:val="top"/>
          </w:tcPr>
          <w:p>
            <w:pPr>
              <w:pStyle w:val="6"/>
              <w:spacing w:before="145" w:line="230" w:lineRule="auto"/>
              <w:ind w:left="33" w:right="20" w:firstLine="2"/>
              <w:jc w:val="both"/>
            </w:pPr>
            <w:r>
              <w:rPr>
                <w:spacing w:val="4"/>
              </w:rPr>
              <w:t>《特殊作业管理制度</w:t>
            </w:r>
            <w:r>
              <w:rPr>
                <w:rFonts w:hint="eastAsia"/>
                <w:spacing w:val="4"/>
              </w:rPr>
              <w:t>》中无电子系统特殊作业预约、开票终端日常管理、系统后台监管、特殊作业视频保存时限等管理内容。</w:t>
            </w:r>
          </w:p>
        </w:tc>
        <w:tc>
          <w:tcPr>
            <w:tcW w:w="4751" w:type="dxa"/>
            <w:vAlign w:val="top"/>
          </w:tcPr>
          <w:p>
            <w:pPr>
              <w:pStyle w:val="6"/>
              <w:spacing w:before="144" w:line="229" w:lineRule="auto"/>
              <w:ind w:left="35" w:right="18" w:firstLine="4"/>
            </w:pPr>
            <w:r>
              <w:rPr>
                <w:spacing w:val="7"/>
              </w:rPr>
              <w:t>结合企业电子开票系统运行情况，按照《危险化学品企业特殊作</w:t>
            </w:r>
            <w:r>
              <w:rPr>
                <w:spacing w:val="5"/>
              </w:rPr>
              <w:t xml:space="preserve"> </w:t>
            </w:r>
            <w:r>
              <w:rPr>
                <w:spacing w:val="4"/>
              </w:rPr>
              <w:t>业安全规范》（</w:t>
            </w:r>
            <w:r>
              <w:t>GB</w:t>
            </w:r>
            <w:r>
              <w:rPr>
                <w:spacing w:val="4"/>
              </w:rPr>
              <w:t xml:space="preserve"> 30871-2022）的要求，修订特</w:t>
            </w:r>
            <w:r>
              <w:rPr>
                <w:spacing w:val="3"/>
              </w:rPr>
              <w:t>殊作业管理制度</w:t>
            </w:r>
            <w:r>
              <w:rPr>
                <w:position w:val="1"/>
              </w:rPr>
              <w:t>。</w:t>
            </w:r>
          </w:p>
        </w:tc>
        <w:tc>
          <w:tcPr>
            <w:tcW w:w="957" w:type="dxa"/>
            <w:vAlign w:val="top"/>
          </w:tcPr>
          <w:p>
            <w:pPr>
              <w:spacing w:line="294" w:lineRule="auto"/>
              <w:rPr>
                <w:rFonts w:ascii="Arial"/>
                <w:sz w:val="21"/>
              </w:rPr>
            </w:pPr>
          </w:p>
          <w:p>
            <w:pPr>
              <w:pStyle w:val="6"/>
              <w:spacing w:before="52" w:line="242" w:lineRule="auto"/>
              <w:ind w:left="446"/>
            </w:pPr>
            <w:r>
              <w:t>√</w:t>
            </w:r>
          </w:p>
        </w:tc>
        <w:tc>
          <w:tcPr>
            <w:tcW w:w="1091" w:type="dxa"/>
            <w:vAlign w:val="top"/>
          </w:tcPr>
          <w:p>
            <w:pPr>
              <w:rPr>
                <w:rFonts w:ascii="Arial"/>
                <w:sz w:val="21"/>
              </w:rPr>
            </w:pP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363" w:lineRule="auto"/>
              <w:rPr>
                <w:rFonts w:ascii="Arial"/>
                <w:sz w:val="21"/>
              </w:rPr>
            </w:pPr>
          </w:p>
          <w:p>
            <w:pPr>
              <w:pStyle w:val="6"/>
              <w:spacing w:before="52" w:line="186" w:lineRule="auto"/>
              <w:ind w:left="220"/>
            </w:pPr>
            <w:r>
              <w:t>1</w:t>
            </w:r>
          </w:p>
        </w:tc>
        <w:tc>
          <w:tcPr>
            <w:tcW w:w="974" w:type="dxa"/>
            <w:vAlign w:val="top"/>
          </w:tcPr>
          <w:p>
            <w:pPr>
              <w:spacing w:line="363" w:lineRule="auto"/>
              <w:rPr>
                <w:rFonts w:ascii="Arial"/>
                <w:sz w:val="21"/>
              </w:rPr>
            </w:pPr>
          </w:p>
          <w:p>
            <w:pPr>
              <w:pStyle w:val="6"/>
              <w:spacing w:before="52" w:line="186" w:lineRule="auto"/>
              <w:ind w:left="292"/>
            </w:pPr>
            <w:r>
              <w:rPr>
                <w14:textOutline w14:w="2960" w14:cap="sq" w14:cmpd="sng">
                  <w14:solidFill>
                    <w14:srgbClr w14:val="000000"/>
                  </w14:solidFill>
                  <w14:prstDash w14:val="solid"/>
                  <w14:bevel/>
                </w14:textOutline>
              </w:rPr>
              <w:t>1.1.2</w:t>
            </w:r>
          </w:p>
        </w:tc>
        <w:tc>
          <w:tcPr>
            <w:tcW w:w="3566" w:type="dxa"/>
            <w:vAlign w:val="top"/>
          </w:tcPr>
          <w:p>
            <w:pPr>
              <w:pStyle w:val="6"/>
              <w:spacing w:before="291" w:line="228" w:lineRule="auto"/>
              <w:ind w:left="33" w:right="20" w:firstLine="3"/>
            </w:pPr>
            <w:r>
              <w:rPr>
                <w:spacing w:val="4"/>
              </w:rPr>
              <w:t>未提供2024年1月份企业在200#二楼增加密闭</w:t>
            </w:r>
            <w:r>
              <w:rPr>
                <w:rFonts w:hint="eastAsia"/>
                <w:spacing w:val="4"/>
              </w:rPr>
              <w:t>取样器动火作业票证（支架焊接）。</w:t>
            </w:r>
          </w:p>
        </w:tc>
        <w:tc>
          <w:tcPr>
            <w:tcW w:w="4751" w:type="dxa"/>
            <w:vAlign w:val="top"/>
          </w:tcPr>
          <w:p>
            <w:pPr>
              <w:pStyle w:val="6"/>
              <w:spacing w:before="291" w:line="228" w:lineRule="auto"/>
              <w:ind w:left="35" w:right="16" w:firstLine="1"/>
            </w:pPr>
            <w:r>
              <w:rPr>
                <w:spacing w:val="4"/>
              </w:rPr>
              <w:t>按照《危险化学品企业特殊作业安全规范》（GB 30871-2022）第 4.6条的要求，严格履行特殊作业审批手续，落实安全风险防控。</w:t>
            </w:r>
          </w:p>
        </w:tc>
        <w:tc>
          <w:tcPr>
            <w:tcW w:w="957" w:type="dxa"/>
            <w:vAlign w:val="top"/>
          </w:tcPr>
          <w:p>
            <w:pPr>
              <w:rPr>
                <w:rFonts w:ascii="Arial"/>
                <w:sz w:val="21"/>
              </w:rPr>
            </w:pPr>
          </w:p>
        </w:tc>
        <w:tc>
          <w:tcPr>
            <w:tcW w:w="1091" w:type="dxa"/>
            <w:vAlign w:val="top"/>
          </w:tcPr>
          <w:p>
            <w:pPr>
              <w:spacing w:line="338" w:lineRule="auto"/>
              <w:rPr>
                <w:rFonts w:ascii="Arial"/>
                <w:sz w:val="21"/>
              </w:rPr>
            </w:pPr>
          </w:p>
          <w:p>
            <w:pPr>
              <w:pStyle w:val="6"/>
              <w:spacing w:before="52" w:line="242" w:lineRule="auto"/>
              <w:ind w:left="514"/>
            </w:pPr>
            <w:r>
              <w:rPr>
                <w14:textOutline w14:w="2960" w14:cap="sq" w14:cmpd="sng">
                  <w14:solidFill>
                    <w14:srgbClr w14:val="000000"/>
                  </w14:solidFill>
                  <w14:prstDash w14:val="solid"/>
                  <w14:bevel/>
                </w14:textOutline>
              </w:rPr>
              <w:t>√</w:t>
            </w:r>
          </w:p>
        </w:tc>
        <w:tc>
          <w:tcPr>
            <w:tcW w:w="861" w:type="dxa"/>
            <w:vAlign w:val="top"/>
          </w:tcPr>
          <w:p>
            <w:pPr>
              <w:rPr>
                <w:rFonts w:ascii="Arial"/>
                <w:sz w:val="21"/>
              </w:rPr>
            </w:pPr>
          </w:p>
        </w:tc>
        <w:tc>
          <w:tcPr>
            <w:tcW w:w="1451" w:type="dxa"/>
            <w:vAlign w:val="top"/>
          </w:tcPr>
          <w:p>
            <w:pPr>
              <w:spacing w:line="338" w:lineRule="auto"/>
              <w:rPr>
                <w:rFonts w:ascii="Arial"/>
                <w:sz w:val="21"/>
              </w:rPr>
            </w:pPr>
          </w:p>
          <w:p>
            <w:pPr>
              <w:pStyle w:val="6"/>
              <w:spacing w:before="52" w:line="242" w:lineRule="auto"/>
              <w:ind w:left="692"/>
            </w:pPr>
            <w:r>
              <w:rPr>
                <w14:textOutline w14:w="2960" w14:cap="sq" w14:cmpd="sng">
                  <w14:solidFill>
                    <w14:srgbClr w14:val="000000"/>
                  </w14:solidFill>
                  <w14:prstDash w14:val="solid"/>
                  <w14:bevel/>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468" w:lineRule="auto"/>
              <w:rPr>
                <w:rFonts w:ascii="Arial"/>
                <w:sz w:val="21"/>
              </w:rPr>
            </w:pPr>
          </w:p>
          <w:p>
            <w:pPr>
              <w:pStyle w:val="6"/>
              <w:spacing w:before="52" w:line="185" w:lineRule="auto"/>
              <w:ind w:left="210"/>
            </w:pPr>
            <w:r>
              <w:t>2</w:t>
            </w:r>
          </w:p>
        </w:tc>
        <w:tc>
          <w:tcPr>
            <w:tcW w:w="974" w:type="dxa"/>
            <w:vAlign w:val="top"/>
          </w:tcPr>
          <w:p>
            <w:pPr>
              <w:spacing w:line="467" w:lineRule="auto"/>
              <w:rPr>
                <w:rFonts w:ascii="Arial"/>
                <w:sz w:val="21"/>
              </w:rPr>
            </w:pPr>
          </w:p>
          <w:p>
            <w:pPr>
              <w:pStyle w:val="6"/>
              <w:spacing w:before="52" w:line="186" w:lineRule="auto"/>
              <w:ind w:left="295"/>
            </w:pPr>
            <w:r>
              <w:rPr>
                <w:spacing w:val="-2"/>
              </w:rPr>
              <w:t>1.1.2</w:t>
            </w:r>
          </w:p>
        </w:tc>
        <w:tc>
          <w:tcPr>
            <w:tcW w:w="3566" w:type="dxa"/>
            <w:vAlign w:val="top"/>
          </w:tcPr>
          <w:p>
            <w:pPr>
              <w:pStyle w:val="6"/>
              <w:spacing w:before="192" w:line="231" w:lineRule="auto"/>
              <w:ind w:left="35" w:right="20"/>
              <w:jc w:val="both"/>
            </w:pPr>
            <w:r>
              <w:rPr>
                <w:spacing w:val="4"/>
              </w:rPr>
              <w:t>2024年2月20日200#V-10202储罐管线焊接一级动火作业票（编号：24001） ，作业审批人为生产部杨某，与企业管理制度中一级动火作业审批部 门安全管理部（安全管理人员）不一致。</w:t>
            </w:r>
          </w:p>
        </w:tc>
        <w:tc>
          <w:tcPr>
            <w:tcW w:w="4751" w:type="dxa"/>
            <w:vAlign w:val="top"/>
          </w:tcPr>
          <w:p>
            <w:pPr>
              <w:spacing w:line="442" w:lineRule="auto"/>
              <w:rPr>
                <w:rFonts w:ascii="Arial"/>
                <w:sz w:val="21"/>
              </w:rPr>
            </w:pPr>
          </w:p>
          <w:p>
            <w:pPr>
              <w:pStyle w:val="6"/>
              <w:spacing w:before="52" w:line="223" w:lineRule="auto"/>
              <w:ind w:left="37"/>
            </w:pPr>
            <w:r>
              <w:rPr>
                <w:spacing w:val="4"/>
              </w:rPr>
              <w:t>按照企业动火作业管理制度的要求，规范特殊作业的审批管理。</w:t>
            </w:r>
          </w:p>
        </w:tc>
        <w:tc>
          <w:tcPr>
            <w:tcW w:w="957" w:type="dxa"/>
            <w:vAlign w:val="top"/>
          </w:tcPr>
          <w:p>
            <w:pPr>
              <w:rPr>
                <w:rFonts w:ascii="Arial"/>
                <w:sz w:val="21"/>
              </w:rPr>
            </w:pPr>
          </w:p>
        </w:tc>
        <w:tc>
          <w:tcPr>
            <w:tcW w:w="1091" w:type="dxa"/>
            <w:vAlign w:val="top"/>
          </w:tcPr>
          <w:p>
            <w:pPr>
              <w:spacing w:line="442"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2" w:line="185" w:lineRule="auto"/>
              <w:ind w:left="211"/>
            </w:pPr>
            <w:r>
              <w:t>3</w:t>
            </w:r>
          </w:p>
        </w:tc>
        <w:tc>
          <w:tcPr>
            <w:tcW w:w="974" w:type="dxa"/>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6"/>
              <w:spacing w:before="52" w:line="186" w:lineRule="auto"/>
              <w:ind w:left="295"/>
            </w:pPr>
            <w:r>
              <w:rPr>
                <w:spacing w:val="-2"/>
              </w:rPr>
              <w:t>1.1.3</w:t>
            </w:r>
          </w:p>
        </w:tc>
        <w:tc>
          <w:tcPr>
            <w:tcW w:w="3566" w:type="dxa"/>
            <w:vAlign w:val="top"/>
          </w:tcPr>
          <w:p>
            <w:pPr>
              <w:spacing w:line="422"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宋体" w:hAnsi="宋体" w:eastAsia="宋体" w:cs="宋体"/>
                <w:snapToGrid w:val="0"/>
                <w:color w:val="000000"/>
                <w:spacing w:val="7"/>
                <w:kern w:val="0"/>
                <w:sz w:val="16"/>
                <w:szCs w:val="16"/>
                <w:lang w:val="en-US" w:eastAsia="en-US" w:bidi="ar-SA"/>
              </w:rPr>
            </w:pPr>
            <w:r>
              <w:rPr>
                <w:rFonts w:ascii="宋体" w:hAnsi="宋体" w:eastAsia="宋体" w:cs="宋体"/>
                <w:snapToGrid w:val="0"/>
                <w:color w:val="000000"/>
                <w:spacing w:val="7"/>
                <w:kern w:val="0"/>
                <w:sz w:val="16"/>
                <w:szCs w:val="16"/>
                <w:lang w:val="en-US" w:eastAsia="en-US" w:bidi="ar-SA"/>
              </w:rPr>
              <w:t>1.2024年2月19日V-10202储罐盲板抽堵作业票（编号：24002），堵5块盲板，仅办理了一张堵盲板作业票；作业涉及氟化氢气体，安全防护措施中无便携式氟化氢气体报警器。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宋体" w:hAnsi="宋体" w:eastAsia="宋体" w:cs="宋体"/>
                <w:snapToGrid w:val="0"/>
                <w:color w:val="000000"/>
                <w:spacing w:val="7"/>
                <w:kern w:val="0"/>
                <w:sz w:val="16"/>
                <w:szCs w:val="16"/>
                <w:lang w:val="en-US" w:eastAsia="en-US" w:bidi="ar-SA"/>
              </w:rPr>
            </w:pPr>
            <w:r>
              <w:rPr>
                <w:rFonts w:ascii="宋体" w:hAnsi="宋体" w:eastAsia="宋体" w:cs="宋体"/>
                <w:snapToGrid w:val="0"/>
                <w:color w:val="000000"/>
                <w:spacing w:val="7"/>
                <w:kern w:val="0"/>
                <w:sz w:val="16"/>
                <w:szCs w:val="16"/>
                <w:lang w:val="en-US" w:eastAsia="en-US" w:bidi="ar-SA"/>
              </w:rPr>
              <w:t>2.200#外操人员巡检未配备便携式氟化氢气体检测仪（中控室班组未配备）。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spacing w:before="8" w:line="228" w:lineRule="auto"/>
              <w:ind w:left="34" w:right="21" w:firstLine="1"/>
              <w:jc w:val="both"/>
            </w:pPr>
          </w:p>
        </w:tc>
        <w:tc>
          <w:tcPr>
            <w:tcW w:w="4751"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宋体" w:hAnsi="宋体" w:eastAsia="宋体" w:cs="宋体"/>
                <w:snapToGrid w:val="0"/>
                <w:color w:val="000000"/>
                <w:spacing w:val="7"/>
                <w:kern w:val="0"/>
                <w:sz w:val="16"/>
                <w:szCs w:val="16"/>
                <w:lang w:val="en-US" w:eastAsia="en-US" w:bidi="ar-SA"/>
              </w:rPr>
            </w:pPr>
            <w:r>
              <w:rPr>
                <w:rFonts w:hint="eastAsia" w:ascii="宋体" w:hAnsi="宋体" w:eastAsia="宋体" w:cs="宋体"/>
                <w:snapToGrid w:val="0"/>
                <w:color w:val="000000"/>
                <w:spacing w:val="7"/>
                <w:kern w:val="0"/>
                <w:sz w:val="16"/>
                <w:szCs w:val="16"/>
                <w:lang w:val="en-US" w:eastAsia="en-US" w:bidi="ar-SA"/>
              </w:rPr>
              <w:t>1.按 照《 危 险化 学 品 企业特殊作业 安全规 范 》 （GB 30871- 2022）第7.11条的要求，同一盲板的抽、堵作业，应分别办理盲板抽、堵安全作业票；一张安全作业票只能进行一块盲板的一项作业。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napToGrid w:val="0"/>
                <w:color w:val="000000"/>
                <w:spacing w:val="7"/>
                <w:kern w:val="0"/>
                <w:sz w:val="16"/>
                <w:szCs w:val="16"/>
                <w:lang w:val="en-US" w:eastAsia="en-US" w:bidi="ar-SA"/>
              </w:rPr>
            </w:pPr>
            <w:r>
              <w:rPr>
                <w:rFonts w:hint="eastAsia" w:ascii="宋体" w:hAnsi="宋体" w:eastAsia="宋体" w:cs="宋体"/>
                <w:snapToGrid w:val="0"/>
                <w:color w:val="000000"/>
                <w:spacing w:val="7"/>
                <w:kern w:val="0"/>
                <w:sz w:val="16"/>
                <w:szCs w:val="16"/>
                <w:lang w:val="en-US" w:eastAsia="en-US" w:bidi="ar-SA"/>
              </w:rPr>
              <w:t>2.按照《 石油化工可燃气体和有毒气体检测报警设计标准 》 （GB/T 50493-2019）第3.0.7条的要求，进入爆炸性气体环境或有毒气体环境的现场工作人员，应配备便携式可燃气体和（或）有毒气体探测器。</w:t>
            </w:r>
          </w:p>
          <w:p>
            <w:pPr>
              <w:pStyle w:val="6"/>
              <w:spacing w:before="8" w:line="230" w:lineRule="auto"/>
              <w:ind w:left="36" w:right="17" w:firstLine="1"/>
            </w:pPr>
          </w:p>
        </w:tc>
        <w:tc>
          <w:tcPr>
            <w:tcW w:w="957" w:type="dxa"/>
            <w:vAlign w:val="top"/>
          </w:tcPr>
          <w:p>
            <w:pPr>
              <w:rPr>
                <w:rFonts w:ascii="Arial"/>
                <w:sz w:val="21"/>
              </w:rPr>
            </w:pPr>
          </w:p>
        </w:tc>
        <w:tc>
          <w:tcPr>
            <w:tcW w:w="1091" w:type="dxa"/>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322" w:lineRule="auto"/>
              <w:rPr>
                <w:rFonts w:ascii="Arial"/>
                <w:sz w:val="21"/>
              </w:rPr>
            </w:pPr>
          </w:p>
          <w:p>
            <w:pPr>
              <w:pStyle w:val="6"/>
              <w:spacing w:before="52" w:line="185" w:lineRule="auto"/>
              <w:ind w:left="207"/>
            </w:pPr>
            <w:r>
              <w:t>4</w:t>
            </w:r>
          </w:p>
        </w:tc>
        <w:tc>
          <w:tcPr>
            <w:tcW w:w="974" w:type="dxa"/>
            <w:vAlign w:val="top"/>
          </w:tcPr>
          <w:p>
            <w:pPr>
              <w:spacing w:line="322" w:lineRule="auto"/>
              <w:rPr>
                <w:rFonts w:ascii="Arial"/>
                <w:sz w:val="21"/>
              </w:rPr>
            </w:pPr>
          </w:p>
          <w:p>
            <w:pPr>
              <w:pStyle w:val="6"/>
              <w:spacing w:before="52" w:line="186" w:lineRule="auto"/>
              <w:ind w:left="295"/>
            </w:pPr>
            <w:r>
              <w:rPr>
                <w:spacing w:val="-2"/>
              </w:rPr>
              <w:t>1.1.4</w:t>
            </w:r>
          </w:p>
        </w:tc>
        <w:tc>
          <w:tcPr>
            <w:tcW w:w="3566" w:type="dxa"/>
            <w:vAlign w:val="top"/>
          </w:tcPr>
          <w:p>
            <w:pPr>
              <w:pStyle w:val="6"/>
              <w:spacing w:before="49" w:line="224" w:lineRule="auto"/>
              <w:ind w:left="34" w:right="20" w:firstLine="1"/>
              <w:jc w:val="both"/>
            </w:pPr>
            <w:r>
              <w:rPr>
                <w:spacing w:val="4"/>
              </w:rPr>
              <w:t>2024年2月19日V-10202储罐受限空间作业票（编 号：24001） ，涉及HF气体，《进出受限空间人 员及工器具登记表 》仅填写了佩戴四合一检测仪，无氟化氢检测仪器。</w:t>
            </w:r>
          </w:p>
        </w:tc>
        <w:tc>
          <w:tcPr>
            <w:tcW w:w="4751" w:type="dxa"/>
            <w:vAlign w:val="top"/>
          </w:tcPr>
          <w:p>
            <w:pPr>
              <w:pStyle w:val="6"/>
              <w:spacing w:before="149" w:line="229" w:lineRule="auto"/>
              <w:ind w:left="37" w:right="16"/>
              <w:jc w:val="both"/>
            </w:pPr>
            <w:r>
              <w:rPr>
                <w:spacing w:val="2"/>
              </w:rPr>
              <w:t>按照《危险化学品企业特殊作业安全规范》（GB 30871-2022）第 6.5条的要求，作业现场应配备移动式气体检测报警仪，连续检测受限空间内可燃、有毒气体及氧含量浓度，并2h记录1次。</w:t>
            </w:r>
          </w:p>
        </w:tc>
        <w:tc>
          <w:tcPr>
            <w:tcW w:w="957" w:type="dxa"/>
            <w:vAlign w:val="top"/>
          </w:tcPr>
          <w:p>
            <w:pPr>
              <w:rPr>
                <w:rFonts w:ascii="Arial"/>
                <w:sz w:val="21"/>
              </w:rPr>
            </w:pPr>
          </w:p>
        </w:tc>
        <w:tc>
          <w:tcPr>
            <w:tcW w:w="1091" w:type="dxa"/>
            <w:vAlign w:val="top"/>
          </w:tcPr>
          <w:p>
            <w:pPr>
              <w:spacing w:line="296"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542" w:type="dxa"/>
            <w:vMerge w:val="continue"/>
            <w:tcBorders>
              <w:top w:val="nil"/>
            </w:tcBorders>
            <w:vAlign w:val="top"/>
          </w:tcPr>
          <w:p>
            <w:pPr>
              <w:rPr>
                <w:rFonts w:ascii="Arial"/>
                <w:sz w:val="21"/>
              </w:rPr>
            </w:pPr>
          </w:p>
        </w:tc>
        <w:tc>
          <w:tcPr>
            <w:tcW w:w="489" w:type="dxa"/>
            <w:vAlign w:val="top"/>
          </w:tcPr>
          <w:p>
            <w:pPr>
              <w:spacing w:line="327" w:lineRule="auto"/>
              <w:rPr>
                <w:rFonts w:ascii="Arial"/>
                <w:sz w:val="21"/>
              </w:rPr>
            </w:pPr>
          </w:p>
          <w:p>
            <w:pPr>
              <w:pStyle w:val="6"/>
              <w:spacing w:before="52" w:line="184" w:lineRule="auto"/>
              <w:ind w:left="211"/>
            </w:pPr>
            <w:r>
              <w:t>5</w:t>
            </w:r>
          </w:p>
        </w:tc>
        <w:tc>
          <w:tcPr>
            <w:tcW w:w="974" w:type="dxa"/>
            <w:vAlign w:val="top"/>
          </w:tcPr>
          <w:p>
            <w:pPr>
              <w:spacing w:line="325" w:lineRule="auto"/>
              <w:rPr>
                <w:rFonts w:ascii="Arial"/>
                <w:sz w:val="21"/>
              </w:rPr>
            </w:pPr>
          </w:p>
          <w:p>
            <w:pPr>
              <w:pStyle w:val="6"/>
              <w:spacing w:before="52" w:line="186" w:lineRule="auto"/>
              <w:ind w:left="295"/>
            </w:pPr>
            <w:r>
              <w:rPr>
                <w:spacing w:val="-2"/>
              </w:rPr>
              <w:t>1.1.5</w:t>
            </w:r>
          </w:p>
        </w:tc>
        <w:tc>
          <w:tcPr>
            <w:tcW w:w="3566" w:type="dxa"/>
            <w:vAlign w:val="top"/>
          </w:tcPr>
          <w:p>
            <w:pPr>
              <w:pStyle w:val="6"/>
              <w:spacing w:before="151" w:line="230" w:lineRule="auto"/>
              <w:ind w:left="33" w:right="21" w:firstLine="2"/>
            </w:pPr>
            <w:r>
              <w:rPr>
                <w:spacing w:val="4"/>
              </w:rPr>
              <w:t>2024年1月13日（周六）V-10202储罐一级动火作业票（编号：24001） ，动火作业未升级管理。 （企业制度中未明确公休日）</w:t>
            </w:r>
          </w:p>
        </w:tc>
        <w:tc>
          <w:tcPr>
            <w:tcW w:w="4751" w:type="dxa"/>
            <w:vAlign w:val="top"/>
          </w:tcPr>
          <w:p>
            <w:pPr>
              <w:pStyle w:val="6"/>
              <w:spacing w:before="151" w:line="230" w:lineRule="auto"/>
              <w:ind w:left="36" w:right="16"/>
              <w:jc w:val="both"/>
            </w:pPr>
            <w:r>
              <w:rPr>
                <w:spacing w:val="2"/>
              </w:rPr>
              <w:t>按照《危险化学品企业特殊作业安全规范》（GB 30871-2022）第 5.1.1条的要求，遇节假日、公休日、夜间或其他特殊情况，</w:t>
            </w:r>
            <w:r>
              <w:rPr>
                <w:rFonts w:hint="eastAsia"/>
                <w:spacing w:val="2"/>
              </w:rPr>
              <w:t>动火作业应升级管理。</w:t>
            </w:r>
          </w:p>
        </w:tc>
        <w:tc>
          <w:tcPr>
            <w:tcW w:w="957" w:type="dxa"/>
            <w:vAlign w:val="top"/>
          </w:tcPr>
          <w:p>
            <w:pPr>
              <w:rPr>
                <w:rFonts w:ascii="Arial"/>
                <w:sz w:val="21"/>
              </w:rPr>
            </w:pPr>
          </w:p>
        </w:tc>
        <w:tc>
          <w:tcPr>
            <w:tcW w:w="1091" w:type="dxa"/>
            <w:vAlign w:val="top"/>
          </w:tcPr>
          <w:p>
            <w:pPr>
              <w:spacing w:line="299"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bl>
    <w:p>
      <w:pPr>
        <w:rPr>
          <w:rFonts w:ascii="Arial"/>
          <w:sz w:val="21"/>
        </w:rPr>
      </w:pPr>
    </w:p>
    <w:p>
      <w:pPr>
        <w:rPr>
          <w:rFonts w:ascii="Arial" w:hAnsi="Arial" w:eastAsia="Arial" w:cs="Arial"/>
          <w:sz w:val="21"/>
          <w:szCs w:val="21"/>
        </w:rPr>
        <w:sectPr>
          <w:pgSz w:w="16834" w:h="11909"/>
          <w:pgMar w:top="1012" w:right="1127" w:bottom="0" w:left="1012" w:header="0" w:footer="0" w:gutter="0"/>
          <w:cols w:space="720" w:num="1"/>
        </w:sectPr>
      </w:pPr>
    </w:p>
    <w:tbl>
      <w:tblPr>
        <w:tblStyle w:val="5"/>
        <w:tblW w:w="146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489"/>
        <w:gridCol w:w="974"/>
        <w:gridCol w:w="3566"/>
        <w:gridCol w:w="4751"/>
        <w:gridCol w:w="957"/>
        <w:gridCol w:w="1091"/>
        <w:gridCol w:w="861"/>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42" w:type="dxa"/>
            <w:tcBorders>
              <w:top w:val="nil"/>
            </w:tcBorders>
            <w:vAlign w:val="top"/>
          </w:tcPr>
          <w:p>
            <w:pPr>
              <w:pStyle w:val="6"/>
              <w:spacing w:before="90" w:line="224" w:lineRule="auto"/>
              <w:ind w:left="109"/>
            </w:pPr>
            <w:r>
              <w:rPr>
                <w:spacing w:val="1"/>
                <w14:textOutline w14:w="2960" w14:cap="sq" w14:cmpd="sng">
                  <w14:solidFill>
                    <w14:srgbClr w14:val="000000"/>
                  </w14:solidFill>
                  <w14:prstDash w14:val="solid"/>
                  <w14:bevel/>
                </w14:textOutline>
              </w:rPr>
              <w:t>专业</w:t>
            </w:r>
          </w:p>
        </w:tc>
        <w:tc>
          <w:tcPr>
            <w:tcW w:w="489" w:type="dxa"/>
            <w:tcBorders>
              <w:top w:val="nil"/>
            </w:tcBorders>
            <w:vAlign w:val="top"/>
          </w:tcPr>
          <w:p>
            <w:pPr>
              <w:pStyle w:val="6"/>
              <w:spacing w:before="90" w:line="224" w:lineRule="auto"/>
              <w:ind w:left="80"/>
            </w:pPr>
            <w:r>
              <w:rPr>
                <w:spacing w:val="2"/>
                <w14:textOutline w14:w="2960" w14:cap="sq" w14:cmpd="sng">
                  <w14:solidFill>
                    <w14:srgbClr w14:val="000000"/>
                  </w14:solidFill>
                  <w14:prstDash w14:val="solid"/>
                  <w14:bevel/>
                </w14:textOutline>
              </w:rPr>
              <w:t>序号</w:t>
            </w:r>
          </w:p>
        </w:tc>
        <w:tc>
          <w:tcPr>
            <w:tcW w:w="974" w:type="dxa"/>
            <w:tcBorders>
              <w:top w:val="nil"/>
            </w:tcBorders>
            <w:vAlign w:val="top"/>
          </w:tcPr>
          <w:p>
            <w:pPr>
              <w:pStyle w:val="6"/>
              <w:spacing w:before="1" w:line="221" w:lineRule="auto"/>
              <w:ind w:left="76" w:right="65"/>
            </w:pPr>
            <w:r>
              <w:rPr>
                <w:spacing w:val="4"/>
                <w14:textOutline w14:w="2960" w14:cap="sq" w14:cmpd="sng">
                  <w14:solidFill>
                    <w14:srgbClr w14:val="000000"/>
                  </w14:solidFill>
                  <w14:prstDash w14:val="solid"/>
                  <w14:bevel/>
                </w14:textOutline>
              </w:rPr>
              <w:t>核查表中检</w:t>
            </w:r>
            <w:r>
              <w:rPr>
                <w:spacing w:val="1"/>
              </w:rPr>
              <w:t xml:space="preserve"> </w:t>
            </w:r>
            <w:r>
              <w:rPr>
                <w:spacing w:val="4"/>
                <w14:textOutline w14:w="2960" w14:cap="sq" w14:cmpd="sng">
                  <w14:solidFill>
                    <w14:srgbClr w14:val="000000"/>
                  </w14:solidFill>
                  <w14:prstDash w14:val="solid"/>
                  <w14:bevel/>
                </w14:textOutline>
              </w:rPr>
              <w:t>查内容序号</w:t>
            </w:r>
          </w:p>
        </w:tc>
        <w:tc>
          <w:tcPr>
            <w:tcW w:w="3566" w:type="dxa"/>
            <w:tcBorders>
              <w:top w:val="nil"/>
            </w:tcBorders>
            <w:vAlign w:val="top"/>
          </w:tcPr>
          <w:p>
            <w:pPr>
              <w:pStyle w:val="6"/>
              <w:spacing w:before="90" w:line="225" w:lineRule="auto"/>
              <w:ind w:left="1472"/>
            </w:pPr>
            <w:r>
              <w:rPr>
                <w:spacing w:val="-1"/>
                <w14:textOutline w14:w="2960" w14:cap="sq" w14:cmpd="sng">
                  <w14:solidFill>
                    <w14:srgbClr w14:val="000000"/>
                  </w14:solidFill>
                  <w14:prstDash w14:val="solid"/>
                  <w14:bevel/>
                </w14:textOutline>
              </w:rPr>
              <w:t>问题描述</w:t>
            </w:r>
          </w:p>
        </w:tc>
        <w:tc>
          <w:tcPr>
            <w:tcW w:w="4751" w:type="dxa"/>
            <w:tcBorders>
              <w:top w:val="nil"/>
            </w:tcBorders>
            <w:vAlign w:val="top"/>
          </w:tcPr>
          <w:p>
            <w:pPr>
              <w:pStyle w:val="6"/>
              <w:spacing w:before="90" w:line="223" w:lineRule="auto"/>
              <w:ind w:left="2050"/>
            </w:pPr>
            <w:r>
              <w:rPr>
                <w:spacing w:val="4"/>
                <w14:textOutline w14:w="2960" w14:cap="sq" w14:cmpd="sng">
                  <w14:solidFill>
                    <w14:srgbClr w14:val="000000"/>
                  </w14:solidFill>
                  <w14:prstDash w14:val="solid"/>
                  <w14:bevel/>
                </w14:textOutline>
              </w:rPr>
              <w:t>整改建议</w:t>
            </w:r>
          </w:p>
        </w:tc>
        <w:tc>
          <w:tcPr>
            <w:tcW w:w="957" w:type="dxa"/>
            <w:vAlign w:val="top"/>
          </w:tcPr>
          <w:p>
            <w:pPr>
              <w:pStyle w:val="6"/>
              <w:spacing w:before="31" w:line="214" w:lineRule="auto"/>
              <w:ind w:left="403" w:right="50" w:hanging="331"/>
              <w:jc w:val="center"/>
              <w:rPr>
                <w:rFonts w:hint="eastAsia"/>
                <w:spacing w:val="4"/>
                <w:lang w:eastAsia="zh-CN"/>
                <w14:textOutline w14:w="2960" w14:cap="sq" w14:cmpd="sng">
                  <w14:solidFill>
                    <w14:srgbClr w14:val="000000"/>
                  </w14:solidFill>
                  <w14:prstDash w14:val="solid"/>
                  <w14:bevel/>
                </w14:textOutline>
              </w:rPr>
            </w:pPr>
            <w:r>
              <w:rPr>
                <w:spacing w:val="4"/>
                <w14:textOutline w14:w="2960" w14:cap="sq" w14:cmpd="sng">
                  <w14:solidFill>
                    <w14:srgbClr w14:val="000000"/>
                  </w14:solidFill>
                  <w14:prstDash w14:val="solid"/>
                  <w14:bevel/>
                </w14:textOutline>
              </w:rPr>
              <w:t>文件</w:t>
            </w:r>
            <w:r>
              <w:rPr>
                <w:rFonts w:hint="eastAsia"/>
                <w:spacing w:val="4"/>
                <w:lang w:eastAsia="zh-CN"/>
                <w14:textOutline w14:w="2960" w14:cap="sq" w14:cmpd="sng">
                  <w14:solidFill>
                    <w14:srgbClr w14:val="000000"/>
                  </w14:solidFill>
                  <w14:prstDash w14:val="solid"/>
                  <w14:bevel/>
                </w14:textOutline>
              </w:rPr>
              <w:t>类</w:t>
            </w:r>
          </w:p>
          <w:p>
            <w:pPr>
              <w:pStyle w:val="6"/>
              <w:spacing w:before="31" w:line="214" w:lineRule="auto"/>
              <w:ind w:left="403" w:right="50" w:hanging="331"/>
              <w:jc w:val="center"/>
            </w:pPr>
            <w:r>
              <w:rPr>
                <w:spacing w:val="4"/>
                <w14:textOutline w14:w="2960" w14:cap="sq" w14:cmpd="sng">
                  <w14:solidFill>
                    <w14:srgbClr w14:val="000000"/>
                  </w14:solidFill>
                  <w14:prstDash w14:val="solid"/>
                  <w14:bevel/>
                </w14:textOutline>
              </w:rPr>
              <w:t>资料</w:t>
            </w:r>
            <w:r>
              <w:rPr>
                <w14:textOutline w14:w="2960" w14:cap="sq" w14:cmpd="sng">
                  <w14:solidFill>
                    <w14:srgbClr w14:val="000000"/>
                  </w14:solidFill>
                  <w14:prstDash w14:val="solid"/>
                  <w14:bevel/>
                </w14:textOutline>
              </w:rPr>
              <w:t>类</w:t>
            </w:r>
          </w:p>
        </w:tc>
        <w:tc>
          <w:tcPr>
            <w:tcW w:w="1091" w:type="dxa"/>
            <w:vAlign w:val="top"/>
          </w:tcPr>
          <w:p>
            <w:pPr>
              <w:pStyle w:val="6"/>
              <w:spacing w:before="196" w:line="223" w:lineRule="auto"/>
              <w:ind w:left="304"/>
            </w:pPr>
            <w:r>
              <w:rPr>
                <w:spacing w:val="3"/>
                <w14:textOutline w14:w="2960" w14:cap="sq" w14:cmpd="sng">
                  <w14:solidFill>
                    <w14:srgbClr w14:val="000000"/>
                  </w14:solidFill>
                  <w14:prstDash w14:val="solid"/>
                  <w14:bevel/>
                </w14:textOutline>
              </w:rPr>
              <w:t>执行类</w:t>
            </w:r>
          </w:p>
        </w:tc>
        <w:tc>
          <w:tcPr>
            <w:tcW w:w="861" w:type="dxa"/>
            <w:vAlign w:val="top"/>
          </w:tcPr>
          <w:p>
            <w:pPr>
              <w:pStyle w:val="6"/>
              <w:spacing w:before="196" w:line="223" w:lineRule="auto"/>
              <w:ind w:left="193"/>
            </w:pPr>
            <w:r>
              <w:rPr>
                <w:spacing w:val="3"/>
                <w14:textOutline w14:w="2960" w14:cap="sq" w14:cmpd="sng">
                  <w14:solidFill>
                    <w14:srgbClr w14:val="000000"/>
                  </w14:solidFill>
                  <w14:prstDash w14:val="solid"/>
                  <w14:bevel/>
                </w14:textOutline>
              </w:rPr>
              <w:t>现场类</w:t>
            </w:r>
          </w:p>
        </w:tc>
        <w:tc>
          <w:tcPr>
            <w:tcW w:w="1451" w:type="dxa"/>
            <w:tcBorders>
              <w:top w:val="nil"/>
            </w:tcBorders>
            <w:vAlign w:val="top"/>
          </w:tcPr>
          <w:p>
            <w:pPr>
              <w:pStyle w:val="6"/>
              <w:spacing w:before="84" w:line="229" w:lineRule="auto"/>
              <w:ind w:left="655"/>
              <w:rPr>
                <w:sz w:val="17"/>
                <w:szCs w:val="17"/>
              </w:rPr>
            </w:pPr>
            <w:r>
              <w:rPr>
                <w:sz w:val="17"/>
                <w:szCs w:val="17"/>
                <w14:textOutline w14:w="3130" w14:cap="sq" w14:cmpd="sng">
                  <w14:solidFill>
                    <w14:srgbClr w14:val="000000"/>
                  </w14:solidFill>
                  <w14:prstDash w14:val="solid"/>
                  <w14:bevel/>
                </w14:textOutline>
              </w:rPr>
              <w:t>患</w:t>
            </w:r>
          </w:p>
          <w:p>
            <w:pPr>
              <w:pStyle w:val="6"/>
              <w:spacing w:line="186" w:lineRule="auto"/>
              <w:ind w:left="689"/>
              <w:rPr>
                <w:sz w:val="17"/>
                <w:szCs w:val="17"/>
              </w:rPr>
            </w:pPr>
            <w:r>
              <w:rPr>
                <w:sz w:val="17"/>
                <w:szCs w:val="17"/>
                <w14:textOutline w14:w="3130" w14:cap="sq" w14:cmpd="sng">
                  <w14:solidFill>
                    <w14:srgbClr w14:val="000000"/>
                  </w14:solidFill>
                  <w14:prstDash w14:val="solid"/>
                  <w14:bevel/>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542" w:type="dxa"/>
            <w:vAlign w:val="top"/>
          </w:tcPr>
          <w:p>
            <w:pPr>
              <w:pStyle w:val="6"/>
              <w:spacing w:before="69" w:line="224" w:lineRule="auto"/>
              <w:ind w:left="111"/>
            </w:pPr>
            <w:r>
              <w:rPr>
                <w14:textOutline w14:w="2960" w14:cap="sq" w14:cmpd="sng">
                  <w14:solidFill>
                    <w14:srgbClr w14:val="000000"/>
                  </w14:solidFill>
                  <w14:prstDash w14:val="solid"/>
                  <w14:bevel/>
                </w14:textOutline>
              </w:rPr>
              <w:t>建设</w:t>
            </w:r>
          </w:p>
          <w:p>
            <w:pPr>
              <w:pStyle w:val="6"/>
              <w:spacing w:before="7" w:line="224" w:lineRule="auto"/>
              <w:ind w:left="111"/>
            </w:pPr>
            <w:r>
              <w:rPr>
                <w14:textOutline w14:w="2960" w14:cap="sq" w14:cmpd="sng">
                  <w14:solidFill>
                    <w14:srgbClr w14:val="000000"/>
                  </w14:solidFill>
                  <w14:prstDash w14:val="solid"/>
                  <w14:bevel/>
                </w14:textOutline>
              </w:rPr>
              <w:t>项目</w:t>
            </w:r>
          </w:p>
          <w:p>
            <w:pPr>
              <w:pStyle w:val="6"/>
              <w:spacing w:before="7" w:line="224" w:lineRule="auto"/>
              <w:ind w:left="112"/>
            </w:pPr>
            <w:r>
              <w:rPr>
                <w14:textOutline w14:w="2960" w14:cap="sq" w14:cmpd="sng">
                  <w14:solidFill>
                    <w14:srgbClr w14:val="000000"/>
                  </w14:solidFill>
                  <w14:prstDash w14:val="solid"/>
                  <w14:bevel/>
                </w14:textOutline>
              </w:rPr>
              <w:t>安全</w:t>
            </w:r>
          </w:p>
          <w:p>
            <w:pPr>
              <w:pStyle w:val="6"/>
              <w:spacing w:before="7" w:line="224" w:lineRule="auto"/>
              <w:ind w:left="111"/>
            </w:pPr>
            <w:r>
              <w:rPr>
                <w14:textOutline w14:w="2960" w14:cap="sq" w14:cmpd="sng">
                  <w14:solidFill>
                    <w14:srgbClr w14:val="000000"/>
                  </w14:solidFill>
                  <w14:prstDash w14:val="solid"/>
                  <w14:bevel/>
                </w14:textOutline>
              </w:rPr>
              <w:t>设施</w:t>
            </w:r>
          </w:p>
          <w:p>
            <w:pPr>
              <w:pStyle w:val="6"/>
              <w:spacing w:before="7" w:line="235" w:lineRule="auto"/>
              <w:ind w:left="99"/>
            </w:pPr>
            <w:r>
              <w:rPr>
                <w:spacing w:val="7"/>
                <w14:textOutline w14:w="2960" w14:cap="sq" w14:cmpd="sng">
                  <w14:solidFill>
                    <w14:srgbClr w14:val="000000"/>
                  </w14:solidFill>
                  <w14:prstDash w14:val="solid"/>
                  <w14:bevel/>
                </w14:textOutline>
              </w:rPr>
              <w:t>“三</w:t>
            </w:r>
          </w:p>
          <w:p>
            <w:pPr>
              <w:pStyle w:val="6"/>
              <w:spacing w:before="1" w:line="224" w:lineRule="auto"/>
              <w:ind w:left="125"/>
            </w:pPr>
            <w:r>
              <w:rPr>
                <w:spacing w:val="-7"/>
                <w14:textOutline w14:w="2960" w14:cap="sq" w14:cmpd="sng">
                  <w14:solidFill>
                    <w14:srgbClr w14:val="000000"/>
                  </w14:solidFill>
                  <w14:prstDash w14:val="solid"/>
                  <w14:bevel/>
                </w14:textOutline>
              </w:rPr>
              <w:t>同时</w:t>
            </w:r>
          </w:p>
          <w:p>
            <w:pPr>
              <w:pStyle w:val="6"/>
              <w:spacing w:before="6" w:line="226" w:lineRule="auto"/>
              <w:ind w:left="124"/>
            </w:pPr>
            <w:r>
              <w:rPr>
                <w:spacing w:val="-6"/>
                <w14:textOutline w14:w="2960" w14:cap="sq" w14:cmpd="sng">
                  <w14:solidFill>
                    <w14:srgbClr w14:val="000000"/>
                  </w14:solidFill>
                  <w14:prstDash w14:val="solid"/>
                  <w14:bevel/>
                </w14:textOutline>
              </w:rPr>
              <w:t>”及</w:t>
            </w:r>
          </w:p>
          <w:p>
            <w:pPr>
              <w:pStyle w:val="6"/>
              <w:spacing w:before="6" w:line="224" w:lineRule="auto"/>
              <w:ind w:left="109"/>
            </w:pPr>
            <w:r>
              <w:rPr>
                <w:spacing w:val="1"/>
                <w14:textOutline w14:w="2960" w14:cap="sq" w14:cmpd="sng">
                  <w14:solidFill>
                    <w14:srgbClr w14:val="000000"/>
                  </w14:solidFill>
                  <w14:prstDash w14:val="solid"/>
                  <w14:bevel/>
                </w14:textOutline>
              </w:rPr>
              <w:t>试生</w:t>
            </w:r>
          </w:p>
          <w:p>
            <w:pPr>
              <w:pStyle w:val="6"/>
              <w:spacing w:before="8" w:line="223" w:lineRule="auto"/>
              <w:ind w:left="109"/>
            </w:pPr>
            <w:r>
              <w:rPr>
                <w:spacing w:val="1"/>
                <w14:textOutline w14:w="2960" w14:cap="sq" w14:cmpd="sng">
                  <w14:solidFill>
                    <w14:srgbClr w14:val="000000"/>
                  </w14:solidFill>
                  <w14:prstDash w14:val="solid"/>
                  <w14:bevel/>
                </w14:textOutline>
              </w:rPr>
              <w:t>产管</w:t>
            </w:r>
          </w:p>
          <w:p>
            <w:pPr>
              <w:pStyle w:val="6"/>
              <w:spacing w:before="8" w:line="233" w:lineRule="auto"/>
              <w:ind w:left="195"/>
            </w:pPr>
            <w:r>
              <w:rPr>
                <w14:textOutline w14:w="2960" w14:cap="sq" w14:cmpd="sng">
                  <w14:solidFill>
                    <w14:srgbClr w14:val="000000"/>
                  </w14:solidFill>
                  <w14:prstDash w14:val="solid"/>
                  <w14:bevel/>
                </w14:textOutline>
              </w:rPr>
              <w:t>理</w:t>
            </w:r>
          </w:p>
        </w:tc>
        <w:tc>
          <w:tcPr>
            <w:tcW w:w="489"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2" w:line="185" w:lineRule="auto"/>
              <w:ind w:left="209"/>
            </w:pPr>
            <w:r>
              <w:t>6</w:t>
            </w:r>
          </w:p>
        </w:tc>
        <w:tc>
          <w:tcPr>
            <w:tcW w:w="974" w:type="dxa"/>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6"/>
              <w:spacing w:before="52" w:line="186" w:lineRule="auto"/>
              <w:ind w:left="297"/>
            </w:pPr>
            <w:r>
              <w:rPr>
                <w:spacing w:val="-2"/>
              </w:rPr>
              <w:t>1.4.2</w:t>
            </w:r>
          </w:p>
        </w:tc>
        <w:tc>
          <w:tcPr>
            <w:tcW w:w="3566" w:type="dxa"/>
            <w:vAlign w:val="top"/>
          </w:tcPr>
          <w:p>
            <w:pPr>
              <w:spacing w:line="259" w:lineRule="auto"/>
              <w:rPr>
                <w:rFonts w:ascii="Arial"/>
                <w:sz w:val="21"/>
              </w:rPr>
            </w:pPr>
          </w:p>
          <w:p>
            <w:pPr>
              <w:spacing w:line="259" w:lineRule="auto"/>
              <w:rPr>
                <w:rFonts w:ascii="Arial"/>
                <w:sz w:val="21"/>
              </w:rPr>
            </w:pPr>
          </w:p>
          <w:p>
            <w:pPr>
              <w:pStyle w:val="6"/>
              <w:spacing w:before="52" w:line="231" w:lineRule="auto"/>
              <w:ind w:right="21"/>
            </w:pPr>
            <w:r>
              <w:rPr>
                <w:spacing w:val="6"/>
              </w:rPr>
              <w:t>《精细化学品系列产品项目填平补齐技术改造项 目安全设施设计专篇》提出《安全评价报告》 （P129）建议“新增芳烃储罐等应采用固定式消 防喷淋系统，罐体设置喷淋环管 ”的采纳情况为“采纳 ”，而实际未落实。</w:t>
            </w:r>
          </w:p>
        </w:tc>
        <w:tc>
          <w:tcPr>
            <w:tcW w:w="4751"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2" w:line="224" w:lineRule="auto"/>
              <w:ind w:left="36"/>
            </w:pPr>
            <w:r>
              <w:rPr>
                <w:spacing w:val="3"/>
              </w:rPr>
              <w:t>联系设计单位核实确认。</w:t>
            </w:r>
          </w:p>
        </w:tc>
        <w:tc>
          <w:tcPr>
            <w:tcW w:w="957" w:type="dxa"/>
            <w:vAlign w:val="top"/>
          </w:tcPr>
          <w:p>
            <w:pPr>
              <w:rPr>
                <w:rFonts w:ascii="Arial"/>
                <w:sz w:val="21"/>
              </w:rPr>
            </w:pPr>
          </w:p>
        </w:tc>
        <w:tc>
          <w:tcPr>
            <w:tcW w:w="1091" w:type="dxa"/>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4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30" w:lineRule="auto"/>
              <w:ind w:left="109" w:right="99"/>
              <w:jc w:val="both"/>
            </w:pPr>
            <w:r>
              <w:rPr>
                <w:spacing w:val="1"/>
                <w14:textOutline w14:w="2960" w14:cap="sq" w14:cmpd="sng">
                  <w14:solidFill>
                    <w14:srgbClr w14:val="000000"/>
                  </w14:solidFill>
                  <w14:prstDash w14:val="solid"/>
                  <w14:bevel/>
                </w14:textOutline>
              </w:rPr>
              <w:t>其他</w:t>
            </w:r>
            <w:r>
              <w:t xml:space="preserve"> </w:t>
            </w:r>
            <w:r>
              <w:rPr>
                <w:spacing w:val="1"/>
                <w14:textOutline w14:w="2960" w14:cap="sq" w14:cmpd="sng">
                  <w14:solidFill>
                    <w14:srgbClr w14:val="000000"/>
                  </w14:solidFill>
                  <w14:prstDash w14:val="solid"/>
                  <w14:bevel/>
                </w14:textOutline>
              </w:rPr>
              <w:t>安全</w:t>
            </w:r>
            <w:r>
              <w:t xml:space="preserve"> </w:t>
            </w:r>
            <w:r>
              <w:rPr>
                <w:spacing w:val="1"/>
                <w14:textOutline w14:w="2960" w14:cap="sq" w14:cmpd="sng">
                  <w14:solidFill>
                    <w14:srgbClr w14:val="000000"/>
                  </w14:solidFill>
                  <w14:prstDash w14:val="solid"/>
                  <w14:bevel/>
                </w14:textOutline>
              </w:rPr>
              <w:t>基础</w:t>
            </w:r>
            <w:r>
              <w:t xml:space="preserve"> </w:t>
            </w:r>
            <w:r>
              <w:rPr>
                <w:spacing w:val="1"/>
                <w14:textOutline w14:w="2960" w14:cap="sq" w14:cmpd="sng">
                  <w14:solidFill>
                    <w14:srgbClr w14:val="000000"/>
                  </w14:solidFill>
                  <w14:prstDash w14:val="solid"/>
                  <w14:bevel/>
                </w14:textOutline>
              </w:rPr>
              <w:t>管理</w:t>
            </w:r>
          </w:p>
        </w:tc>
        <w:tc>
          <w:tcPr>
            <w:tcW w:w="489" w:type="dxa"/>
            <w:vAlign w:val="top"/>
          </w:tcPr>
          <w:p>
            <w:pPr>
              <w:spacing w:line="318" w:lineRule="auto"/>
              <w:rPr>
                <w:rFonts w:ascii="Arial"/>
                <w:sz w:val="21"/>
              </w:rPr>
            </w:pPr>
          </w:p>
          <w:p>
            <w:pPr>
              <w:pStyle w:val="6"/>
              <w:spacing w:before="52" w:line="184" w:lineRule="auto"/>
              <w:ind w:left="212"/>
            </w:pPr>
            <w:r>
              <w:t>7</w:t>
            </w:r>
          </w:p>
        </w:tc>
        <w:tc>
          <w:tcPr>
            <w:tcW w:w="974" w:type="dxa"/>
            <w:vAlign w:val="top"/>
          </w:tcPr>
          <w:p>
            <w:pPr>
              <w:spacing w:line="316" w:lineRule="auto"/>
              <w:rPr>
                <w:rFonts w:ascii="Arial"/>
                <w:sz w:val="21"/>
              </w:rPr>
            </w:pPr>
          </w:p>
          <w:p>
            <w:pPr>
              <w:pStyle w:val="6"/>
              <w:spacing w:before="52" w:line="186" w:lineRule="auto"/>
              <w:ind w:left="295"/>
            </w:pPr>
            <w:r>
              <w:rPr>
                <w:spacing w:val="-2"/>
              </w:rPr>
              <w:t>1.1.8</w:t>
            </w:r>
          </w:p>
        </w:tc>
        <w:tc>
          <w:tcPr>
            <w:tcW w:w="3566" w:type="dxa"/>
            <w:vAlign w:val="top"/>
          </w:tcPr>
          <w:p>
            <w:pPr>
              <w:pStyle w:val="6"/>
              <w:spacing w:before="42" w:line="226" w:lineRule="auto"/>
              <w:ind w:left="33" w:right="20" w:firstLine="3"/>
              <w:jc w:val="both"/>
            </w:pPr>
            <w:r>
              <w:rPr>
                <w:spacing w:val="5"/>
              </w:rPr>
              <w:t>未制定管线（设备）首次打开危险作业管理制度，缺少“将拆装部位前后端泄压、吹扫置换并 与运行系统有效物理隔离，严禁以关闭阀门代替 加装盲板 ”等管理要求。</w:t>
            </w:r>
          </w:p>
        </w:tc>
        <w:tc>
          <w:tcPr>
            <w:tcW w:w="4751" w:type="dxa"/>
            <w:vAlign w:val="top"/>
          </w:tcPr>
          <w:p>
            <w:pPr>
              <w:pStyle w:val="6"/>
              <w:spacing w:before="244" w:line="228" w:lineRule="auto"/>
              <w:ind w:left="37" w:right="18"/>
            </w:pPr>
            <w:r>
              <w:rPr>
                <w:spacing w:val="7"/>
              </w:rPr>
              <w:t>按照《化工企业生产过程异常工况安全处置准则（试行）》的要求，建立并完善相关管理制度。</w:t>
            </w:r>
          </w:p>
        </w:tc>
        <w:tc>
          <w:tcPr>
            <w:tcW w:w="957" w:type="dxa"/>
            <w:vAlign w:val="top"/>
          </w:tcPr>
          <w:p>
            <w:pPr>
              <w:spacing w:line="291" w:lineRule="auto"/>
              <w:rPr>
                <w:rFonts w:ascii="Arial"/>
                <w:sz w:val="21"/>
              </w:rPr>
            </w:pPr>
          </w:p>
          <w:p>
            <w:pPr>
              <w:pStyle w:val="6"/>
              <w:spacing w:before="52" w:line="242" w:lineRule="auto"/>
              <w:ind w:left="446"/>
            </w:pPr>
            <w:r>
              <w:t>√</w:t>
            </w:r>
          </w:p>
        </w:tc>
        <w:tc>
          <w:tcPr>
            <w:tcW w:w="1091" w:type="dxa"/>
            <w:vAlign w:val="top"/>
          </w:tcPr>
          <w:p>
            <w:pPr>
              <w:rPr>
                <w:rFonts w:ascii="Arial"/>
                <w:sz w:val="21"/>
              </w:rPr>
            </w:pP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2" w:type="dxa"/>
            <w:vMerge w:val="continue"/>
            <w:tcBorders>
              <w:top w:val="nil"/>
              <w:bottom w:val="nil"/>
            </w:tcBorders>
            <w:vAlign w:val="top"/>
          </w:tcPr>
          <w:p>
            <w:pPr>
              <w:rPr>
                <w:rFonts w:ascii="Arial"/>
                <w:sz w:val="21"/>
              </w:rPr>
            </w:pPr>
          </w:p>
        </w:tc>
        <w:tc>
          <w:tcPr>
            <w:tcW w:w="489" w:type="dxa"/>
            <w:vAlign w:val="top"/>
          </w:tcPr>
          <w:p>
            <w:pPr>
              <w:pStyle w:val="6"/>
              <w:spacing w:before="266" w:line="185" w:lineRule="auto"/>
              <w:ind w:left="208"/>
            </w:pPr>
            <w:r>
              <w:t>8</w:t>
            </w:r>
          </w:p>
        </w:tc>
        <w:tc>
          <w:tcPr>
            <w:tcW w:w="974" w:type="dxa"/>
            <w:vAlign w:val="top"/>
          </w:tcPr>
          <w:p>
            <w:pPr>
              <w:pStyle w:val="6"/>
              <w:spacing w:before="265" w:line="186" w:lineRule="auto"/>
              <w:ind w:left="295"/>
            </w:pPr>
            <w:r>
              <w:rPr>
                <w:spacing w:val="-2"/>
              </w:rPr>
              <w:t>1.1.9</w:t>
            </w:r>
          </w:p>
        </w:tc>
        <w:tc>
          <w:tcPr>
            <w:tcW w:w="3566" w:type="dxa"/>
            <w:vAlign w:val="top"/>
          </w:tcPr>
          <w:p>
            <w:pPr>
              <w:pStyle w:val="6"/>
              <w:spacing w:before="38" w:line="221" w:lineRule="auto"/>
              <w:ind w:left="33" w:right="20"/>
              <w:jc w:val="both"/>
            </w:pPr>
            <w:r>
              <w:rPr>
                <w:spacing w:val="5"/>
              </w:rPr>
              <w:t>相关管理制度中无“异常工况处置作业过程中非 必要不得进行带压密封和带压开孔作业 ”等管理要求。</w:t>
            </w:r>
          </w:p>
        </w:tc>
        <w:tc>
          <w:tcPr>
            <w:tcW w:w="4751" w:type="dxa"/>
            <w:vAlign w:val="top"/>
          </w:tcPr>
          <w:p>
            <w:pPr>
              <w:pStyle w:val="6"/>
              <w:spacing w:before="139" w:line="228" w:lineRule="auto"/>
              <w:ind w:left="37" w:right="18"/>
            </w:pPr>
            <w:r>
              <w:rPr>
                <w:spacing w:val="3"/>
              </w:rPr>
              <w:t>按照《化工企业生产过程异常工况安全处置准则（试行）》的要求，完善相关管理制度。</w:t>
            </w:r>
          </w:p>
        </w:tc>
        <w:tc>
          <w:tcPr>
            <w:tcW w:w="957" w:type="dxa"/>
            <w:vAlign w:val="top"/>
          </w:tcPr>
          <w:p>
            <w:pPr>
              <w:pStyle w:val="6"/>
              <w:spacing w:before="240" w:line="242" w:lineRule="auto"/>
              <w:ind w:left="446"/>
            </w:pPr>
            <w:r>
              <w:t>√</w:t>
            </w:r>
          </w:p>
        </w:tc>
        <w:tc>
          <w:tcPr>
            <w:tcW w:w="1091" w:type="dxa"/>
            <w:vAlign w:val="top"/>
          </w:tcPr>
          <w:p>
            <w:pPr>
              <w:rPr>
                <w:rFonts w:ascii="Arial"/>
                <w:sz w:val="21"/>
              </w:rPr>
            </w:pP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292" w:lineRule="auto"/>
              <w:rPr>
                <w:rFonts w:ascii="Arial"/>
                <w:sz w:val="21"/>
              </w:rPr>
            </w:pPr>
          </w:p>
          <w:p>
            <w:pPr>
              <w:pStyle w:val="6"/>
              <w:spacing w:before="52" w:line="185" w:lineRule="auto"/>
              <w:ind w:left="208"/>
            </w:pPr>
            <w:r>
              <w:t>9</w:t>
            </w:r>
          </w:p>
        </w:tc>
        <w:tc>
          <w:tcPr>
            <w:tcW w:w="974" w:type="dxa"/>
            <w:vAlign w:val="top"/>
          </w:tcPr>
          <w:p>
            <w:pPr>
              <w:spacing w:line="292" w:lineRule="auto"/>
              <w:rPr>
                <w:rFonts w:ascii="Arial"/>
                <w:sz w:val="21"/>
              </w:rPr>
            </w:pPr>
          </w:p>
          <w:p>
            <w:pPr>
              <w:pStyle w:val="6"/>
              <w:spacing w:before="52" w:line="186" w:lineRule="auto"/>
              <w:ind w:left="295"/>
            </w:pPr>
            <w:r>
              <w:rPr>
                <w:spacing w:val="-2"/>
              </w:rPr>
              <w:t>1.3.1</w:t>
            </w:r>
          </w:p>
        </w:tc>
        <w:tc>
          <w:tcPr>
            <w:tcW w:w="3566" w:type="dxa"/>
            <w:vAlign w:val="top"/>
          </w:tcPr>
          <w:p>
            <w:pPr>
              <w:pStyle w:val="6"/>
              <w:spacing w:before="219" w:line="228" w:lineRule="auto"/>
              <w:ind w:left="34" w:right="20" w:firstLine="1"/>
            </w:pPr>
            <w:r>
              <w:rPr>
                <w:spacing w:val="5"/>
              </w:rPr>
              <w:t>未提供重大危险源区域有毒有害化学品泄漏、控制室控制系统故障应急处置卡。</w:t>
            </w:r>
          </w:p>
        </w:tc>
        <w:tc>
          <w:tcPr>
            <w:tcW w:w="4751" w:type="dxa"/>
            <w:vAlign w:val="top"/>
          </w:tcPr>
          <w:p>
            <w:pPr>
              <w:pStyle w:val="6"/>
              <w:spacing w:before="116" w:line="231" w:lineRule="auto"/>
              <w:ind w:left="36" w:right="17" w:firstLine="1"/>
            </w:pPr>
            <w:r>
              <w:rPr>
                <w:spacing w:val="7"/>
              </w:rPr>
              <w:t>按照《生产安全事故应急预案管理办法》（应急管理部令第2号）第三十四条的要求，针对工作场所、岗位的特点，编制应急处置卡。</w:t>
            </w:r>
          </w:p>
        </w:tc>
        <w:tc>
          <w:tcPr>
            <w:tcW w:w="957" w:type="dxa"/>
            <w:vAlign w:val="top"/>
          </w:tcPr>
          <w:p>
            <w:pPr>
              <w:spacing w:line="266" w:lineRule="auto"/>
              <w:rPr>
                <w:rFonts w:ascii="Arial"/>
                <w:sz w:val="21"/>
              </w:rPr>
            </w:pPr>
          </w:p>
          <w:p>
            <w:pPr>
              <w:pStyle w:val="6"/>
              <w:spacing w:before="52" w:line="242" w:lineRule="auto"/>
              <w:ind w:left="446"/>
            </w:pPr>
            <w:r>
              <w:t>√</w:t>
            </w:r>
          </w:p>
        </w:tc>
        <w:tc>
          <w:tcPr>
            <w:tcW w:w="1091" w:type="dxa"/>
            <w:vAlign w:val="top"/>
          </w:tcPr>
          <w:p>
            <w:pPr>
              <w:rPr>
                <w:rFonts w:ascii="Arial"/>
                <w:sz w:val="21"/>
              </w:rPr>
            </w:pP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542" w:type="dxa"/>
            <w:vMerge w:val="continue"/>
            <w:tcBorders>
              <w:top w:val="nil"/>
              <w:bottom w:val="nil"/>
            </w:tcBorders>
            <w:vAlign w:val="top"/>
          </w:tcPr>
          <w:p>
            <w:pPr>
              <w:rPr>
                <w:rFonts w:ascii="Arial"/>
                <w:sz w:val="21"/>
              </w:rPr>
            </w:pPr>
          </w:p>
        </w:tc>
        <w:tc>
          <w:tcPr>
            <w:tcW w:w="489" w:type="dxa"/>
            <w:vAlign w:val="top"/>
          </w:tcPr>
          <w:p>
            <w:pPr>
              <w:rPr>
                <w:rFonts w:ascii="Arial"/>
                <w:sz w:val="21"/>
              </w:rPr>
            </w:pPr>
          </w:p>
          <w:p>
            <w:pPr>
              <w:spacing w:line="241" w:lineRule="auto"/>
              <w:rPr>
                <w:rFonts w:ascii="Arial"/>
                <w:sz w:val="21"/>
              </w:rPr>
            </w:pPr>
          </w:p>
          <w:p>
            <w:pPr>
              <w:pStyle w:val="6"/>
              <w:spacing w:before="52" w:line="186" w:lineRule="auto"/>
              <w:ind w:left="178"/>
            </w:pPr>
            <w:r>
              <w:rPr>
                <w:spacing w:val="-8"/>
              </w:rPr>
              <w:t>10</w:t>
            </w:r>
          </w:p>
        </w:tc>
        <w:tc>
          <w:tcPr>
            <w:tcW w:w="974" w:type="dxa"/>
            <w:vAlign w:val="top"/>
          </w:tcPr>
          <w:p>
            <w:pPr>
              <w:rPr>
                <w:rFonts w:ascii="Arial"/>
                <w:sz w:val="21"/>
              </w:rPr>
            </w:pPr>
          </w:p>
          <w:p>
            <w:pPr>
              <w:spacing w:line="241" w:lineRule="auto"/>
              <w:rPr>
                <w:rFonts w:ascii="Arial"/>
                <w:sz w:val="21"/>
              </w:rPr>
            </w:pPr>
          </w:p>
          <w:p>
            <w:pPr>
              <w:pStyle w:val="6"/>
              <w:spacing w:before="52" w:line="186" w:lineRule="auto"/>
              <w:ind w:left="295"/>
            </w:pPr>
            <w:r>
              <w:rPr>
                <w:spacing w:val="-2"/>
              </w:rPr>
              <w:t>1.5.6</w:t>
            </w:r>
          </w:p>
        </w:tc>
        <w:tc>
          <w:tcPr>
            <w:tcW w:w="3566" w:type="dxa"/>
            <w:vAlign w:val="top"/>
          </w:tcPr>
          <w:p>
            <w:pPr>
              <w:pStyle w:val="6"/>
              <w:spacing w:before="208" w:line="231" w:lineRule="auto"/>
              <w:ind w:left="34" w:right="20" w:firstLine="1"/>
              <w:jc w:val="both"/>
            </w:pPr>
            <w:r>
              <w:rPr>
                <w:spacing w:val="5"/>
              </w:rPr>
              <w:t>企业主要负责人每季度带队对本单位开展一次重大事故隐患排查，不符合《安全生产治本攻坚三年行动方案（2024-2026年）》的要求（企业已自查到，相关管理制度未修订）。</w:t>
            </w:r>
          </w:p>
        </w:tc>
        <w:tc>
          <w:tcPr>
            <w:tcW w:w="4751" w:type="dxa"/>
            <w:vAlign w:val="top"/>
          </w:tcPr>
          <w:p>
            <w:pPr>
              <w:spacing w:line="256" w:lineRule="auto"/>
              <w:rPr>
                <w:rFonts w:ascii="Arial"/>
                <w:sz w:val="21"/>
              </w:rPr>
            </w:pPr>
          </w:p>
          <w:p>
            <w:pPr>
              <w:pStyle w:val="6"/>
              <w:spacing w:before="52" w:line="230" w:lineRule="auto"/>
              <w:ind w:left="35" w:right="16" w:firstLine="1"/>
              <w:jc w:val="both"/>
            </w:pPr>
            <w:r>
              <w:rPr>
                <w:spacing w:val="7"/>
              </w:rPr>
              <w:t>按照《安全生产治本攻坚三年行动方案（2024-2026年）》（安 委〔2024〕2号）第4条的要求，修订相关管理制度，主要负责人落实每月带队对本单位重大事故隐患情况进行检查。</w:t>
            </w:r>
          </w:p>
        </w:tc>
        <w:tc>
          <w:tcPr>
            <w:tcW w:w="957" w:type="dxa"/>
            <w:vAlign w:val="top"/>
          </w:tcPr>
          <w:p>
            <w:pPr>
              <w:spacing w:line="456" w:lineRule="auto"/>
              <w:rPr>
                <w:rFonts w:ascii="Arial"/>
                <w:sz w:val="21"/>
              </w:rPr>
            </w:pPr>
          </w:p>
          <w:p>
            <w:pPr>
              <w:pStyle w:val="6"/>
              <w:spacing w:before="52" w:line="242" w:lineRule="auto"/>
              <w:ind w:left="446"/>
            </w:pPr>
            <w:r>
              <w:t>√</w:t>
            </w:r>
          </w:p>
        </w:tc>
        <w:tc>
          <w:tcPr>
            <w:tcW w:w="1091" w:type="dxa"/>
            <w:vAlign w:val="top"/>
          </w:tcPr>
          <w:p>
            <w:pPr>
              <w:rPr>
                <w:rFonts w:ascii="Arial"/>
                <w:sz w:val="21"/>
              </w:rPr>
            </w:pP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320" w:lineRule="auto"/>
              <w:rPr>
                <w:rFonts w:ascii="Arial"/>
                <w:sz w:val="21"/>
              </w:rPr>
            </w:pPr>
          </w:p>
          <w:p>
            <w:pPr>
              <w:pStyle w:val="6"/>
              <w:spacing w:before="52" w:line="186" w:lineRule="auto"/>
              <w:ind w:left="178"/>
            </w:pPr>
            <w:r>
              <w:rPr>
                <w:spacing w:val="-8"/>
              </w:rPr>
              <w:t>11</w:t>
            </w:r>
          </w:p>
        </w:tc>
        <w:tc>
          <w:tcPr>
            <w:tcW w:w="974" w:type="dxa"/>
            <w:vAlign w:val="top"/>
          </w:tcPr>
          <w:p>
            <w:pPr>
              <w:spacing w:line="321" w:lineRule="auto"/>
              <w:rPr>
                <w:rFonts w:ascii="Arial"/>
                <w:sz w:val="21"/>
              </w:rPr>
            </w:pPr>
          </w:p>
          <w:p>
            <w:pPr>
              <w:pStyle w:val="6"/>
              <w:spacing w:before="52" w:line="186" w:lineRule="auto"/>
              <w:ind w:left="295"/>
            </w:pPr>
            <w:r>
              <w:rPr>
                <w:spacing w:val="-2"/>
              </w:rPr>
              <w:t>1.5.7</w:t>
            </w:r>
          </w:p>
        </w:tc>
        <w:tc>
          <w:tcPr>
            <w:tcW w:w="3566" w:type="dxa"/>
            <w:vAlign w:val="top"/>
          </w:tcPr>
          <w:p>
            <w:pPr>
              <w:pStyle w:val="6"/>
              <w:spacing w:before="46" w:line="225" w:lineRule="auto"/>
              <w:ind w:left="33" w:right="20"/>
              <w:jc w:val="both"/>
            </w:pPr>
            <w:r>
              <w:rPr>
                <w:spacing w:val="5"/>
              </w:rPr>
              <w:t>相关管理制度未明确生产异常工况应急处置时现场作业人员数量控制要求，如：按最少化原则控制现场作业人员数量，同一装置区内一般不得超过2人，最多不得超过6人。</w:t>
            </w:r>
          </w:p>
        </w:tc>
        <w:tc>
          <w:tcPr>
            <w:tcW w:w="4751" w:type="dxa"/>
            <w:vAlign w:val="top"/>
          </w:tcPr>
          <w:p>
            <w:pPr>
              <w:pStyle w:val="6"/>
              <w:spacing w:before="148" w:line="230" w:lineRule="auto"/>
              <w:ind w:left="35" w:right="16" w:firstLine="1"/>
              <w:jc w:val="both"/>
            </w:pPr>
            <w:r>
              <w:rPr>
                <w:spacing w:val="7"/>
              </w:rPr>
              <w:t>按照《化工企业生产过程异常工况安全处置准则（试行） 》第 4.2.3条的要求，明确异常工况应急处置时现场作业人员数量控制要求。</w:t>
            </w:r>
          </w:p>
        </w:tc>
        <w:tc>
          <w:tcPr>
            <w:tcW w:w="957" w:type="dxa"/>
            <w:vAlign w:val="top"/>
          </w:tcPr>
          <w:p>
            <w:pPr>
              <w:rPr>
                <w:rFonts w:ascii="Arial"/>
                <w:sz w:val="21"/>
              </w:rPr>
            </w:pPr>
          </w:p>
        </w:tc>
        <w:tc>
          <w:tcPr>
            <w:tcW w:w="1091" w:type="dxa"/>
            <w:vAlign w:val="top"/>
          </w:tcPr>
          <w:p>
            <w:pPr>
              <w:spacing w:line="295"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2" w:type="dxa"/>
            <w:vMerge w:val="continue"/>
            <w:tcBorders>
              <w:top w:val="nil"/>
              <w:bottom w:val="nil"/>
            </w:tcBorders>
            <w:vAlign w:val="top"/>
          </w:tcPr>
          <w:p>
            <w:pPr>
              <w:rPr>
                <w:rFonts w:ascii="Arial"/>
                <w:sz w:val="21"/>
              </w:rPr>
            </w:pPr>
          </w:p>
        </w:tc>
        <w:tc>
          <w:tcPr>
            <w:tcW w:w="489" w:type="dxa"/>
            <w:vAlign w:val="top"/>
          </w:tcPr>
          <w:p>
            <w:pPr>
              <w:pStyle w:val="6"/>
              <w:spacing w:before="270" w:line="186" w:lineRule="auto"/>
              <w:ind w:left="178"/>
            </w:pPr>
            <w:r>
              <w:rPr>
                <w:spacing w:val="-8"/>
              </w:rPr>
              <w:t>12</w:t>
            </w:r>
          </w:p>
        </w:tc>
        <w:tc>
          <w:tcPr>
            <w:tcW w:w="974" w:type="dxa"/>
            <w:vAlign w:val="top"/>
          </w:tcPr>
          <w:p>
            <w:pPr>
              <w:pStyle w:val="6"/>
              <w:spacing w:before="270" w:line="186" w:lineRule="auto"/>
              <w:ind w:left="295"/>
            </w:pPr>
            <w:r>
              <w:rPr>
                <w:spacing w:val="-2"/>
              </w:rPr>
              <w:t>1.5.8</w:t>
            </w:r>
          </w:p>
        </w:tc>
        <w:tc>
          <w:tcPr>
            <w:tcW w:w="3566" w:type="dxa"/>
            <w:vAlign w:val="top"/>
          </w:tcPr>
          <w:p>
            <w:pPr>
              <w:pStyle w:val="6"/>
              <w:spacing w:before="143" w:line="228" w:lineRule="auto"/>
              <w:ind w:left="36" w:right="20" w:hanging="1"/>
            </w:pPr>
            <w:r>
              <w:rPr>
                <w:spacing w:val="5"/>
              </w:rPr>
              <w:t>《异常工况决策处置机制》中未明确生产装置异常工况的情形、停车条件等内容。</w:t>
            </w:r>
          </w:p>
        </w:tc>
        <w:tc>
          <w:tcPr>
            <w:tcW w:w="4751" w:type="dxa"/>
            <w:vAlign w:val="top"/>
          </w:tcPr>
          <w:p>
            <w:pPr>
              <w:pStyle w:val="6"/>
              <w:spacing w:before="145" w:line="227" w:lineRule="auto"/>
              <w:ind w:left="37" w:right="18"/>
            </w:pPr>
            <w:r>
              <w:rPr>
                <w:spacing w:val="4"/>
              </w:rPr>
              <w:t>按照《化工企业生产过程异常工况安全处置准则（试行）》的要求，结合企业生产情况，修订《异常工况决策处置机制》。</w:t>
            </w:r>
          </w:p>
        </w:tc>
        <w:tc>
          <w:tcPr>
            <w:tcW w:w="957" w:type="dxa"/>
            <w:vAlign w:val="top"/>
          </w:tcPr>
          <w:p>
            <w:pPr>
              <w:pStyle w:val="6"/>
              <w:spacing w:before="245" w:line="242" w:lineRule="auto"/>
              <w:ind w:left="446"/>
            </w:pPr>
            <w:r>
              <w:t>√</w:t>
            </w:r>
          </w:p>
        </w:tc>
        <w:tc>
          <w:tcPr>
            <w:tcW w:w="1091" w:type="dxa"/>
            <w:vAlign w:val="top"/>
          </w:tcPr>
          <w:p>
            <w:pPr>
              <w:rPr>
                <w:rFonts w:ascii="Arial"/>
                <w:sz w:val="21"/>
              </w:rPr>
            </w:pP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542" w:type="dxa"/>
            <w:vMerge w:val="continue"/>
            <w:tcBorders>
              <w:top w:val="nil"/>
            </w:tcBorders>
            <w:vAlign w:val="top"/>
          </w:tcPr>
          <w:p>
            <w:pPr>
              <w:rPr>
                <w:rFonts w:ascii="Arial"/>
                <w:sz w:val="21"/>
              </w:rPr>
            </w:pPr>
          </w:p>
        </w:tc>
        <w:tc>
          <w:tcPr>
            <w:tcW w:w="489" w:type="dxa"/>
            <w:vAlign w:val="top"/>
          </w:tcPr>
          <w:p>
            <w:pPr>
              <w:spacing w:line="298" w:lineRule="auto"/>
              <w:rPr>
                <w:rFonts w:ascii="Arial"/>
                <w:sz w:val="21"/>
              </w:rPr>
            </w:pPr>
          </w:p>
          <w:p>
            <w:pPr>
              <w:spacing w:line="298" w:lineRule="auto"/>
              <w:rPr>
                <w:rFonts w:ascii="Arial"/>
                <w:sz w:val="21"/>
              </w:rPr>
            </w:pPr>
          </w:p>
          <w:p>
            <w:pPr>
              <w:pStyle w:val="6"/>
              <w:spacing w:before="52" w:line="186" w:lineRule="auto"/>
              <w:ind w:left="178"/>
            </w:pPr>
            <w:r>
              <w:rPr>
                <w:spacing w:val="-8"/>
              </w:rPr>
              <w:t>13</w:t>
            </w:r>
          </w:p>
        </w:tc>
        <w:tc>
          <w:tcPr>
            <w:tcW w:w="974" w:type="dxa"/>
            <w:vAlign w:val="top"/>
          </w:tcPr>
          <w:p>
            <w:pPr>
              <w:spacing w:line="298" w:lineRule="auto"/>
              <w:rPr>
                <w:rFonts w:ascii="Arial"/>
                <w:sz w:val="21"/>
              </w:rPr>
            </w:pPr>
          </w:p>
          <w:p>
            <w:pPr>
              <w:spacing w:line="298" w:lineRule="auto"/>
              <w:rPr>
                <w:rFonts w:ascii="Arial"/>
                <w:sz w:val="21"/>
              </w:rPr>
            </w:pPr>
          </w:p>
          <w:p>
            <w:pPr>
              <w:pStyle w:val="6"/>
              <w:spacing w:before="52" w:line="186" w:lineRule="auto"/>
              <w:ind w:left="295"/>
            </w:pPr>
            <w:r>
              <w:rPr>
                <w:spacing w:val="-2"/>
              </w:rPr>
              <w:t>1.5.9</w:t>
            </w:r>
          </w:p>
        </w:tc>
        <w:tc>
          <w:tcPr>
            <w:tcW w:w="3566" w:type="dxa"/>
            <w:vAlign w:val="top"/>
          </w:tcPr>
          <w:p>
            <w:pPr>
              <w:spacing w:line="370" w:lineRule="auto"/>
              <w:rPr>
                <w:rFonts w:ascii="Arial"/>
                <w:sz w:val="21"/>
              </w:rPr>
            </w:pPr>
          </w:p>
          <w:p>
            <w:pPr>
              <w:pStyle w:val="6"/>
              <w:spacing w:before="52" w:line="230" w:lineRule="auto"/>
              <w:ind w:left="33" w:right="20" w:firstLine="3"/>
            </w:pPr>
            <w:r>
              <w:rPr>
                <w:spacing w:val="5"/>
              </w:rPr>
              <w:t>企业安全信息化系统中双重预防数字化模块中，无重大危险源仪表、设备等专业人员的隐患排查任务及排查记录。</w:t>
            </w:r>
          </w:p>
        </w:tc>
        <w:tc>
          <w:tcPr>
            <w:tcW w:w="4751" w:type="dxa"/>
            <w:vAlign w:val="top"/>
          </w:tcPr>
          <w:p>
            <w:pPr>
              <w:spacing w:line="267" w:lineRule="auto"/>
              <w:rPr>
                <w:rFonts w:ascii="Arial"/>
                <w:sz w:val="21"/>
              </w:rPr>
            </w:pPr>
          </w:p>
          <w:p>
            <w:pPr>
              <w:pStyle w:val="6"/>
              <w:spacing w:before="52" w:line="231" w:lineRule="auto"/>
              <w:ind w:left="37" w:right="17"/>
              <w:jc w:val="both"/>
            </w:pPr>
            <w:r>
              <w:rPr>
                <w:spacing w:val="7"/>
              </w:rPr>
              <w:t>按照《危险化学品企业安全风险隐患排查治理导则》 （应急〔 2019〕78号）第3.1条、《危险化学品企业双重预防机制数字化建 设工作指南》的要求，将隐患排查计划、仪表、设备等专业性检查纳入双重预防机制数字化系统。</w:t>
            </w:r>
          </w:p>
        </w:tc>
        <w:tc>
          <w:tcPr>
            <w:tcW w:w="957" w:type="dxa"/>
            <w:vAlign w:val="top"/>
          </w:tcPr>
          <w:p>
            <w:pPr>
              <w:rPr>
                <w:rFonts w:ascii="Arial"/>
                <w:sz w:val="21"/>
              </w:rPr>
            </w:pPr>
          </w:p>
        </w:tc>
        <w:tc>
          <w:tcPr>
            <w:tcW w:w="1091" w:type="dxa"/>
            <w:vAlign w:val="top"/>
          </w:tcPr>
          <w:p>
            <w:pPr>
              <w:spacing w:line="285" w:lineRule="auto"/>
              <w:rPr>
                <w:rFonts w:ascii="Arial"/>
                <w:sz w:val="21"/>
              </w:rPr>
            </w:pPr>
          </w:p>
          <w:p>
            <w:pPr>
              <w:spacing w:line="286"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542" w:type="dxa"/>
            <w:tcBorders>
              <w:bottom w:val="nil"/>
            </w:tcBorders>
            <w:vAlign w:val="top"/>
          </w:tcPr>
          <w:p>
            <w:pPr>
              <w:rPr>
                <w:rFonts w:ascii="Arial"/>
                <w:sz w:val="21"/>
              </w:rPr>
            </w:pPr>
          </w:p>
        </w:tc>
        <w:tc>
          <w:tcPr>
            <w:tcW w:w="489" w:type="dxa"/>
            <w:vAlign w:val="top"/>
          </w:tcPr>
          <w:p>
            <w:pPr>
              <w:pStyle w:val="6"/>
              <w:spacing w:before="272" w:line="186" w:lineRule="auto"/>
              <w:ind w:left="178"/>
            </w:pPr>
            <w:r>
              <w:rPr>
                <w:spacing w:val="-8"/>
              </w:rPr>
              <w:t>14</w:t>
            </w:r>
          </w:p>
        </w:tc>
        <w:tc>
          <w:tcPr>
            <w:tcW w:w="974" w:type="dxa"/>
            <w:vAlign w:val="top"/>
          </w:tcPr>
          <w:p>
            <w:pPr>
              <w:pStyle w:val="6"/>
              <w:spacing w:before="272" w:line="186" w:lineRule="auto"/>
              <w:ind w:left="285"/>
            </w:pPr>
            <w:r>
              <w:t>2.1.5</w:t>
            </w:r>
          </w:p>
        </w:tc>
        <w:tc>
          <w:tcPr>
            <w:tcW w:w="3566" w:type="dxa"/>
            <w:vAlign w:val="top"/>
          </w:tcPr>
          <w:p>
            <w:pPr>
              <w:pStyle w:val="6"/>
              <w:spacing w:before="45" w:line="221" w:lineRule="auto"/>
              <w:ind w:left="33" w:right="20" w:firstLine="2"/>
              <w:jc w:val="both"/>
            </w:pPr>
            <w:r>
              <w:rPr>
                <w:spacing w:val="5"/>
              </w:rPr>
              <w:t>设计诊断报告中提出问题“分析室西侧气瓶间和 危废库图纸上未体现 ”；检查时，总图上无相应布局。</w:t>
            </w:r>
          </w:p>
        </w:tc>
        <w:tc>
          <w:tcPr>
            <w:tcW w:w="4751" w:type="dxa"/>
            <w:vAlign w:val="top"/>
          </w:tcPr>
          <w:p>
            <w:pPr>
              <w:pStyle w:val="6"/>
              <w:spacing w:before="241" w:line="222" w:lineRule="auto"/>
              <w:ind w:left="37"/>
              <w:rPr>
                <w:sz w:val="17"/>
                <w:szCs w:val="17"/>
              </w:rPr>
            </w:pPr>
            <w:r>
              <w:rPr>
                <w:spacing w:val="1"/>
                <w:sz w:val="17"/>
                <w:szCs w:val="17"/>
              </w:rPr>
              <w:t>联系设计单位整改。</w:t>
            </w:r>
          </w:p>
        </w:tc>
        <w:tc>
          <w:tcPr>
            <w:tcW w:w="957" w:type="dxa"/>
            <w:vAlign w:val="top"/>
          </w:tcPr>
          <w:p>
            <w:pPr>
              <w:rPr>
                <w:rFonts w:ascii="Arial"/>
                <w:sz w:val="21"/>
              </w:rPr>
            </w:pPr>
          </w:p>
        </w:tc>
        <w:tc>
          <w:tcPr>
            <w:tcW w:w="1091" w:type="dxa"/>
            <w:vAlign w:val="top"/>
          </w:tcPr>
          <w:p>
            <w:pPr>
              <w:pStyle w:val="6"/>
              <w:spacing w:before="247"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bl>
    <w:p>
      <w:pPr>
        <w:rPr>
          <w:rFonts w:ascii="Arial"/>
          <w:sz w:val="21"/>
        </w:rPr>
      </w:pPr>
    </w:p>
    <w:p>
      <w:pPr>
        <w:rPr>
          <w:rFonts w:ascii="Arial" w:hAnsi="Arial" w:eastAsia="Arial" w:cs="Arial"/>
          <w:sz w:val="21"/>
          <w:szCs w:val="21"/>
        </w:rPr>
        <w:sectPr>
          <w:pgSz w:w="16834" w:h="11909"/>
          <w:pgMar w:top="1012" w:right="1127" w:bottom="0" w:left="1012" w:header="0" w:footer="0" w:gutter="0"/>
          <w:cols w:space="720" w:num="1"/>
        </w:sectPr>
      </w:pPr>
    </w:p>
    <w:tbl>
      <w:tblPr>
        <w:tblStyle w:val="5"/>
        <w:tblW w:w="146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489"/>
        <w:gridCol w:w="974"/>
        <w:gridCol w:w="3566"/>
        <w:gridCol w:w="4751"/>
        <w:gridCol w:w="957"/>
        <w:gridCol w:w="1091"/>
        <w:gridCol w:w="861"/>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42" w:type="dxa"/>
            <w:tcBorders>
              <w:top w:val="nil"/>
            </w:tcBorders>
            <w:vAlign w:val="top"/>
          </w:tcPr>
          <w:p>
            <w:pPr>
              <w:pStyle w:val="6"/>
              <w:spacing w:before="90" w:line="224" w:lineRule="auto"/>
              <w:ind w:left="109"/>
            </w:pPr>
            <w:r>
              <w:rPr>
                <w:spacing w:val="1"/>
                <w14:textOutline w14:w="2960" w14:cap="sq" w14:cmpd="sng">
                  <w14:solidFill>
                    <w14:srgbClr w14:val="000000"/>
                  </w14:solidFill>
                  <w14:prstDash w14:val="solid"/>
                  <w14:bevel/>
                </w14:textOutline>
              </w:rPr>
              <w:t>专业</w:t>
            </w:r>
          </w:p>
        </w:tc>
        <w:tc>
          <w:tcPr>
            <w:tcW w:w="489" w:type="dxa"/>
            <w:tcBorders>
              <w:top w:val="nil"/>
            </w:tcBorders>
            <w:vAlign w:val="top"/>
          </w:tcPr>
          <w:p>
            <w:pPr>
              <w:pStyle w:val="6"/>
              <w:spacing w:before="90" w:line="224" w:lineRule="auto"/>
              <w:ind w:left="80"/>
            </w:pPr>
            <w:r>
              <w:rPr>
                <w:spacing w:val="2"/>
                <w14:textOutline w14:w="2960" w14:cap="sq" w14:cmpd="sng">
                  <w14:solidFill>
                    <w14:srgbClr w14:val="000000"/>
                  </w14:solidFill>
                  <w14:prstDash w14:val="solid"/>
                  <w14:bevel/>
                </w14:textOutline>
              </w:rPr>
              <w:t>序号</w:t>
            </w:r>
          </w:p>
        </w:tc>
        <w:tc>
          <w:tcPr>
            <w:tcW w:w="974" w:type="dxa"/>
            <w:tcBorders>
              <w:top w:val="nil"/>
            </w:tcBorders>
            <w:vAlign w:val="top"/>
          </w:tcPr>
          <w:p>
            <w:pPr>
              <w:pStyle w:val="6"/>
              <w:spacing w:before="1" w:line="221" w:lineRule="auto"/>
              <w:ind w:left="76" w:right="65"/>
            </w:pPr>
            <w:r>
              <w:rPr>
                <w:spacing w:val="4"/>
                <w14:textOutline w14:w="2960" w14:cap="sq" w14:cmpd="sng">
                  <w14:solidFill>
                    <w14:srgbClr w14:val="000000"/>
                  </w14:solidFill>
                  <w14:prstDash w14:val="solid"/>
                  <w14:bevel/>
                </w14:textOutline>
              </w:rPr>
              <w:t>核查表中检</w:t>
            </w:r>
            <w:r>
              <w:rPr>
                <w:spacing w:val="1"/>
              </w:rPr>
              <w:t xml:space="preserve"> </w:t>
            </w:r>
            <w:r>
              <w:rPr>
                <w:spacing w:val="4"/>
                <w14:textOutline w14:w="2960" w14:cap="sq" w14:cmpd="sng">
                  <w14:solidFill>
                    <w14:srgbClr w14:val="000000"/>
                  </w14:solidFill>
                  <w14:prstDash w14:val="solid"/>
                  <w14:bevel/>
                </w14:textOutline>
              </w:rPr>
              <w:t>查内容序号</w:t>
            </w:r>
          </w:p>
        </w:tc>
        <w:tc>
          <w:tcPr>
            <w:tcW w:w="3566" w:type="dxa"/>
            <w:tcBorders>
              <w:top w:val="nil"/>
            </w:tcBorders>
            <w:vAlign w:val="top"/>
          </w:tcPr>
          <w:p>
            <w:pPr>
              <w:pStyle w:val="6"/>
              <w:spacing w:before="90" w:line="225" w:lineRule="auto"/>
              <w:ind w:left="1472"/>
            </w:pPr>
            <w:r>
              <w:rPr>
                <w:spacing w:val="-1"/>
                <w14:textOutline w14:w="2960" w14:cap="sq" w14:cmpd="sng">
                  <w14:solidFill>
                    <w14:srgbClr w14:val="000000"/>
                  </w14:solidFill>
                  <w14:prstDash w14:val="solid"/>
                  <w14:bevel/>
                </w14:textOutline>
              </w:rPr>
              <w:t>问题描述</w:t>
            </w:r>
          </w:p>
        </w:tc>
        <w:tc>
          <w:tcPr>
            <w:tcW w:w="4751" w:type="dxa"/>
            <w:tcBorders>
              <w:top w:val="nil"/>
            </w:tcBorders>
            <w:vAlign w:val="top"/>
          </w:tcPr>
          <w:p>
            <w:pPr>
              <w:pStyle w:val="6"/>
              <w:spacing w:before="90" w:line="223" w:lineRule="auto"/>
              <w:ind w:left="2050"/>
            </w:pPr>
            <w:r>
              <w:rPr>
                <w:spacing w:val="4"/>
                <w14:textOutline w14:w="2960" w14:cap="sq" w14:cmpd="sng">
                  <w14:solidFill>
                    <w14:srgbClr w14:val="000000"/>
                  </w14:solidFill>
                  <w14:prstDash w14:val="solid"/>
                  <w14:bevel/>
                </w14:textOutline>
              </w:rPr>
              <w:t>整改建议</w:t>
            </w:r>
          </w:p>
        </w:tc>
        <w:tc>
          <w:tcPr>
            <w:tcW w:w="957" w:type="dxa"/>
            <w:vAlign w:val="top"/>
          </w:tcPr>
          <w:p>
            <w:pPr>
              <w:pStyle w:val="6"/>
              <w:spacing w:before="31" w:line="214" w:lineRule="auto"/>
              <w:ind w:left="403" w:right="50" w:hanging="331"/>
              <w:jc w:val="center"/>
              <w:rPr>
                <w:rFonts w:hint="eastAsia"/>
                <w:spacing w:val="4"/>
                <w:lang w:eastAsia="zh-CN"/>
                <w14:textOutline w14:w="2960" w14:cap="sq" w14:cmpd="sng">
                  <w14:solidFill>
                    <w14:srgbClr w14:val="000000"/>
                  </w14:solidFill>
                  <w14:prstDash w14:val="solid"/>
                  <w14:bevel/>
                </w14:textOutline>
              </w:rPr>
            </w:pPr>
            <w:r>
              <w:rPr>
                <w:spacing w:val="4"/>
                <w14:textOutline w14:w="2960" w14:cap="sq" w14:cmpd="sng">
                  <w14:solidFill>
                    <w14:srgbClr w14:val="000000"/>
                  </w14:solidFill>
                  <w14:prstDash w14:val="solid"/>
                  <w14:bevel/>
                </w14:textOutline>
              </w:rPr>
              <w:t>文件</w:t>
            </w:r>
            <w:r>
              <w:rPr>
                <w:rFonts w:hint="eastAsia"/>
                <w:spacing w:val="4"/>
                <w:lang w:eastAsia="zh-CN"/>
                <w14:textOutline w14:w="2960" w14:cap="sq" w14:cmpd="sng">
                  <w14:solidFill>
                    <w14:srgbClr w14:val="000000"/>
                  </w14:solidFill>
                  <w14:prstDash w14:val="solid"/>
                  <w14:bevel/>
                </w14:textOutline>
              </w:rPr>
              <w:t>类</w:t>
            </w:r>
          </w:p>
          <w:p>
            <w:pPr>
              <w:pStyle w:val="6"/>
              <w:spacing w:before="31" w:line="214" w:lineRule="auto"/>
              <w:ind w:left="403" w:right="50" w:hanging="331"/>
              <w:jc w:val="center"/>
            </w:pPr>
            <w:r>
              <w:rPr>
                <w:spacing w:val="4"/>
                <w14:textOutline w14:w="2960" w14:cap="sq" w14:cmpd="sng">
                  <w14:solidFill>
                    <w14:srgbClr w14:val="000000"/>
                  </w14:solidFill>
                  <w14:prstDash w14:val="solid"/>
                  <w14:bevel/>
                </w14:textOutline>
              </w:rPr>
              <w:t>资料</w:t>
            </w:r>
            <w:r>
              <w:rPr>
                <w14:textOutline w14:w="2960" w14:cap="sq" w14:cmpd="sng">
                  <w14:solidFill>
                    <w14:srgbClr w14:val="000000"/>
                  </w14:solidFill>
                  <w14:prstDash w14:val="solid"/>
                  <w14:bevel/>
                </w14:textOutline>
              </w:rPr>
              <w:t>类</w:t>
            </w:r>
          </w:p>
        </w:tc>
        <w:tc>
          <w:tcPr>
            <w:tcW w:w="1091" w:type="dxa"/>
            <w:vAlign w:val="top"/>
          </w:tcPr>
          <w:p>
            <w:pPr>
              <w:pStyle w:val="6"/>
              <w:spacing w:before="196" w:line="223" w:lineRule="auto"/>
              <w:ind w:left="304"/>
            </w:pPr>
            <w:r>
              <w:rPr>
                <w:spacing w:val="3"/>
                <w14:textOutline w14:w="2960" w14:cap="sq" w14:cmpd="sng">
                  <w14:solidFill>
                    <w14:srgbClr w14:val="000000"/>
                  </w14:solidFill>
                  <w14:prstDash w14:val="solid"/>
                  <w14:bevel/>
                </w14:textOutline>
              </w:rPr>
              <w:t>执行类</w:t>
            </w:r>
          </w:p>
        </w:tc>
        <w:tc>
          <w:tcPr>
            <w:tcW w:w="861" w:type="dxa"/>
            <w:vAlign w:val="top"/>
          </w:tcPr>
          <w:p>
            <w:pPr>
              <w:pStyle w:val="6"/>
              <w:spacing w:before="196" w:line="223" w:lineRule="auto"/>
              <w:ind w:left="193"/>
            </w:pPr>
            <w:r>
              <w:rPr>
                <w:spacing w:val="3"/>
                <w14:textOutline w14:w="2960" w14:cap="sq" w14:cmpd="sng">
                  <w14:solidFill>
                    <w14:srgbClr w14:val="000000"/>
                  </w14:solidFill>
                  <w14:prstDash w14:val="solid"/>
                  <w14:bevel/>
                </w14:textOutline>
              </w:rPr>
              <w:t>现场类</w:t>
            </w:r>
          </w:p>
        </w:tc>
        <w:tc>
          <w:tcPr>
            <w:tcW w:w="1451" w:type="dxa"/>
            <w:tcBorders>
              <w:top w:val="nil"/>
            </w:tcBorders>
            <w:vAlign w:val="top"/>
          </w:tcPr>
          <w:p>
            <w:pPr>
              <w:pStyle w:val="6"/>
              <w:spacing w:before="84" w:line="229" w:lineRule="auto"/>
              <w:ind w:left="655"/>
              <w:rPr>
                <w:sz w:val="17"/>
                <w:szCs w:val="17"/>
              </w:rPr>
            </w:pPr>
            <w:r>
              <w:rPr>
                <w:sz w:val="17"/>
                <w:szCs w:val="17"/>
                <w14:textOutline w14:w="3130" w14:cap="sq" w14:cmpd="sng">
                  <w14:solidFill>
                    <w14:srgbClr w14:val="000000"/>
                  </w14:solidFill>
                  <w14:prstDash w14:val="solid"/>
                  <w14:bevel/>
                </w14:textOutline>
              </w:rPr>
              <w:t>患</w:t>
            </w:r>
          </w:p>
          <w:p>
            <w:pPr>
              <w:pStyle w:val="6"/>
              <w:spacing w:line="186" w:lineRule="auto"/>
              <w:ind w:left="689"/>
              <w:rPr>
                <w:sz w:val="17"/>
                <w:szCs w:val="17"/>
              </w:rPr>
            </w:pPr>
            <w:r>
              <w:rPr>
                <w:sz w:val="17"/>
                <w:szCs w:val="17"/>
                <w14:textOutline w14:w="3130" w14:cap="sq" w14:cmpd="sng">
                  <w14:solidFill>
                    <w14:srgbClr w14:val="000000"/>
                  </w14:solidFill>
                  <w14:prstDash w14:val="solid"/>
                  <w14:bevel/>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4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4" w:lineRule="auto"/>
              <w:ind w:left="111"/>
            </w:pPr>
            <w:r>
              <w:rPr>
                <w14:textOutline w14:w="2960" w14:cap="sq" w14:cmpd="sng">
                  <w14:solidFill>
                    <w14:srgbClr w14:val="000000"/>
                  </w14:solidFill>
                  <w14:prstDash w14:val="solid"/>
                  <w14:bevel/>
                </w14:textOutline>
              </w:rPr>
              <w:t>设计</w:t>
            </w:r>
          </w:p>
          <w:p>
            <w:pPr>
              <w:pStyle w:val="6"/>
              <w:spacing w:before="9" w:line="225" w:lineRule="auto"/>
              <w:ind w:left="112"/>
            </w:pPr>
            <w:r>
              <w:rPr>
                <w14:textOutline w14:w="2960" w14:cap="sq" w14:cmpd="sng">
                  <w14:solidFill>
                    <w14:srgbClr w14:val="000000"/>
                  </w14:solidFill>
                  <w14:prstDash w14:val="solid"/>
                  <w14:bevel/>
                </w14:textOutline>
              </w:rPr>
              <w:t>与总</w:t>
            </w:r>
          </w:p>
          <w:p>
            <w:pPr>
              <w:pStyle w:val="6"/>
              <w:spacing w:before="7" w:line="224" w:lineRule="auto"/>
              <w:ind w:left="209"/>
            </w:pPr>
            <w:r>
              <w:rPr>
                <w14:textOutline w14:w="2960" w14:cap="sq" w14:cmpd="sng">
                  <w14:solidFill>
                    <w14:srgbClr w14:val="000000"/>
                  </w14:solidFill>
                  <w14:prstDash w14:val="solid"/>
                  <w14:bevel/>
                </w14:textOutline>
              </w:rPr>
              <w:t>图</w:t>
            </w:r>
          </w:p>
        </w:tc>
        <w:tc>
          <w:tcPr>
            <w:tcW w:w="489" w:type="dxa"/>
            <w:vAlign w:val="top"/>
          </w:tcPr>
          <w:p>
            <w:pPr>
              <w:pStyle w:val="6"/>
              <w:spacing w:before="156" w:line="186" w:lineRule="auto"/>
              <w:ind w:left="178"/>
            </w:pPr>
            <w:r>
              <w:rPr>
                <w:spacing w:val="-8"/>
              </w:rPr>
              <w:t>15</w:t>
            </w:r>
          </w:p>
        </w:tc>
        <w:tc>
          <w:tcPr>
            <w:tcW w:w="974" w:type="dxa"/>
            <w:vAlign w:val="top"/>
          </w:tcPr>
          <w:p>
            <w:pPr>
              <w:pStyle w:val="6"/>
              <w:spacing w:before="156" w:line="186" w:lineRule="auto"/>
              <w:ind w:left="285"/>
            </w:pPr>
            <w:r>
              <w:t>2.2.1</w:t>
            </w:r>
          </w:p>
        </w:tc>
        <w:tc>
          <w:tcPr>
            <w:tcW w:w="3566" w:type="dxa"/>
            <w:vAlign w:val="top"/>
          </w:tcPr>
          <w:p>
            <w:pPr>
              <w:pStyle w:val="6"/>
              <w:spacing w:before="31" w:line="214" w:lineRule="auto"/>
              <w:ind w:left="35" w:right="20" w:firstLine="2"/>
            </w:pPr>
            <w:r>
              <w:rPr>
                <w:spacing w:val="6"/>
              </w:rPr>
              <w:t>总平面布置图中未标识化验室西南侧储存间、新建控制室及危废间、润滑油间等。</w:t>
            </w:r>
          </w:p>
        </w:tc>
        <w:tc>
          <w:tcPr>
            <w:tcW w:w="4751" w:type="dxa"/>
            <w:vAlign w:val="top"/>
          </w:tcPr>
          <w:p>
            <w:pPr>
              <w:pStyle w:val="6"/>
              <w:spacing w:before="131" w:line="223" w:lineRule="auto"/>
              <w:ind w:left="36"/>
            </w:pPr>
            <w:r>
              <w:rPr>
                <w:spacing w:val="3"/>
              </w:rPr>
              <w:t>联系设计单位整改。</w:t>
            </w:r>
          </w:p>
        </w:tc>
        <w:tc>
          <w:tcPr>
            <w:tcW w:w="957" w:type="dxa"/>
            <w:vAlign w:val="top"/>
          </w:tcPr>
          <w:p>
            <w:pPr>
              <w:rPr>
                <w:rFonts w:ascii="Arial"/>
                <w:sz w:val="21"/>
              </w:rPr>
            </w:pPr>
          </w:p>
        </w:tc>
        <w:tc>
          <w:tcPr>
            <w:tcW w:w="1091" w:type="dxa"/>
            <w:vAlign w:val="top"/>
          </w:tcPr>
          <w:p>
            <w:pPr>
              <w:pStyle w:val="6"/>
              <w:spacing w:before="131"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7"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2" w:line="186" w:lineRule="auto"/>
              <w:ind w:left="178"/>
            </w:pPr>
            <w:r>
              <w:rPr>
                <w:spacing w:val="-8"/>
              </w:rPr>
              <w:t>16</w:t>
            </w:r>
          </w:p>
        </w:tc>
        <w:tc>
          <w:tcPr>
            <w:tcW w:w="97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52" w:line="186" w:lineRule="auto"/>
              <w:ind w:left="287"/>
            </w:pPr>
            <w:r>
              <w:t>2.1.4</w:t>
            </w:r>
          </w:p>
        </w:tc>
        <w:tc>
          <w:tcPr>
            <w:tcW w:w="3566"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4"/>
                <w:kern w:val="0"/>
                <w:sz w:val="16"/>
                <w:szCs w:val="16"/>
                <w:lang w:val="en-US" w:eastAsia="en-US" w:bidi="ar-SA"/>
              </w:rPr>
            </w:pPr>
            <w:r>
              <w:rPr>
                <w:rFonts w:hint="eastAsia" w:ascii="宋体" w:hAnsi="宋体" w:eastAsia="宋体" w:cs="宋体"/>
                <w:snapToGrid w:val="0"/>
                <w:color w:val="000000"/>
                <w:spacing w:val="4"/>
                <w:kern w:val="0"/>
                <w:sz w:val="16"/>
                <w:szCs w:val="16"/>
                <w:lang w:val="en-US" w:eastAsia="en-US" w:bidi="ar-SA"/>
              </w:rPr>
              <w:t>1.2019年精细化学品系列产品项目安全设计专篇、竣工验收评价报告的流程、运输、上下游关系均提出装置采用氢氟酸/硫酸作为催化剂，项目开工至今仅采用氢氟酸作为催化剂，无设计相关变更。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4"/>
                <w:kern w:val="0"/>
                <w:sz w:val="16"/>
                <w:szCs w:val="16"/>
                <w:lang w:val="en-US" w:eastAsia="en-US" w:bidi="ar-SA"/>
              </w:rPr>
            </w:pPr>
            <w:r>
              <w:rPr>
                <w:rFonts w:hint="eastAsia" w:ascii="宋体" w:hAnsi="宋体" w:eastAsia="宋体" w:cs="宋体"/>
                <w:snapToGrid w:val="0"/>
                <w:color w:val="000000"/>
                <w:spacing w:val="4"/>
                <w:kern w:val="0"/>
                <w:sz w:val="16"/>
                <w:szCs w:val="16"/>
                <w:lang w:val="en-US" w:eastAsia="en-US" w:bidi="ar-SA"/>
              </w:rPr>
              <w:t>2.2022年精细化学品系列产品项目填平补齐技术改造项目的安全竣工验收评价报告中，评价范围把停用的铵盐蒸发结晶装置纳入了评价范围，且变更说明中无铵盐结晶装置停用的说明；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4"/>
                <w:kern w:val="0"/>
                <w:sz w:val="16"/>
                <w:szCs w:val="16"/>
                <w:lang w:val="en-US" w:eastAsia="en-US" w:bidi="ar-SA"/>
              </w:rPr>
            </w:pPr>
            <w:r>
              <w:rPr>
                <w:rFonts w:hint="eastAsia" w:ascii="宋体" w:hAnsi="宋体" w:eastAsia="宋体" w:cs="宋体"/>
                <w:snapToGrid w:val="0"/>
                <w:color w:val="000000"/>
                <w:spacing w:val="4"/>
                <w:kern w:val="0"/>
                <w:sz w:val="16"/>
                <w:szCs w:val="16"/>
                <w:lang w:val="en-US" w:eastAsia="en-US" w:bidi="ar-SA"/>
              </w:rPr>
              <w:t>3.未按安全设计专篇要求对重质烷基芳烃切分塔设置液位高低报警进行核查，且DCS上塔底也未设置液位报警，塔顶仅设置低液位报警。</w:t>
            </w:r>
          </w:p>
          <w:p>
            <w:pPr>
              <w:pStyle w:val="6"/>
              <w:spacing w:before="9" w:line="230" w:lineRule="auto"/>
              <w:ind w:left="36" w:right="20"/>
              <w:jc w:val="both"/>
            </w:pPr>
          </w:p>
        </w:tc>
        <w:tc>
          <w:tcPr>
            <w:tcW w:w="4751"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52" w:line="227" w:lineRule="auto"/>
              <w:ind w:right="294"/>
            </w:pPr>
            <w:r>
              <w:rPr>
                <w:spacing w:val="3"/>
              </w:rPr>
              <w:t>1.按照设计情况进行竣工验收，联系设计单位</w:t>
            </w:r>
            <w:r>
              <w:rPr>
                <w:spacing w:val="2"/>
              </w:rPr>
              <w:t>开展设计变更。</w:t>
            </w:r>
            <w:r>
              <w:t xml:space="preserve"> </w:t>
            </w:r>
            <w:r>
              <w:rPr>
                <w:spacing w:val="4"/>
              </w:rPr>
              <w:t>2.按照实际进行验收，依照审查的安全设计</w:t>
            </w:r>
            <w:r>
              <w:rPr>
                <w:spacing w:val="3"/>
              </w:rPr>
              <w:t>专篇执行。</w:t>
            </w:r>
          </w:p>
        </w:tc>
        <w:tc>
          <w:tcPr>
            <w:tcW w:w="957" w:type="dxa"/>
            <w:vAlign w:val="top"/>
          </w:tcPr>
          <w:p>
            <w:pPr>
              <w:rPr>
                <w:rFonts w:ascii="Arial"/>
                <w:sz w:val="21"/>
              </w:rPr>
            </w:pPr>
          </w:p>
        </w:tc>
        <w:tc>
          <w:tcPr>
            <w:tcW w:w="109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542" w:type="dxa"/>
            <w:vMerge w:val="continue"/>
            <w:tcBorders>
              <w:top w:val="nil"/>
            </w:tcBorders>
            <w:vAlign w:val="top"/>
          </w:tcPr>
          <w:p>
            <w:pPr>
              <w:rPr>
                <w:rFonts w:ascii="Arial"/>
                <w:sz w:val="21"/>
              </w:rPr>
            </w:pPr>
          </w:p>
        </w:tc>
        <w:tc>
          <w:tcPr>
            <w:tcW w:w="489" w:type="dxa"/>
            <w:vAlign w:val="top"/>
          </w:tcPr>
          <w:p>
            <w:pPr>
              <w:pStyle w:val="6"/>
              <w:spacing w:before="273" w:line="186" w:lineRule="auto"/>
              <w:ind w:left="178"/>
            </w:pPr>
            <w:r>
              <w:rPr>
                <w:spacing w:val="-8"/>
              </w:rPr>
              <w:t>17</w:t>
            </w:r>
          </w:p>
        </w:tc>
        <w:tc>
          <w:tcPr>
            <w:tcW w:w="974" w:type="dxa"/>
            <w:vAlign w:val="top"/>
          </w:tcPr>
          <w:p>
            <w:pPr>
              <w:pStyle w:val="6"/>
              <w:spacing w:before="273" w:line="186" w:lineRule="auto"/>
              <w:ind w:left="287"/>
            </w:pPr>
            <w:r>
              <w:t>2.1.4</w:t>
            </w:r>
          </w:p>
        </w:tc>
        <w:tc>
          <w:tcPr>
            <w:tcW w:w="3566" w:type="dxa"/>
            <w:vAlign w:val="top"/>
          </w:tcPr>
          <w:p>
            <w:pPr>
              <w:pStyle w:val="6"/>
              <w:spacing w:before="145" w:line="228" w:lineRule="auto"/>
              <w:ind w:left="33" w:right="20" w:firstLine="3"/>
            </w:pPr>
            <w:r>
              <w:rPr>
                <w:spacing w:val="10"/>
              </w:rPr>
              <w:t>未提供2022年填平补齐技术改造项目的竣工版或施工版流程图、配管图。</w:t>
            </w:r>
          </w:p>
        </w:tc>
        <w:tc>
          <w:tcPr>
            <w:tcW w:w="4751" w:type="dxa"/>
            <w:vAlign w:val="top"/>
          </w:tcPr>
          <w:p>
            <w:pPr>
              <w:pStyle w:val="6"/>
              <w:spacing w:before="247" w:line="223" w:lineRule="auto"/>
              <w:ind w:left="36"/>
            </w:pPr>
            <w:r>
              <w:rPr>
                <w:spacing w:val="3"/>
              </w:rPr>
              <w:t>联系设计单位完善相关图纸。</w:t>
            </w:r>
          </w:p>
        </w:tc>
        <w:tc>
          <w:tcPr>
            <w:tcW w:w="957" w:type="dxa"/>
            <w:vAlign w:val="top"/>
          </w:tcPr>
          <w:p>
            <w:pPr>
              <w:pStyle w:val="6"/>
              <w:spacing w:before="247" w:line="242" w:lineRule="auto"/>
              <w:ind w:left="446"/>
            </w:pPr>
            <w:r>
              <w:t>√</w:t>
            </w:r>
          </w:p>
        </w:tc>
        <w:tc>
          <w:tcPr>
            <w:tcW w:w="1091" w:type="dxa"/>
            <w:vAlign w:val="top"/>
          </w:tcPr>
          <w:p>
            <w:pPr>
              <w:rPr>
                <w:rFonts w:ascii="Arial"/>
                <w:sz w:val="21"/>
              </w:rPr>
            </w:pP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542" w:type="dxa"/>
            <w:vMerge w:val="restart"/>
            <w:tcBorders>
              <w:bottom w:val="nil"/>
            </w:tcBorders>
            <w:vAlign w:val="top"/>
          </w:tcPr>
          <w:p>
            <w:pPr>
              <w:rPr>
                <w:rFonts w:ascii="Arial"/>
                <w:sz w:val="21"/>
              </w:rPr>
            </w:pPr>
          </w:p>
        </w:tc>
        <w:tc>
          <w:tcPr>
            <w:tcW w:w="489" w:type="dxa"/>
            <w:vAlign w:val="top"/>
          </w:tcPr>
          <w:p>
            <w:pPr>
              <w:pStyle w:val="6"/>
              <w:spacing w:before="267" w:line="186" w:lineRule="auto"/>
              <w:ind w:left="178"/>
            </w:pPr>
            <w:r>
              <w:rPr>
                <w:spacing w:val="-8"/>
              </w:rPr>
              <w:t>18</w:t>
            </w:r>
          </w:p>
        </w:tc>
        <w:tc>
          <w:tcPr>
            <w:tcW w:w="974" w:type="dxa"/>
            <w:vAlign w:val="top"/>
          </w:tcPr>
          <w:p>
            <w:pPr>
              <w:pStyle w:val="6"/>
              <w:spacing w:before="267" w:line="186" w:lineRule="auto"/>
              <w:ind w:left="288"/>
            </w:pPr>
            <w:r>
              <w:t>3.1.1</w:t>
            </w:r>
          </w:p>
        </w:tc>
        <w:tc>
          <w:tcPr>
            <w:tcW w:w="3566"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snapToGrid w:val="0"/>
                <w:color w:val="000000"/>
                <w:spacing w:val="10"/>
                <w:kern w:val="0"/>
                <w:sz w:val="16"/>
                <w:szCs w:val="16"/>
                <w:lang w:val="en-US" w:eastAsia="en-US" w:bidi="ar-SA"/>
              </w:rPr>
              <w:t>HAZOP分析报告中，静态反应沉降槽（V-10202）仅分析偏离—液位过低或过高，未对压力、温度等关键工艺参数开展相关分析。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spacing w:before="40" w:line="220" w:lineRule="auto"/>
              <w:ind w:left="32" w:right="20" w:hanging="2"/>
            </w:pPr>
          </w:p>
        </w:tc>
        <w:tc>
          <w:tcPr>
            <w:tcW w:w="4751" w:type="dxa"/>
            <w:vAlign w:val="top"/>
          </w:tcPr>
          <w:p>
            <w:pPr>
              <w:pStyle w:val="6"/>
              <w:spacing w:before="8" w:line="221" w:lineRule="auto"/>
              <w:ind w:left="39"/>
            </w:pPr>
            <w:r>
              <w:rPr>
                <w:spacing w:val="3"/>
              </w:rPr>
              <w:t>按 照《危险与可操作性分析(HAZOP分析）应用指南》（GB/T35320-2017）第6.5条的要求，完善HAZOP分析报告内容。</w:t>
            </w:r>
          </w:p>
        </w:tc>
        <w:tc>
          <w:tcPr>
            <w:tcW w:w="957" w:type="dxa"/>
            <w:vAlign w:val="top"/>
          </w:tcPr>
          <w:p>
            <w:pPr>
              <w:rPr>
                <w:rFonts w:ascii="Arial"/>
                <w:sz w:val="21"/>
              </w:rPr>
            </w:pPr>
          </w:p>
        </w:tc>
        <w:tc>
          <w:tcPr>
            <w:tcW w:w="1091" w:type="dxa"/>
            <w:vAlign w:val="top"/>
          </w:tcPr>
          <w:p>
            <w:pPr>
              <w:pStyle w:val="6"/>
              <w:spacing w:before="241"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424" w:lineRule="auto"/>
              <w:rPr>
                <w:rFonts w:ascii="Arial"/>
                <w:sz w:val="21"/>
              </w:rPr>
            </w:pPr>
          </w:p>
          <w:p>
            <w:pPr>
              <w:pStyle w:val="6"/>
              <w:spacing w:before="52" w:line="186" w:lineRule="auto"/>
              <w:ind w:left="178"/>
            </w:pPr>
            <w:r>
              <w:rPr>
                <w:spacing w:val="-8"/>
              </w:rPr>
              <w:t>19</w:t>
            </w:r>
          </w:p>
        </w:tc>
        <w:tc>
          <w:tcPr>
            <w:tcW w:w="974" w:type="dxa"/>
            <w:vAlign w:val="top"/>
          </w:tcPr>
          <w:p>
            <w:pPr>
              <w:spacing w:line="424" w:lineRule="auto"/>
              <w:rPr>
                <w:rFonts w:ascii="Arial"/>
                <w:sz w:val="21"/>
              </w:rPr>
            </w:pPr>
          </w:p>
          <w:p>
            <w:pPr>
              <w:pStyle w:val="6"/>
              <w:spacing w:before="52" w:line="186" w:lineRule="auto"/>
              <w:ind w:left="288"/>
            </w:pPr>
            <w:r>
              <w:t>3.1.1</w:t>
            </w:r>
          </w:p>
        </w:tc>
        <w:tc>
          <w:tcPr>
            <w:tcW w:w="3566" w:type="dxa"/>
            <w:vAlign w:val="top"/>
          </w:tcPr>
          <w:p>
            <w:pPr>
              <w:pStyle w:val="6"/>
              <w:spacing w:before="49" w:line="231" w:lineRule="auto"/>
              <w:ind w:left="35" w:right="20"/>
              <w:jc w:val="both"/>
            </w:pPr>
            <w:r>
              <w:rPr>
                <w:spacing w:val="4"/>
              </w:rPr>
              <w:t>《设计诊断报告（2022.11）》问题清单中“</w:t>
            </w:r>
            <w:r>
              <w:rPr>
                <w:spacing w:val="-41"/>
              </w:rPr>
              <w:t xml:space="preserve"> </w:t>
            </w:r>
            <w:r>
              <w:rPr>
                <w:spacing w:val="4"/>
              </w:rPr>
              <w:t>甲</w:t>
            </w:r>
            <w:r>
              <w:t xml:space="preserve"> </w:t>
            </w:r>
            <w:r>
              <w:rPr>
                <w:spacing w:val="10"/>
              </w:rPr>
              <w:t>醇储罐无</w:t>
            </w:r>
            <w:r>
              <w:t>HAZOP</w:t>
            </w:r>
            <w:r>
              <w:rPr>
                <w:spacing w:val="10"/>
              </w:rPr>
              <w:t>分析</w:t>
            </w:r>
            <w:r>
              <w:rPr>
                <w:spacing w:val="-41"/>
              </w:rPr>
              <w:t xml:space="preserve"> </w:t>
            </w:r>
            <w:r>
              <w:rPr>
                <w:spacing w:val="10"/>
              </w:rPr>
              <w:t>”，作为问题已整改，实际</w:t>
            </w:r>
            <w:r>
              <w:rPr>
                <w:spacing w:val="-1"/>
              </w:rPr>
              <w:t>上HAZOP分析报告（2021.04.09）对甲醇罐</w:t>
            </w:r>
            <w:r>
              <w:rPr>
                <w:spacing w:val="10"/>
              </w:rPr>
              <w:t>（V10106）液位、压力等偏离开展了</w:t>
            </w:r>
            <w:r>
              <w:t>HAZOP</w:t>
            </w:r>
            <w:r>
              <w:rPr>
                <w:spacing w:val="10"/>
              </w:rPr>
              <w:t>分析</w:t>
            </w:r>
            <w:r>
              <w:rPr>
                <w:position w:val="1"/>
              </w:rPr>
              <w:t>。</w:t>
            </w:r>
          </w:p>
        </w:tc>
        <w:tc>
          <w:tcPr>
            <w:tcW w:w="4751" w:type="dxa"/>
            <w:vAlign w:val="top"/>
          </w:tcPr>
          <w:p>
            <w:pPr>
              <w:spacing w:line="298" w:lineRule="auto"/>
              <w:rPr>
                <w:rFonts w:ascii="Arial"/>
                <w:sz w:val="21"/>
              </w:rPr>
            </w:pPr>
          </w:p>
          <w:p>
            <w:pPr>
              <w:pStyle w:val="6"/>
              <w:spacing w:before="52" w:line="229" w:lineRule="auto"/>
              <w:ind w:left="37" w:right="16" w:hanging="1"/>
            </w:pPr>
            <w:r>
              <w:rPr>
                <w:spacing w:val="9"/>
              </w:rPr>
              <w:t>提升企业对</w:t>
            </w:r>
            <w:r>
              <w:t>HAZOP</w:t>
            </w:r>
            <w:r>
              <w:rPr>
                <w:spacing w:val="9"/>
              </w:rPr>
              <w:t>分析的重视程度，</w:t>
            </w:r>
            <w:r>
              <w:rPr>
                <w:spacing w:val="9"/>
                <w14:textOutline w14:w="2960" w14:cap="sq" w14:cmpd="sng">
                  <w14:solidFill>
                    <w14:srgbClr w14:val="000000"/>
                  </w14:solidFill>
                  <w14:prstDash w14:val="solid"/>
                  <w14:bevel/>
                </w14:textOutline>
              </w:rPr>
              <w:t>做好培训</w:t>
            </w:r>
            <w:r>
              <w:rPr>
                <w:spacing w:val="9"/>
              </w:rPr>
              <w:t>，提高</w:t>
            </w:r>
            <w:r>
              <w:t>HAZOP</w:t>
            </w:r>
            <w:r>
              <w:rPr>
                <w:spacing w:val="9"/>
              </w:rPr>
              <w:t>分析能</w:t>
            </w:r>
            <w:r>
              <w:t xml:space="preserve"> </w:t>
            </w:r>
            <w:r>
              <w:rPr>
                <w:spacing w:val="4"/>
              </w:rPr>
              <w:t>力。专业技术人员要参与</w:t>
            </w:r>
            <w:r>
              <w:t>HAZOP</w:t>
            </w:r>
            <w:r>
              <w:rPr>
                <w:spacing w:val="4"/>
              </w:rPr>
              <w:t>分析，做好资料的审核工作。</w:t>
            </w:r>
          </w:p>
        </w:tc>
        <w:tc>
          <w:tcPr>
            <w:tcW w:w="957" w:type="dxa"/>
            <w:vAlign w:val="top"/>
          </w:tcPr>
          <w:p>
            <w:pPr>
              <w:rPr>
                <w:rFonts w:ascii="Arial"/>
                <w:sz w:val="21"/>
              </w:rPr>
            </w:pPr>
          </w:p>
        </w:tc>
        <w:tc>
          <w:tcPr>
            <w:tcW w:w="1091" w:type="dxa"/>
            <w:vAlign w:val="top"/>
          </w:tcPr>
          <w:p>
            <w:pPr>
              <w:spacing w:line="398"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324" w:lineRule="auto"/>
              <w:rPr>
                <w:rFonts w:ascii="Arial"/>
                <w:sz w:val="21"/>
              </w:rPr>
            </w:pPr>
          </w:p>
          <w:p>
            <w:pPr>
              <w:pStyle w:val="6"/>
              <w:spacing w:before="52" w:line="185" w:lineRule="auto"/>
              <w:ind w:left="168"/>
            </w:pPr>
            <w:r>
              <w:rPr>
                <w:spacing w:val="-3"/>
              </w:rPr>
              <w:t>20</w:t>
            </w:r>
          </w:p>
        </w:tc>
        <w:tc>
          <w:tcPr>
            <w:tcW w:w="974" w:type="dxa"/>
            <w:vAlign w:val="top"/>
          </w:tcPr>
          <w:p>
            <w:pPr>
              <w:spacing w:line="323" w:lineRule="auto"/>
              <w:rPr>
                <w:rFonts w:ascii="Arial"/>
                <w:sz w:val="21"/>
              </w:rPr>
            </w:pPr>
          </w:p>
          <w:p>
            <w:pPr>
              <w:pStyle w:val="6"/>
              <w:spacing w:before="52" w:line="186" w:lineRule="auto"/>
              <w:ind w:left="288"/>
            </w:pPr>
            <w:r>
              <w:t>3.2.1</w:t>
            </w:r>
          </w:p>
        </w:tc>
        <w:tc>
          <w:tcPr>
            <w:tcW w:w="3566" w:type="dxa"/>
            <w:vAlign w:val="top"/>
          </w:tcPr>
          <w:p>
            <w:pPr>
              <w:pStyle w:val="6"/>
              <w:spacing w:before="248" w:line="228" w:lineRule="auto"/>
              <w:ind w:left="33" w:right="20"/>
            </w:pPr>
            <w:r>
              <w:rPr>
                <w:spacing w:val="6"/>
              </w:rPr>
              <w:t>操作规程中缺少反应工序异常工况的处置（后果</w:t>
            </w:r>
            <w:r>
              <w:rPr>
                <w:spacing w:val="2"/>
              </w:rPr>
              <w:t>及处置步骤）。</w:t>
            </w:r>
          </w:p>
        </w:tc>
        <w:tc>
          <w:tcPr>
            <w:tcW w:w="4751"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宋体" w:hAnsi="宋体" w:eastAsia="宋体" w:cs="宋体"/>
                <w:snapToGrid w:val="0"/>
                <w:color w:val="000000"/>
                <w:spacing w:val="4"/>
                <w:kern w:val="0"/>
                <w:sz w:val="16"/>
                <w:szCs w:val="16"/>
                <w:lang w:val="en-US" w:eastAsia="en-US" w:bidi="ar-SA"/>
              </w:rPr>
            </w:pPr>
            <w:r>
              <w:rPr>
                <w:rFonts w:ascii="宋体" w:hAnsi="宋体" w:eastAsia="宋体" w:cs="宋体"/>
                <w:snapToGrid w:val="0"/>
                <w:color w:val="000000"/>
                <w:spacing w:val="4"/>
                <w:kern w:val="0"/>
                <w:sz w:val="16"/>
                <w:szCs w:val="16"/>
                <w:lang w:val="en-US" w:eastAsia="en-US" w:bidi="ar-SA"/>
              </w:rPr>
              <w:t>按照《关于加强化工过程安全管理的指导意见》（安监总管三〔 2013〕88号）第（八）条的要求，补充完善反应工序异常工况的处置（后果及处置步骤）。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spacing w:before="148" w:line="230" w:lineRule="auto"/>
              <w:ind w:left="37" w:right="18"/>
              <w:jc w:val="both"/>
            </w:pPr>
          </w:p>
        </w:tc>
        <w:tc>
          <w:tcPr>
            <w:tcW w:w="957" w:type="dxa"/>
            <w:vAlign w:val="top"/>
          </w:tcPr>
          <w:p>
            <w:pPr>
              <w:spacing w:line="297" w:lineRule="auto"/>
              <w:rPr>
                <w:rFonts w:ascii="Arial"/>
                <w:sz w:val="21"/>
              </w:rPr>
            </w:pPr>
          </w:p>
          <w:p>
            <w:pPr>
              <w:pStyle w:val="6"/>
              <w:spacing w:before="52" w:line="242" w:lineRule="auto"/>
              <w:ind w:left="446"/>
            </w:pPr>
            <w:r>
              <w:t>√</w:t>
            </w:r>
          </w:p>
        </w:tc>
        <w:tc>
          <w:tcPr>
            <w:tcW w:w="1091" w:type="dxa"/>
            <w:vAlign w:val="top"/>
          </w:tcPr>
          <w:p>
            <w:pPr>
              <w:rPr>
                <w:rFonts w:ascii="Arial"/>
                <w:sz w:val="21"/>
              </w:rPr>
            </w:pP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2" w:type="dxa"/>
            <w:vMerge w:val="continue"/>
            <w:tcBorders>
              <w:top w:val="nil"/>
              <w:bottom w:val="nil"/>
            </w:tcBorders>
            <w:vAlign w:val="top"/>
          </w:tcPr>
          <w:p>
            <w:pPr>
              <w:rPr>
                <w:rFonts w:ascii="Arial"/>
                <w:sz w:val="21"/>
              </w:rPr>
            </w:pPr>
          </w:p>
        </w:tc>
        <w:tc>
          <w:tcPr>
            <w:tcW w:w="489" w:type="dxa"/>
            <w:vAlign w:val="top"/>
          </w:tcPr>
          <w:p>
            <w:pPr>
              <w:pStyle w:val="6"/>
              <w:spacing w:before="269" w:line="186" w:lineRule="auto"/>
              <w:ind w:left="168"/>
            </w:pPr>
            <w:r>
              <w:rPr>
                <w:spacing w:val="-3"/>
              </w:rPr>
              <w:t>21</w:t>
            </w:r>
          </w:p>
        </w:tc>
        <w:tc>
          <w:tcPr>
            <w:tcW w:w="974" w:type="dxa"/>
            <w:vAlign w:val="top"/>
          </w:tcPr>
          <w:p>
            <w:pPr>
              <w:pStyle w:val="6"/>
              <w:spacing w:before="270" w:line="186" w:lineRule="auto"/>
              <w:ind w:left="288"/>
            </w:pPr>
            <w:r>
              <w:t>3.3.1</w:t>
            </w:r>
          </w:p>
        </w:tc>
        <w:tc>
          <w:tcPr>
            <w:tcW w:w="3566" w:type="dxa"/>
            <w:vAlign w:val="top"/>
          </w:tcPr>
          <w:p>
            <w:pPr>
              <w:pStyle w:val="6"/>
              <w:spacing w:before="143" w:line="228" w:lineRule="auto"/>
              <w:ind w:left="45" w:right="19" w:hanging="10"/>
            </w:pPr>
            <w:r>
              <w:rPr>
                <w:spacing w:val="13"/>
              </w:rPr>
              <w:t>200#尾气中和处理系统现场设置有酸水罐（V-</w:t>
            </w:r>
            <w:r>
              <w:t xml:space="preserve"> </w:t>
            </w:r>
            <w:r>
              <w:rPr>
                <w:spacing w:val="2"/>
              </w:rPr>
              <w:t>10210</w:t>
            </w:r>
            <w:r>
              <w:rPr>
                <w:spacing w:val="14"/>
              </w:rPr>
              <w:t>），</w:t>
            </w:r>
            <w:r>
              <w:rPr>
                <w:spacing w:val="2"/>
              </w:rPr>
              <w:t>P&amp;</w:t>
            </w:r>
            <w:r>
              <w:t>ID</w:t>
            </w:r>
            <w:r>
              <w:rPr>
                <w:spacing w:val="2"/>
              </w:rPr>
              <w:t>图上未体现，未履行变更手续。</w:t>
            </w:r>
          </w:p>
        </w:tc>
        <w:tc>
          <w:tcPr>
            <w:tcW w:w="4751" w:type="dxa"/>
            <w:vAlign w:val="top"/>
          </w:tcPr>
          <w:p>
            <w:pPr>
              <w:pStyle w:val="6"/>
              <w:spacing w:before="42" w:line="228" w:lineRule="auto"/>
              <w:ind w:left="37" w:right="16"/>
            </w:pPr>
            <w:r>
              <w:rPr>
                <w:spacing w:val="6"/>
              </w:rPr>
              <w:t>按照《关于加强化工过程安全管理的指导意见》（安监总管三〔</w:t>
            </w:r>
            <w:r>
              <w:rPr>
                <w:spacing w:val="10"/>
              </w:rPr>
              <w:t xml:space="preserve"> </w:t>
            </w:r>
            <w:r>
              <w:rPr>
                <w:spacing w:val="7"/>
              </w:rPr>
              <w:t>2013〕88号）第（二十三</w:t>
            </w:r>
            <w:r>
              <w:rPr>
                <w:spacing w:val="1"/>
              </w:rPr>
              <w:t>）</w:t>
            </w:r>
            <w:r>
              <w:rPr>
                <w:rFonts w:hint="eastAsia"/>
                <w:spacing w:val="1"/>
                <w:lang w:eastAsia="zh-CN"/>
              </w:rPr>
              <w:t>、</w:t>
            </w:r>
            <w:r>
              <w:rPr>
                <w:spacing w:val="1"/>
              </w:rPr>
              <w:t>（</w:t>
            </w:r>
            <w:r>
              <w:rPr>
                <w:spacing w:val="7"/>
              </w:rPr>
              <w:t>二十四）条的要求，加强变更管理</w:t>
            </w:r>
            <w:r>
              <w:t>。</w:t>
            </w:r>
          </w:p>
        </w:tc>
        <w:tc>
          <w:tcPr>
            <w:tcW w:w="957" w:type="dxa"/>
            <w:vAlign w:val="top"/>
          </w:tcPr>
          <w:p>
            <w:pPr>
              <w:rPr>
                <w:rFonts w:ascii="Arial"/>
                <w:sz w:val="21"/>
              </w:rPr>
            </w:pPr>
          </w:p>
        </w:tc>
        <w:tc>
          <w:tcPr>
            <w:tcW w:w="1091" w:type="dxa"/>
            <w:vAlign w:val="top"/>
          </w:tcPr>
          <w:p>
            <w:pPr>
              <w:pStyle w:val="6"/>
              <w:spacing w:before="244"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42" w:type="dxa"/>
            <w:vMerge w:val="continue"/>
            <w:tcBorders>
              <w:top w:val="nil"/>
              <w:bottom w:val="nil"/>
            </w:tcBorders>
            <w:vAlign w:val="top"/>
          </w:tcPr>
          <w:p>
            <w:pPr>
              <w:rPr>
                <w:rFonts w:ascii="Arial"/>
                <w:sz w:val="21"/>
              </w:rPr>
            </w:pPr>
          </w:p>
        </w:tc>
        <w:tc>
          <w:tcPr>
            <w:tcW w:w="489" w:type="dxa"/>
            <w:vAlign w:val="top"/>
          </w:tcPr>
          <w:p>
            <w:pPr>
              <w:pStyle w:val="6"/>
              <w:spacing w:before="165" w:line="185" w:lineRule="auto"/>
              <w:ind w:left="168"/>
            </w:pPr>
            <w:r>
              <w:rPr>
                <w:spacing w:val="-3"/>
              </w:rPr>
              <w:t>22</w:t>
            </w:r>
          </w:p>
        </w:tc>
        <w:tc>
          <w:tcPr>
            <w:tcW w:w="974" w:type="dxa"/>
            <w:vAlign w:val="top"/>
          </w:tcPr>
          <w:p>
            <w:pPr>
              <w:pStyle w:val="6"/>
              <w:spacing w:before="165" w:line="185" w:lineRule="auto"/>
              <w:ind w:left="288"/>
            </w:pPr>
            <w:r>
              <w:t>3.3.2</w:t>
            </w:r>
          </w:p>
        </w:tc>
        <w:tc>
          <w:tcPr>
            <w:tcW w:w="3566" w:type="dxa"/>
            <w:vAlign w:val="top"/>
          </w:tcPr>
          <w:p>
            <w:pPr>
              <w:pStyle w:val="6"/>
              <w:spacing w:before="39" w:line="209" w:lineRule="auto"/>
              <w:ind w:left="32" w:right="21" w:hanging="1"/>
            </w:pPr>
            <w:r>
              <w:rPr>
                <w:spacing w:val="13"/>
              </w:rPr>
              <w:t>P&amp;ID中显示甲醇罐（V-10106）设有LV10113液位控制阀及高液位联锁，实际上未设置。</w:t>
            </w:r>
          </w:p>
        </w:tc>
        <w:tc>
          <w:tcPr>
            <w:tcW w:w="4751" w:type="dxa"/>
            <w:vAlign w:val="top"/>
          </w:tcPr>
          <w:p>
            <w:pPr>
              <w:pStyle w:val="6"/>
              <w:spacing w:before="39" w:line="209" w:lineRule="auto"/>
              <w:ind w:left="35" w:right="17" w:firstLine="1"/>
            </w:pPr>
            <w:r>
              <w:rPr>
                <w:spacing w:val="6"/>
              </w:rPr>
              <w:t>联系设计单位核实设计文件，确保联系有效，同时做好变更风险评估。</w:t>
            </w:r>
          </w:p>
        </w:tc>
        <w:tc>
          <w:tcPr>
            <w:tcW w:w="957" w:type="dxa"/>
            <w:vAlign w:val="top"/>
          </w:tcPr>
          <w:p>
            <w:pPr>
              <w:rPr>
                <w:rFonts w:ascii="Arial"/>
                <w:sz w:val="21"/>
              </w:rPr>
            </w:pPr>
          </w:p>
        </w:tc>
        <w:tc>
          <w:tcPr>
            <w:tcW w:w="1091" w:type="dxa"/>
            <w:vAlign w:val="top"/>
          </w:tcPr>
          <w:p>
            <w:pPr>
              <w:pStyle w:val="6"/>
              <w:spacing w:before="139"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428" w:lineRule="auto"/>
              <w:rPr>
                <w:rFonts w:ascii="Arial"/>
                <w:sz w:val="21"/>
              </w:rPr>
            </w:pPr>
          </w:p>
          <w:p>
            <w:pPr>
              <w:pStyle w:val="6"/>
              <w:spacing w:before="52" w:line="185" w:lineRule="auto"/>
              <w:ind w:left="168"/>
            </w:pPr>
            <w:r>
              <w:rPr>
                <w:spacing w:val="-3"/>
              </w:rPr>
              <w:t>23</w:t>
            </w:r>
          </w:p>
        </w:tc>
        <w:tc>
          <w:tcPr>
            <w:tcW w:w="974" w:type="dxa"/>
            <w:vAlign w:val="top"/>
          </w:tcPr>
          <w:p>
            <w:pPr>
              <w:spacing w:line="428" w:lineRule="auto"/>
              <w:rPr>
                <w:rFonts w:ascii="Arial"/>
                <w:sz w:val="21"/>
              </w:rPr>
            </w:pPr>
          </w:p>
          <w:p>
            <w:pPr>
              <w:pStyle w:val="6"/>
              <w:spacing w:before="52" w:line="185" w:lineRule="auto"/>
              <w:ind w:left="288"/>
            </w:pPr>
            <w:r>
              <w:t>3.3.3</w:t>
            </w:r>
          </w:p>
        </w:tc>
        <w:tc>
          <w:tcPr>
            <w:tcW w:w="3566" w:type="dxa"/>
            <w:vAlign w:val="top"/>
          </w:tcPr>
          <w:p>
            <w:pPr>
              <w:pStyle w:val="6"/>
              <w:spacing w:before="55" w:line="228" w:lineRule="auto"/>
              <w:ind w:left="30" w:right="19" w:firstLine="5"/>
              <w:jc w:val="both"/>
            </w:pPr>
            <w:r>
              <w:rPr>
                <w:spacing w:val="13"/>
              </w:rPr>
              <w:t>200#反应系统静态反应器（R-10201）出口增加HV10202B_1切断阀及其阀组，未设置超压泄放设施；静态反应器（R-10201）存在超压风险，原设计在反应沉降罐（V-10202）顶部设置安全阀（PSV-10202）。</w:t>
            </w:r>
          </w:p>
        </w:tc>
        <w:tc>
          <w:tcPr>
            <w:tcW w:w="4751" w:type="dxa"/>
            <w:vAlign w:val="top"/>
          </w:tcPr>
          <w:p>
            <w:pPr>
              <w:pStyle w:val="6"/>
              <w:spacing w:before="255" w:line="230" w:lineRule="auto"/>
              <w:ind w:left="37" w:right="16"/>
              <w:jc w:val="both"/>
            </w:pPr>
            <w:r>
              <w:rPr>
                <w:spacing w:val="8"/>
              </w:rPr>
              <w:t>按照《石油化工企业设计防火标准（2018年版）</w:t>
            </w:r>
            <w:r>
              <w:rPr>
                <w:spacing w:val="-43"/>
              </w:rPr>
              <w:t xml:space="preserve"> </w:t>
            </w:r>
            <w:r>
              <w:rPr>
                <w:spacing w:val="8"/>
              </w:rPr>
              <w:t>》</w:t>
            </w:r>
            <w:r>
              <w:rPr>
                <w:spacing w:val="7"/>
              </w:rPr>
              <w:t>（</w:t>
            </w:r>
            <w:r>
              <w:t>GB</w:t>
            </w:r>
            <w:r>
              <w:rPr>
                <w:spacing w:val="7"/>
              </w:rPr>
              <w:t xml:space="preserve"> 50160-</w:t>
            </w:r>
            <w:r>
              <w:t xml:space="preserve"> </w:t>
            </w:r>
            <w:r>
              <w:rPr>
                <w:spacing w:val="7"/>
              </w:rPr>
              <w:t>2008）第5.5.1条的要求，并结合基于</w:t>
            </w:r>
            <w:r>
              <w:t>HAZOP</w:t>
            </w:r>
            <w:r>
              <w:rPr>
                <w:spacing w:val="6"/>
              </w:rPr>
              <w:t>分析，</w:t>
            </w:r>
            <w:r>
              <w:rPr>
                <w:spacing w:val="6"/>
                <w14:textOutline w14:w="2960" w14:cap="sq" w14:cmpd="sng">
                  <w14:solidFill>
                    <w14:srgbClr w14:val="000000"/>
                  </w14:solidFill>
                  <w14:prstDash w14:val="solid"/>
                  <w14:bevel/>
                </w14:textOutline>
              </w:rPr>
              <w:t>联系设计单位</w:t>
            </w:r>
            <w:r>
              <w:t xml:space="preserve"> </w:t>
            </w:r>
            <w:r>
              <w:rPr>
                <w:spacing w:val="4"/>
                <w14:textOutline w14:w="2960" w14:cap="sq" w14:cmpd="sng">
                  <w14:solidFill>
                    <w14:srgbClr w14:val="000000"/>
                  </w14:solidFill>
                  <w14:prstDash w14:val="solid"/>
                  <w14:bevel/>
                </w14:textOutline>
              </w:rPr>
              <w:t>完善相关设计</w:t>
            </w:r>
            <w:r>
              <w:rPr>
                <w:spacing w:val="4"/>
              </w:rPr>
              <w:t>，同时设计相应的紧急泄压设施。</w:t>
            </w:r>
          </w:p>
        </w:tc>
        <w:tc>
          <w:tcPr>
            <w:tcW w:w="957" w:type="dxa"/>
            <w:vAlign w:val="top"/>
          </w:tcPr>
          <w:p>
            <w:pPr>
              <w:rPr>
                <w:rFonts w:ascii="Arial"/>
                <w:sz w:val="21"/>
              </w:rPr>
            </w:pPr>
          </w:p>
        </w:tc>
        <w:tc>
          <w:tcPr>
            <w:tcW w:w="1091" w:type="dxa"/>
            <w:vAlign w:val="top"/>
          </w:tcPr>
          <w:p>
            <w:pPr>
              <w:rPr>
                <w:rFonts w:ascii="Arial"/>
                <w:sz w:val="21"/>
              </w:rPr>
            </w:pPr>
          </w:p>
        </w:tc>
        <w:tc>
          <w:tcPr>
            <w:tcW w:w="861" w:type="dxa"/>
            <w:vAlign w:val="top"/>
          </w:tcPr>
          <w:p>
            <w:pPr>
              <w:spacing w:line="402" w:lineRule="auto"/>
              <w:rPr>
                <w:rFonts w:ascii="Arial"/>
                <w:sz w:val="21"/>
              </w:rPr>
            </w:pPr>
          </w:p>
          <w:p>
            <w:pPr>
              <w:pStyle w:val="6"/>
              <w:spacing w:before="52" w:line="242" w:lineRule="auto"/>
              <w:ind w:left="401"/>
            </w:pPr>
            <w:r>
              <w:t>√</w:t>
            </w:r>
          </w:p>
        </w:tc>
        <w:tc>
          <w:tcPr>
            <w:tcW w:w="1451" w:type="dxa"/>
            <w:vAlign w:val="top"/>
          </w:tcPr>
          <w:p>
            <w:pPr>
              <w:rPr>
                <w:rFonts w:ascii="Arial"/>
                <w:sz w:val="21"/>
              </w:rPr>
            </w:pPr>
          </w:p>
        </w:tc>
      </w:tr>
    </w:tbl>
    <w:p>
      <w:pPr>
        <w:rPr>
          <w:rFonts w:ascii="Arial"/>
          <w:sz w:val="21"/>
        </w:rPr>
      </w:pPr>
    </w:p>
    <w:p>
      <w:pPr>
        <w:rPr>
          <w:rFonts w:ascii="Arial" w:hAnsi="Arial" w:eastAsia="Arial" w:cs="Arial"/>
          <w:sz w:val="21"/>
          <w:szCs w:val="21"/>
        </w:rPr>
        <w:sectPr>
          <w:pgSz w:w="16834" w:h="11909"/>
          <w:pgMar w:top="1012" w:right="1127" w:bottom="0" w:left="1012" w:header="0" w:footer="0" w:gutter="0"/>
          <w:cols w:space="720" w:num="1"/>
        </w:sectPr>
      </w:pPr>
    </w:p>
    <w:tbl>
      <w:tblPr>
        <w:tblStyle w:val="5"/>
        <w:tblW w:w="146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489"/>
        <w:gridCol w:w="974"/>
        <w:gridCol w:w="3566"/>
        <w:gridCol w:w="4751"/>
        <w:gridCol w:w="957"/>
        <w:gridCol w:w="1091"/>
        <w:gridCol w:w="861"/>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7" w:hRule="atLeast"/>
        </w:trPr>
        <w:tc>
          <w:tcPr>
            <w:tcW w:w="542" w:type="dxa"/>
            <w:tcBorders>
              <w:top w:val="nil"/>
            </w:tcBorders>
            <w:vAlign w:val="top"/>
          </w:tcPr>
          <w:p>
            <w:pPr>
              <w:pStyle w:val="6"/>
              <w:spacing w:before="90" w:line="224" w:lineRule="auto"/>
              <w:ind w:left="109"/>
            </w:pPr>
            <w:r>
              <w:rPr>
                <w:spacing w:val="1"/>
                <w14:textOutline w14:w="2960" w14:cap="sq" w14:cmpd="sng">
                  <w14:solidFill>
                    <w14:srgbClr w14:val="000000"/>
                  </w14:solidFill>
                  <w14:prstDash w14:val="solid"/>
                  <w14:bevel/>
                </w14:textOutline>
              </w:rPr>
              <w:t>专业</w:t>
            </w:r>
          </w:p>
        </w:tc>
        <w:tc>
          <w:tcPr>
            <w:tcW w:w="489" w:type="dxa"/>
            <w:tcBorders>
              <w:top w:val="nil"/>
            </w:tcBorders>
            <w:vAlign w:val="top"/>
          </w:tcPr>
          <w:p>
            <w:pPr>
              <w:pStyle w:val="6"/>
              <w:spacing w:before="90" w:line="224" w:lineRule="auto"/>
              <w:ind w:left="80"/>
            </w:pPr>
            <w:r>
              <w:rPr>
                <w:spacing w:val="2"/>
                <w14:textOutline w14:w="2960" w14:cap="sq" w14:cmpd="sng">
                  <w14:solidFill>
                    <w14:srgbClr w14:val="000000"/>
                  </w14:solidFill>
                  <w14:prstDash w14:val="solid"/>
                  <w14:bevel/>
                </w14:textOutline>
              </w:rPr>
              <w:t>序号</w:t>
            </w:r>
          </w:p>
        </w:tc>
        <w:tc>
          <w:tcPr>
            <w:tcW w:w="974" w:type="dxa"/>
            <w:tcBorders>
              <w:top w:val="nil"/>
            </w:tcBorders>
            <w:vAlign w:val="top"/>
          </w:tcPr>
          <w:p>
            <w:pPr>
              <w:pStyle w:val="6"/>
              <w:spacing w:before="1" w:line="221" w:lineRule="auto"/>
              <w:ind w:left="76" w:right="65"/>
            </w:pPr>
            <w:r>
              <w:rPr>
                <w:spacing w:val="4"/>
                <w14:textOutline w14:w="2960" w14:cap="sq" w14:cmpd="sng">
                  <w14:solidFill>
                    <w14:srgbClr w14:val="000000"/>
                  </w14:solidFill>
                  <w14:prstDash w14:val="solid"/>
                  <w14:bevel/>
                </w14:textOutline>
              </w:rPr>
              <w:t>核查表中检</w:t>
            </w:r>
            <w:r>
              <w:rPr>
                <w:spacing w:val="1"/>
              </w:rPr>
              <w:t xml:space="preserve"> </w:t>
            </w:r>
            <w:r>
              <w:rPr>
                <w:spacing w:val="4"/>
                <w14:textOutline w14:w="2960" w14:cap="sq" w14:cmpd="sng">
                  <w14:solidFill>
                    <w14:srgbClr w14:val="000000"/>
                  </w14:solidFill>
                  <w14:prstDash w14:val="solid"/>
                  <w14:bevel/>
                </w14:textOutline>
              </w:rPr>
              <w:t>查内容序号</w:t>
            </w:r>
          </w:p>
        </w:tc>
        <w:tc>
          <w:tcPr>
            <w:tcW w:w="3566" w:type="dxa"/>
            <w:tcBorders>
              <w:top w:val="nil"/>
            </w:tcBorders>
            <w:vAlign w:val="top"/>
          </w:tcPr>
          <w:p>
            <w:pPr>
              <w:pStyle w:val="6"/>
              <w:spacing w:before="90" w:line="225" w:lineRule="auto"/>
              <w:ind w:left="1472"/>
            </w:pPr>
            <w:r>
              <w:rPr>
                <w:spacing w:val="-1"/>
                <w14:textOutline w14:w="2960" w14:cap="sq" w14:cmpd="sng">
                  <w14:solidFill>
                    <w14:srgbClr w14:val="000000"/>
                  </w14:solidFill>
                  <w14:prstDash w14:val="solid"/>
                  <w14:bevel/>
                </w14:textOutline>
              </w:rPr>
              <w:t>问题描述</w:t>
            </w:r>
          </w:p>
        </w:tc>
        <w:tc>
          <w:tcPr>
            <w:tcW w:w="4751" w:type="dxa"/>
            <w:tcBorders>
              <w:top w:val="nil"/>
            </w:tcBorders>
            <w:vAlign w:val="top"/>
          </w:tcPr>
          <w:p>
            <w:pPr>
              <w:pStyle w:val="6"/>
              <w:spacing w:before="90" w:line="223" w:lineRule="auto"/>
              <w:ind w:left="2050"/>
            </w:pPr>
            <w:r>
              <w:rPr>
                <w:spacing w:val="4"/>
                <w14:textOutline w14:w="2960" w14:cap="sq" w14:cmpd="sng">
                  <w14:solidFill>
                    <w14:srgbClr w14:val="000000"/>
                  </w14:solidFill>
                  <w14:prstDash w14:val="solid"/>
                  <w14:bevel/>
                </w14:textOutline>
              </w:rPr>
              <w:t>整改建议</w:t>
            </w:r>
          </w:p>
        </w:tc>
        <w:tc>
          <w:tcPr>
            <w:tcW w:w="957" w:type="dxa"/>
            <w:vAlign w:val="top"/>
          </w:tcPr>
          <w:p>
            <w:pPr>
              <w:pStyle w:val="6"/>
              <w:spacing w:before="31" w:line="214" w:lineRule="auto"/>
              <w:ind w:left="403" w:right="50" w:hanging="331"/>
              <w:jc w:val="center"/>
              <w:rPr>
                <w:rFonts w:hint="eastAsia"/>
                <w:spacing w:val="4"/>
                <w:lang w:eastAsia="zh-CN"/>
                <w14:textOutline w14:w="2960" w14:cap="sq" w14:cmpd="sng">
                  <w14:solidFill>
                    <w14:srgbClr w14:val="000000"/>
                  </w14:solidFill>
                  <w14:prstDash w14:val="solid"/>
                  <w14:bevel/>
                </w14:textOutline>
              </w:rPr>
            </w:pPr>
            <w:r>
              <w:rPr>
                <w:spacing w:val="4"/>
                <w14:textOutline w14:w="2960" w14:cap="sq" w14:cmpd="sng">
                  <w14:solidFill>
                    <w14:srgbClr w14:val="000000"/>
                  </w14:solidFill>
                  <w14:prstDash w14:val="solid"/>
                  <w14:bevel/>
                </w14:textOutline>
              </w:rPr>
              <w:t>文件</w:t>
            </w:r>
            <w:r>
              <w:rPr>
                <w:rFonts w:hint="eastAsia"/>
                <w:spacing w:val="4"/>
                <w:lang w:eastAsia="zh-CN"/>
                <w14:textOutline w14:w="2960" w14:cap="sq" w14:cmpd="sng">
                  <w14:solidFill>
                    <w14:srgbClr w14:val="000000"/>
                  </w14:solidFill>
                  <w14:prstDash w14:val="solid"/>
                  <w14:bevel/>
                </w14:textOutline>
              </w:rPr>
              <w:t>类</w:t>
            </w:r>
          </w:p>
          <w:p>
            <w:pPr>
              <w:pStyle w:val="6"/>
              <w:spacing w:before="31" w:line="214" w:lineRule="auto"/>
              <w:ind w:left="403" w:right="50" w:hanging="331"/>
              <w:jc w:val="center"/>
            </w:pPr>
            <w:r>
              <w:rPr>
                <w:spacing w:val="4"/>
                <w14:textOutline w14:w="2960" w14:cap="sq" w14:cmpd="sng">
                  <w14:solidFill>
                    <w14:srgbClr w14:val="000000"/>
                  </w14:solidFill>
                  <w14:prstDash w14:val="solid"/>
                  <w14:bevel/>
                </w14:textOutline>
              </w:rPr>
              <w:t>资料</w:t>
            </w:r>
            <w:r>
              <w:rPr>
                <w14:textOutline w14:w="2960" w14:cap="sq" w14:cmpd="sng">
                  <w14:solidFill>
                    <w14:srgbClr w14:val="000000"/>
                  </w14:solidFill>
                  <w14:prstDash w14:val="solid"/>
                  <w14:bevel/>
                </w14:textOutline>
              </w:rPr>
              <w:t>类</w:t>
            </w:r>
          </w:p>
        </w:tc>
        <w:tc>
          <w:tcPr>
            <w:tcW w:w="1091" w:type="dxa"/>
            <w:vAlign w:val="top"/>
          </w:tcPr>
          <w:p>
            <w:pPr>
              <w:pStyle w:val="6"/>
              <w:spacing w:before="196" w:line="223" w:lineRule="auto"/>
              <w:ind w:left="304"/>
            </w:pPr>
            <w:r>
              <w:rPr>
                <w:spacing w:val="3"/>
                <w14:textOutline w14:w="2960" w14:cap="sq" w14:cmpd="sng">
                  <w14:solidFill>
                    <w14:srgbClr w14:val="000000"/>
                  </w14:solidFill>
                  <w14:prstDash w14:val="solid"/>
                  <w14:bevel/>
                </w14:textOutline>
              </w:rPr>
              <w:t>执行类</w:t>
            </w:r>
          </w:p>
        </w:tc>
        <w:tc>
          <w:tcPr>
            <w:tcW w:w="861" w:type="dxa"/>
            <w:vAlign w:val="top"/>
          </w:tcPr>
          <w:p>
            <w:pPr>
              <w:pStyle w:val="6"/>
              <w:spacing w:before="196" w:line="223" w:lineRule="auto"/>
              <w:ind w:left="193"/>
            </w:pPr>
            <w:r>
              <w:rPr>
                <w:spacing w:val="3"/>
                <w14:textOutline w14:w="2960" w14:cap="sq" w14:cmpd="sng">
                  <w14:solidFill>
                    <w14:srgbClr w14:val="000000"/>
                  </w14:solidFill>
                  <w14:prstDash w14:val="solid"/>
                  <w14:bevel/>
                </w14:textOutline>
              </w:rPr>
              <w:t>现场类</w:t>
            </w:r>
          </w:p>
        </w:tc>
        <w:tc>
          <w:tcPr>
            <w:tcW w:w="1451" w:type="dxa"/>
            <w:tcBorders>
              <w:top w:val="nil"/>
            </w:tcBorders>
            <w:vAlign w:val="top"/>
          </w:tcPr>
          <w:p>
            <w:pPr>
              <w:pStyle w:val="6"/>
              <w:spacing w:before="84" w:line="229" w:lineRule="auto"/>
              <w:ind w:left="655"/>
              <w:rPr>
                <w:sz w:val="17"/>
                <w:szCs w:val="17"/>
              </w:rPr>
            </w:pPr>
            <w:r>
              <w:rPr>
                <w:sz w:val="17"/>
                <w:szCs w:val="17"/>
                <w14:textOutline w14:w="3130" w14:cap="sq" w14:cmpd="sng">
                  <w14:solidFill>
                    <w14:srgbClr w14:val="000000"/>
                  </w14:solidFill>
                  <w14:prstDash w14:val="solid"/>
                  <w14:bevel/>
                </w14:textOutline>
              </w:rPr>
              <w:t>患</w:t>
            </w:r>
          </w:p>
          <w:p>
            <w:pPr>
              <w:pStyle w:val="6"/>
              <w:spacing w:line="186" w:lineRule="auto"/>
              <w:ind w:left="689"/>
              <w:rPr>
                <w:sz w:val="17"/>
                <w:szCs w:val="17"/>
              </w:rPr>
            </w:pPr>
            <w:r>
              <w:rPr>
                <w:sz w:val="17"/>
                <w:szCs w:val="17"/>
                <w14:textOutline w14:w="3130" w14:cap="sq" w14:cmpd="sng">
                  <w14:solidFill>
                    <w14:srgbClr w14:val="000000"/>
                  </w14:solidFill>
                  <w14:prstDash w14:val="solid"/>
                  <w14:bevel/>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542" w:type="dxa"/>
            <w:vMerge w:val="restart"/>
            <w:tcBorders>
              <w:bottom w:val="nil"/>
            </w:tcBorders>
            <w:vAlign w:val="top"/>
          </w:tcPr>
          <w:p>
            <w:pPr>
              <w:spacing w:line="420" w:lineRule="auto"/>
              <w:rPr>
                <w:rFonts w:ascii="Arial"/>
                <w:sz w:val="21"/>
              </w:rPr>
            </w:pPr>
          </w:p>
          <w:p>
            <w:pPr>
              <w:pStyle w:val="6"/>
              <w:spacing w:before="52" w:line="228" w:lineRule="auto"/>
              <w:ind w:left="109" w:right="99"/>
            </w:pPr>
            <w:r>
              <w:rPr>
                <w:spacing w:val="1"/>
                <w14:textOutline w14:w="2960" w14:cap="sq" w14:cmpd="sng">
                  <w14:solidFill>
                    <w14:srgbClr w14:val="000000"/>
                  </w14:solidFill>
                  <w14:prstDash w14:val="solid"/>
                  <w14:bevel/>
                </w14:textOutline>
              </w:rPr>
              <w:t>装置</w:t>
            </w:r>
            <w:r>
              <w:t xml:space="preserve"> </w:t>
            </w:r>
            <w:r>
              <w:rPr>
                <w:spacing w:val="1"/>
                <w14:textOutline w14:w="2960" w14:cap="sq" w14:cmpd="sng">
                  <w14:solidFill>
                    <w14:srgbClr w14:val="000000"/>
                  </w14:solidFill>
                  <w14:prstDash w14:val="solid"/>
                  <w14:bevel/>
                </w14:textOutline>
              </w:rPr>
              <w:t>运行</w:t>
            </w:r>
          </w:p>
        </w:tc>
        <w:tc>
          <w:tcPr>
            <w:tcW w:w="489" w:type="dxa"/>
            <w:vAlign w:val="top"/>
          </w:tcPr>
          <w:p>
            <w:pPr>
              <w:spacing w:line="419" w:lineRule="auto"/>
              <w:rPr>
                <w:rFonts w:ascii="Arial"/>
                <w:sz w:val="21"/>
              </w:rPr>
            </w:pPr>
          </w:p>
          <w:p>
            <w:pPr>
              <w:pStyle w:val="6"/>
              <w:spacing w:before="52" w:line="185" w:lineRule="auto"/>
              <w:ind w:left="168"/>
            </w:pPr>
            <w:r>
              <w:rPr>
                <w:spacing w:val="-3"/>
              </w:rPr>
              <w:t>24</w:t>
            </w:r>
          </w:p>
        </w:tc>
        <w:tc>
          <w:tcPr>
            <w:tcW w:w="974" w:type="dxa"/>
            <w:vAlign w:val="top"/>
          </w:tcPr>
          <w:p>
            <w:pPr>
              <w:spacing w:line="419" w:lineRule="auto"/>
              <w:rPr>
                <w:rFonts w:ascii="Arial"/>
                <w:sz w:val="21"/>
              </w:rPr>
            </w:pPr>
          </w:p>
          <w:p>
            <w:pPr>
              <w:pStyle w:val="6"/>
              <w:spacing w:before="52" w:line="186" w:lineRule="auto"/>
              <w:ind w:left="288"/>
            </w:pPr>
            <w:r>
              <w:t>3.4.1</w:t>
            </w:r>
          </w:p>
        </w:tc>
        <w:tc>
          <w:tcPr>
            <w:tcW w:w="3566" w:type="dxa"/>
            <w:vAlign w:val="top"/>
          </w:tcPr>
          <w:p>
            <w:pPr>
              <w:spacing w:line="294" w:lineRule="auto"/>
              <w:rPr>
                <w:rFonts w:ascii="Arial"/>
                <w:sz w:val="21"/>
              </w:rPr>
            </w:pPr>
          </w:p>
          <w:p>
            <w:pPr>
              <w:pStyle w:val="6"/>
              <w:spacing w:before="52" w:line="229" w:lineRule="auto"/>
              <w:ind w:left="35" w:right="19"/>
            </w:pPr>
            <w:r>
              <w:rPr>
                <w:spacing w:val="9"/>
              </w:rPr>
              <w:t>200#烃分离（T-10205B）现场设置有200-</w:t>
            </w:r>
            <w:r>
              <w:t>PIC</w:t>
            </w:r>
            <w:r>
              <w:rPr>
                <w:spacing w:val="9"/>
              </w:rPr>
              <w:t>-</w:t>
            </w:r>
            <w:r>
              <w:t xml:space="preserve"> </w:t>
            </w:r>
            <w:r>
              <w:rPr>
                <w:spacing w:val="3"/>
              </w:rPr>
              <w:t>266B控制回路和真空泵系统，P&amp;</w:t>
            </w:r>
            <w:r>
              <w:t>ID</w:t>
            </w:r>
            <w:r>
              <w:rPr>
                <w:spacing w:val="3"/>
              </w:rPr>
              <w:t>中未体现。</w:t>
            </w:r>
          </w:p>
        </w:tc>
        <w:tc>
          <w:tcPr>
            <w:tcW w:w="4751" w:type="dxa"/>
            <w:vAlign w:val="top"/>
          </w:tcPr>
          <w:p>
            <w:pPr>
              <w:pStyle w:val="6"/>
              <w:spacing w:before="146" w:line="231" w:lineRule="auto"/>
              <w:ind w:left="36" w:right="16" w:firstLine="1"/>
              <w:jc w:val="both"/>
            </w:pPr>
            <w:r>
              <w:rPr>
                <w:spacing w:val="8"/>
              </w:rPr>
              <w:t>按照《化工过程安全管理导则》（AQ/T 3034-2022）第4.4.4条 、4.4.5条的要求，建立工艺安全信息清单，并按照工艺安全信息清单建立工艺安全信息档案，及时更新和补充相关信息。完善设计。</w:t>
            </w:r>
          </w:p>
        </w:tc>
        <w:tc>
          <w:tcPr>
            <w:tcW w:w="957" w:type="dxa"/>
            <w:vAlign w:val="top"/>
          </w:tcPr>
          <w:p>
            <w:pPr>
              <w:rPr>
                <w:rFonts w:ascii="Arial"/>
                <w:sz w:val="21"/>
              </w:rPr>
            </w:pPr>
          </w:p>
        </w:tc>
        <w:tc>
          <w:tcPr>
            <w:tcW w:w="1091" w:type="dxa"/>
            <w:vAlign w:val="top"/>
          </w:tcPr>
          <w:p>
            <w:pPr>
              <w:spacing w:line="393"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316" w:lineRule="auto"/>
              <w:rPr>
                <w:rFonts w:ascii="Arial"/>
                <w:sz w:val="21"/>
              </w:rPr>
            </w:pPr>
          </w:p>
          <w:p>
            <w:pPr>
              <w:pStyle w:val="6"/>
              <w:spacing w:before="52" w:line="185" w:lineRule="auto"/>
              <w:ind w:left="168"/>
            </w:pPr>
            <w:r>
              <w:rPr>
                <w:spacing w:val="-3"/>
              </w:rPr>
              <w:t>25</w:t>
            </w:r>
          </w:p>
        </w:tc>
        <w:tc>
          <w:tcPr>
            <w:tcW w:w="974" w:type="dxa"/>
            <w:vAlign w:val="top"/>
          </w:tcPr>
          <w:p>
            <w:pPr>
              <w:spacing w:line="315" w:lineRule="auto"/>
              <w:rPr>
                <w:rFonts w:ascii="Arial"/>
                <w:sz w:val="21"/>
              </w:rPr>
            </w:pPr>
          </w:p>
          <w:p>
            <w:pPr>
              <w:pStyle w:val="6"/>
              <w:spacing w:before="52" w:line="186" w:lineRule="auto"/>
              <w:ind w:left="288"/>
            </w:pPr>
            <w:r>
              <w:t>3.4.1</w:t>
            </w:r>
          </w:p>
        </w:tc>
        <w:tc>
          <w:tcPr>
            <w:tcW w:w="3566" w:type="dxa"/>
            <w:vAlign w:val="top"/>
          </w:tcPr>
          <w:p>
            <w:pPr>
              <w:pStyle w:val="6"/>
              <w:spacing w:before="42" w:line="226" w:lineRule="auto"/>
              <w:ind w:left="36" w:right="20" w:hanging="1"/>
            </w:pPr>
            <w:r>
              <w:rPr>
                <w:spacing w:val="7"/>
              </w:rPr>
              <w:t>火炬系统可燃气体报警器KRQ02报警值设置为（20%、80%），且报警功能未投用，不符合《石油化工可燃气体和有毒气体检测报警设计标准》（GB/T50493-2019）的要求。</w:t>
            </w:r>
          </w:p>
        </w:tc>
        <w:tc>
          <w:tcPr>
            <w:tcW w:w="4751" w:type="dxa"/>
            <w:vAlign w:val="top"/>
          </w:tcPr>
          <w:p>
            <w:pPr>
              <w:pStyle w:val="6"/>
              <w:spacing w:before="142" w:line="228" w:lineRule="auto"/>
              <w:ind w:left="38" w:right="16" w:hanging="1"/>
            </w:pPr>
            <w:r>
              <w:rPr>
                <w:spacing w:val="7"/>
              </w:rPr>
              <w:t>按照《石油化工可燃气体和有毒气体检测报警设计标准》（</w:t>
            </w:r>
            <w:r>
              <w:t>GB</w:t>
            </w:r>
            <w:r>
              <w:rPr>
                <w:spacing w:val="7"/>
              </w:rPr>
              <w:t>/T</w:t>
            </w:r>
            <w:r>
              <w:rPr>
                <w:spacing w:val="8"/>
              </w:rPr>
              <w:t xml:space="preserve"> 50493-2019）第5.5.2条的要求，设置报警值，并投用报警功能</w:t>
            </w:r>
          </w:p>
          <w:p>
            <w:pPr>
              <w:pStyle w:val="6"/>
              <w:spacing w:before="115" w:line="81" w:lineRule="exact"/>
            </w:pPr>
            <w:r>
              <w:rPr>
                <w:position w:val="1"/>
              </w:rPr>
              <w:t>。</w:t>
            </w:r>
          </w:p>
        </w:tc>
        <w:tc>
          <w:tcPr>
            <w:tcW w:w="957" w:type="dxa"/>
            <w:vAlign w:val="top"/>
          </w:tcPr>
          <w:p>
            <w:pPr>
              <w:rPr>
                <w:rFonts w:ascii="Arial"/>
                <w:sz w:val="21"/>
              </w:rPr>
            </w:pPr>
          </w:p>
        </w:tc>
        <w:tc>
          <w:tcPr>
            <w:tcW w:w="1091" w:type="dxa"/>
            <w:vAlign w:val="top"/>
          </w:tcPr>
          <w:p>
            <w:pPr>
              <w:rPr>
                <w:rFonts w:ascii="Arial"/>
                <w:sz w:val="21"/>
              </w:rPr>
            </w:pPr>
          </w:p>
        </w:tc>
        <w:tc>
          <w:tcPr>
            <w:tcW w:w="861" w:type="dxa"/>
            <w:vAlign w:val="top"/>
          </w:tcPr>
          <w:p>
            <w:pPr>
              <w:spacing w:line="290" w:lineRule="auto"/>
              <w:rPr>
                <w:rFonts w:ascii="Arial"/>
                <w:sz w:val="21"/>
              </w:rPr>
            </w:pPr>
          </w:p>
          <w:p>
            <w:pPr>
              <w:pStyle w:val="6"/>
              <w:spacing w:before="52" w:line="242" w:lineRule="auto"/>
              <w:ind w:left="401"/>
            </w:pPr>
            <w:r>
              <w:t>√</w:t>
            </w: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7"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422" w:lineRule="auto"/>
              <w:rPr>
                <w:rFonts w:ascii="Arial"/>
                <w:sz w:val="21"/>
              </w:rPr>
            </w:pPr>
          </w:p>
          <w:p>
            <w:pPr>
              <w:pStyle w:val="6"/>
              <w:spacing w:before="52" w:line="185" w:lineRule="auto"/>
              <w:ind w:left="168"/>
            </w:pPr>
            <w:r>
              <w:rPr>
                <w:spacing w:val="-3"/>
              </w:rPr>
              <w:t>26</w:t>
            </w:r>
          </w:p>
        </w:tc>
        <w:tc>
          <w:tcPr>
            <w:tcW w:w="974" w:type="dxa"/>
            <w:vAlign w:val="top"/>
          </w:tcPr>
          <w:p>
            <w:pPr>
              <w:spacing w:line="422" w:lineRule="auto"/>
              <w:rPr>
                <w:rFonts w:ascii="Arial"/>
                <w:sz w:val="21"/>
              </w:rPr>
            </w:pPr>
          </w:p>
          <w:p>
            <w:pPr>
              <w:pStyle w:val="6"/>
              <w:spacing w:before="52" w:line="185" w:lineRule="auto"/>
              <w:ind w:left="288"/>
            </w:pPr>
            <w:r>
              <w:t>3.4.2</w:t>
            </w:r>
          </w:p>
        </w:tc>
        <w:tc>
          <w:tcPr>
            <w:tcW w:w="3566"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3"/>
                <w:kern w:val="0"/>
                <w:sz w:val="16"/>
                <w:szCs w:val="16"/>
                <w:lang w:val="en-US" w:eastAsia="en-US" w:bidi="ar-SA"/>
              </w:rPr>
            </w:pPr>
            <w:r>
              <w:rPr>
                <w:rFonts w:hint="eastAsia" w:ascii="宋体" w:hAnsi="宋体" w:eastAsia="宋体" w:cs="宋体"/>
                <w:snapToGrid w:val="0"/>
                <w:color w:val="000000"/>
                <w:spacing w:val="3"/>
                <w:kern w:val="0"/>
                <w:sz w:val="16"/>
                <w:szCs w:val="16"/>
                <w:lang w:val="en-US" w:eastAsia="en-US" w:bidi="ar-SA"/>
              </w:rPr>
              <w:t>1.100#溶剂提纯塔系统共10个控制回路，仅投用1个控制回路，投用率为10%。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3"/>
                <w:kern w:val="0"/>
                <w:sz w:val="16"/>
                <w:szCs w:val="16"/>
                <w:lang w:val="en-US" w:eastAsia="en-US" w:bidi="ar-SA"/>
              </w:rPr>
            </w:pPr>
            <w:r>
              <w:rPr>
                <w:rFonts w:hint="eastAsia" w:ascii="宋体" w:hAnsi="宋体" w:eastAsia="宋体" w:cs="宋体"/>
                <w:snapToGrid w:val="0"/>
                <w:color w:val="000000"/>
                <w:spacing w:val="3"/>
                <w:kern w:val="0"/>
                <w:sz w:val="16"/>
                <w:szCs w:val="16"/>
                <w:lang w:val="en-US" w:eastAsia="en-US" w:bidi="ar-SA"/>
              </w:rPr>
              <w:t>2.混酸罐（V-10204）压力控制回路200_PIC_203处于手动模式，无法自动超压泄放。</w:t>
            </w:r>
          </w:p>
          <w:p>
            <w:pPr>
              <w:pStyle w:val="6"/>
              <w:spacing w:before="8" w:line="229" w:lineRule="auto"/>
              <w:ind w:left="36" w:right="21" w:hanging="1"/>
            </w:pPr>
          </w:p>
        </w:tc>
        <w:tc>
          <w:tcPr>
            <w:tcW w:w="4751" w:type="dxa"/>
            <w:vAlign w:val="top"/>
          </w:tcPr>
          <w:p>
            <w:pPr>
              <w:pStyle w:val="6"/>
              <w:spacing w:before="250" w:line="229" w:lineRule="auto"/>
              <w:ind w:left="36" w:right="16"/>
              <w:jc w:val="both"/>
            </w:pPr>
            <w:r>
              <w:rPr>
                <w:spacing w:val="8"/>
              </w:rPr>
              <w:t>按照《危险化学品安全专项整治三年行动实施方案》（安委〔2020〕3号）的要求，查找、分析自控回路无法投用原因，</w:t>
            </w:r>
            <w:r>
              <w:rPr>
                <w:rFonts w:hint="eastAsia"/>
                <w:spacing w:val="8"/>
              </w:rPr>
              <w:t>针对性制定整改措施，确保自控回路可靠投用。</w:t>
            </w:r>
          </w:p>
        </w:tc>
        <w:tc>
          <w:tcPr>
            <w:tcW w:w="957" w:type="dxa"/>
            <w:vAlign w:val="top"/>
          </w:tcPr>
          <w:p>
            <w:pPr>
              <w:rPr>
                <w:rFonts w:ascii="Arial"/>
                <w:sz w:val="21"/>
              </w:rPr>
            </w:pPr>
          </w:p>
        </w:tc>
        <w:tc>
          <w:tcPr>
            <w:tcW w:w="1091" w:type="dxa"/>
            <w:vAlign w:val="top"/>
          </w:tcPr>
          <w:p>
            <w:pPr>
              <w:spacing w:line="396"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9"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316" w:lineRule="auto"/>
              <w:rPr>
                <w:rFonts w:ascii="Arial"/>
                <w:sz w:val="21"/>
              </w:rPr>
            </w:pPr>
          </w:p>
          <w:p>
            <w:pPr>
              <w:spacing w:line="317" w:lineRule="auto"/>
              <w:rPr>
                <w:rFonts w:ascii="Arial"/>
                <w:sz w:val="21"/>
              </w:rPr>
            </w:pPr>
          </w:p>
          <w:p>
            <w:pPr>
              <w:pStyle w:val="6"/>
              <w:spacing w:before="52" w:line="185" w:lineRule="auto"/>
              <w:ind w:left="168"/>
            </w:pPr>
            <w:r>
              <w:rPr>
                <w:spacing w:val="-3"/>
              </w:rPr>
              <w:t>27</w:t>
            </w:r>
          </w:p>
        </w:tc>
        <w:tc>
          <w:tcPr>
            <w:tcW w:w="974" w:type="dxa"/>
            <w:vAlign w:val="top"/>
          </w:tcPr>
          <w:p>
            <w:pPr>
              <w:spacing w:line="317" w:lineRule="auto"/>
              <w:rPr>
                <w:rFonts w:ascii="Arial"/>
                <w:sz w:val="21"/>
              </w:rPr>
            </w:pPr>
          </w:p>
          <w:p>
            <w:pPr>
              <w:spacing w:line="317" w:lineRule="auto"/>
              <w:rPr>
                <w:rFonts w:ascii="Arial"/>
                <w:sz w:val="21"/>
              </w:rPr>
            </w:pPr>
          </w:p>
          <w:p>
            <w:pPr>
              <w:pStyle w:val="6"/>
              <w:spacing w:before="52" w:line="185" w:lineRule="auto"/>
              <w:ind w:left="288"/>
            </w:pPr>
            <w:r>
              <w:t>3.4.2</w:t>
            </w:r>
          </w:p>
        </w:tc>
        <w:tc>
          <w:tcPr>
            <w:tcW w:w="3566"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4"/>
                <w:kern w:val="0"/>
                <w:sz w:val="16"/>
                <w:szCs w:val="16"/>
                <w:lang w:val="en-US" w:eastAsia="en-US" w:bidi="ar-SA"/>
              </w:rPr>
            </w:pPr>
            <w:r>
              <w:rPr>
                <w:rFonts w:hint="eastAsia" w:ascii="宋体" w:hAnsi="宋体" w:eastAsia="宋体" w:cs="宋体"/>
                <w:snapToGrid w:val="0"/>
                <w:color w:val="000000"/>
                <w:spacing w:val="4"/>
                <w:kern w:val="0"/>
                <w:sz w:val="16"/>
                <w:szCs w:val="16"/>
                <w:lang w:val="en-US" w:eastAsia="en-US" w:bidi="ar-SA"/>
              </w:rPr>
              <w:t>报警管理存在以下问题：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4"/>
                <w:kern w:val="0"/>
                <w:sz w:val="16"/>
                <w:szCs w:val="16"/>
                <w:lang w:val="en-US" w:eastAsia="en-US" w:bidi="ar-SA"/>
              </w:rPr>
            </w:pPr>
            <w:r>
              <w:rPr>
                <w:rFonts w:hint="eastAsia" w:ascii="宋体" w:hAnsi="宋体" w:eastAsia="宋体" w:cs="宋体"/>
                <w:snapToGrid w:val="0"/>
                <w:color w:val="000000"/>
                <w:spacing w:val="4"/>
                <w:kern w:val="0"/>
                <w:sz w:val="16"/>
                <w:szCs w:val="16"/>
                <w:lang w:val="en-US" w:eastAsia="en-US" w:bidi="ar-SA"/>
              </w:rPr>
              <w:t>1.混酸罐（V-10204）顶部压力200_PT203设置有H\L报警值；L报警功能未投用，无法报警。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4"/>
                <w:kern w:val="0"/>
                <w:sz w:val="16"/>
                <w:szCs w:val="16"/>
                <w:lang w:val="en-US" w:eastAsia="en-US" w:bidi="ar-SA"/>
              </w:rPr>
            </w:pPr>
            <w:r>
              <w:rPr>
                <w:rFonts w:hint="eastAsia" w:ascii="宋体" w:hAnsi="宋体" w:eastAsia="宋体" w:cs="宋体"/>
                <w:snapToGrid w:val="0"/>
                <w:color w:val="000000"/>
                <w:spacing w:val="4"/>
                <w:kern w:val="0"/>
                <w:sz w:val="16"/>
                <w:szCs w:val="16"/>
                <w:lang w:val="en-US" w:eastAsia="en-US" w:bidi="ar-SA"/>
              </w:rPr>
              <w:t>2.200#成品再蒸塔系统真空系统压力200_PT207设置有H\L报警值，L报警功能未投用，无法报警；DCS操作画面均为工程师权限，未选择操作权限。</w:t>
            </w:r>
          </w:p>
          <w:p>
            <w:pPr>
              <w:pStyle w:val="6"/>
              <w:spacing w:before="10" w:line="229" w:lineRule="auto"/>
              <w:ind w:left="33" w:right="20" w:firstLine="2"/>
              <w:jc w:val="both"/>
            </w:pPr>
          </w:p>
        </w:tc>
        <w:tc>
          <w:tcPr>
            <w:tcW w:w="4751" w:type="dxa"/>
            <w:vAlign w:val="top"/>
          </w:tcPr>
          <w:p>
            <w:pPr>
              <w:spacing w:line="307" w:lineRule="auto"/>
              <w:rPr>
                <w:rFonts w:ascii="Arial"/>
                <w:sz w:val="21"/>
              </w:rPr>
            </w:pPr>
          </w:p>
          <w:p>
            <w:pPr>
              <w:pStyle w:val="6"/>
              <w:spacing w:before="52" w:line="231" w:lineRule="auto"/>
              <w:ind w:left="37" w:right="16"/>
            </w:pPr>
            <w:r>
              <w:rPr>
                <w:spacing w:val="8"/>
              </w:rPr>
              <w:t>参照《过程工业报警系统管理》（GB/T 41261-2022）、《化工 企业工艺报警管理实施指南》（T/CCSAS012— 2022）的要求，依据工艺设计资料，将操作规程报警值与DCS系统设置报警值确保一致性，同时设置合适的设定值，加强报警管理，及时处置。</w:t>
            </w:r>
          </w:p>
        </w:tc>
        <w:tc>
          <w:tcPr>
            <w:tcW w:w="957" w:type="dxa"/>
            <w:vAlign w:val="top"/>
          </w:tcPr>
          <w:p>
            <w:pPr>
              <w:rPr>
                <w:rFonts w:ascii="Arial"/>
                <w:sz w:val="21"/>
              </w:rPr>
            </w:pPr>
          </w:p>
        </w:tc>
        <w:tc>
          <w:tcPr>
            <w:tcW w:w="1091" w:type="dxa"/>
            <w:vAlign w:val="top"/>
          </w:tcPr>
          <w:p>
            <w:pPr>
              <w:rPr>
                <w:rFonts w:ascii="Arial"/>
                <w:sz w:val="21"/>
              </w:rPr>
            </w:pPr>
          </w:p>
        </w:tc>
        <w:tc>
          <w:tcPr>
            <w:tcW w:w="861" w:type="dxa"/>
            <w:vAlign w:val="top"/>
          </w:tcPr>
          <w:p>
            <w:pPr>
              <w:spacing w:line="303" w:lineRule="auto"/>
              <w:rPr>
                <w:rFonts w:ascii="Arial"/>
                <w:sz w:val="21"/>
              </w:rPr>
            </w:pPr>
          </w:p>
          <w:p>
            <w:pPr>
              <w:spacing w:line="304" w:lineRule="auto"/>
              <w:rPr>
                <w:rFonts w:ascii="Arial"/>
                <w:sz w:val="21"/>
              </w:rPr>
            </w:pPr>
          </w:p>
          <w:p>
            <w:pPr>
              <w:pStyle w:val="6"/>
              <w:spacing w:before="52" w:line="242" w:lineRule="auto"/>
              <w:ind w:left="401"/>
            </w:pPr>
            <w:r>
              <w:t>√</w:t>
            </w: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542" w:type="dxa"/>
            <w:vMerge w:val="continue"/>
            <w:tcBorders>
              <w:top w:val="nil"/>
            </w:tcBorders>
            <w:vAlign w:val="top"/>
          </w:tcPr>
          <w:p>
            <w:pPr>
              <w:rPr>
                <w:rFonts w:ascii="Arial"/>
                <w:sz w:val="21"/>
              </w:rPr>
            </w:pPr>
          </w:p>
        </w:tc>
        <w:tc>
          <w:tcPr>
            <w:tcW w:w="489" w:type="dxa"/>
            <w:vAlign w:val="top"/>
          </w:tcPr>
          <w:p>
            <w:pPr>
              <w:spacing w:line="328" w:lineRule="auto"/>
              <w:rPr>
                <w:rFonts w:ascii="Arial"/>
                <w:sz w:val="21"/>
              </w:rPr>
            </w:pPr>
          </w:p>
          <w:p>
            <w:pPr>
              <w:spacing w:line="329" w:lineRule="auto"/>
              <w:rPr>
                <w:rFonts w:ascii="Arial"/>
                <w:sz w:val="21"/>
              </w:rPr>
            </w:pPr>
          </w:p>
          <w:p>
            <w:pPr>
              <w:pStyle w:val="6"/>
              <w:spacing w:before="52" w:line="185" w:lineRule="auto"/>
              <w:ind w:left="168"/>
            </w:pPr>
            <w:r>
              <w:rPr>
                <w:spacing w:val="-3"/>
              </w:rPr>
              <w:t>28</w:t>
            </w:r>
          </w:p>
        </w:tc>
        <w:tc>
          <w:tcPr>
            <w:tcW w:w="974" w:type="dxa"/>
            <w:vAlign w:val="top"/>
          </w:tcPr>
          <w:p>
            <w:pPr>
              <w:spacing w:line="328" w:lineRule="auto"/>
              <w:rPr>
                <w:rFonts w:ascii="Arial"/>
                <w:sz w:val="21"/>
              </w:rPr>
            </w:pPr>
          </w:p>
          <w:p>
            <w:pPr>
              <w:spacing w:line="329" w:lineRule="auto"/>
              <w:rPr>
                <w:rFonts w:ascii="Arial"/>
                <w:sz w:val="21"/>
              </w:rPr>
            </w:pPr>
          </w:p>
          <w:p>
            <w:pPr>
              <w:pStyle w:val="6"/>
              <w:spacing w:before="52" w:line="185" w:lineRule="auto"/>
              <w:ind w:left="288"/>
            </w:pPr>
            <w:r>
              <w:t>3.4.3</w:t>
            </w:r>
          </w:p>
        </w:tc>
        <w:tc>
          <w:tcPr>
            <w:tcW w:w="3566" w:type="dxa"/>
            <w:vAlign w:val="top"/>
          </w:tcPr>
          <w:p>
            <w:pPr>
              <w:pStyle w:val="6"/>
              <w:spacing w:before="178" w:line="232" w:lineRule="auto"/>
              <w:ind w:left="33" w:right="20" w:firstLine="3"/>
              <w:jc w:val="both"/>
            </w:pPr>
            <w:r>
              <w:rPr>
                <w:spacing w:val="6"/>
              </w:rPr>
              <w:t>原料由伊泰原料（C5～C20）变更为山西潞安原料（C10～C13）后，新增旁路管线，将进料分馏系统100#和再分馏系统200#旁路（企业自行变更），变更风险分析仅对新增管线泄漏和串料风险开展风险分析，未对流程变更和物料变更开展分析，无设计相关变更。</w:t>
            </w:r>
          </w:p>
        </w:tc>
        <w:tc>
          <w:tcPr>
            <w:tcW w:w="4751" w:type="dxa"/>
            <w:vAlign w:val="top"/>
          </w:tcPr>
          <w:p>
            <w:pPr>
              <w:spacing w:line="427" w:lineRule="auto"/>
              <w:rPr>
                <w:rFonts w:ascii="Arial"/>
                <w:sz w:val="21"/>
              </w:rPr>
            </w:pPr>
          </w:p>
          <w:p>
            <w:pPr>
              <w:pStyle w:val="6"/>
              <w:spacing w:before="52" w:line="231" w:lineRule="auto"/>
              <w:ind w:left="37" w:right="18"/>
              <w:jc w:val="both"/>
            </w:pPr>
            <w:r>
              <w:rPr>
                <w:spacing w:val="8"/>
              </w:rPr>
              <w:t>按照《关于加强化工过程安全管理的指导意见》（安监总管三〔2013〕88号）第（二十三</w:t>
            </w:r>
            <w:r>
              <w:rPr>
                <w:rFonts w:hint="eastAsia"/>
                <w:spacing w:val="8"/>
              </w:rPr>
              <w:t>）、（二十四）条的要求，加强变更管理，联系设计单位开展设计变更。</w:t>
            </w:r>
          </w:p>
        </w:tc>
        <w:tc>
          <w:tcPr>
            <w:tcW w:w="957" w:type="dxa"/>
            <w:vAlign w:val="top"/>
          </w:tcPr>
          <w:p>
            <w:pPr>
              <w:rPr>
                <w:rFonts w:ascii="Arial"/>
                <w:sz w:val="21"/>
              </w:rPr>
            </w:pPr>
          </w:p>
        </w:tc>
        <w:tc>
          <w:tcPr>
            <w:tcW w:w="1091" w:type="dxa"/>
            <w:vAlign w:val="top"/>
          </w:tcPr>
          <w:p>
            <w:pPr>
              <w:spacing w:line="315" w:lineRule="auto"/>
              <w:rPr>
                <w:rFonts w:ascii="Arial"/>
                <w:sz w:val="21"/>
              </w:rPr>
            </w:pPr>
          </w:p>
          <w:p>
            <w:pPr>
              <w:spacing w:line="315"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42" w:type="dxa"/>
            <w:vMerge w:val="restart"/>
            <w:tcBorders>
              <w:bottom w:val="nil"/>
            </w:tcBorders>
            <w:vAlign w:val="top"/>
          </w:tcPr>
          <w:p>
            <w:pPr>
              <w:rPr>
                <w:rFonts w:ascii="Arial"/>
                <w:sz w:val="21"/>
              </w:rPr>
            </w:pPr>
          </w:p>
        </w:tc>
        <w:tc>
          <w:tcPr>
            <w:tcW w:w="489" w:type="dxa"/>
            <w:vAlign w:val="top"/>
          </w:tcPr>
          <w:p>
            <w:pPr>
              <w:spacing w:line="322" w:lineRule="auto"/>
              <w:rPr>
                <w:rFonts w:ascii="Arial"/>
                <w:sz w:val="21"/>
              </w:rPr>
            </w:pPr>
          </w:p>
          <w:p>
            <w:pPr>
              <w:pStyle w:val="6"/>
              <w:spacing w:before="52" w:line="185" w:lineRule="auto"/>
              <w:ind w:left="168"/>
            </w:pPr>
            <w:r>
              <w:rPr>
                <w:spacing w:val="-3"/>
              </w:rPr>
              <w:t>29</w:t>
            </w:r>
          </w:p>
        </w:tc>
        <w:tc>
          <w:tcPr>
            <w:tcW w:w="974" w:type="dxa"/>
            <w:vAlign w:val="top"/>
          </w:tcPr>
          <w:p>
            <w:pPr>
              <w:spacing w:line="321" w:lineRule="auto"/>
              <w:rPr>
                <w:rFonts w:ascii="Arial"/>
                <w:sz w:val="21"/>
              </w:rPr>
            </w:pPr>
          </w:p>
          <w:p>
            <w:pPr>
              <w:pStyle w:val="6"/>
              <w:spacing w:before="52" w:line="186" w:lineRule="auto"/>
              <w:ind w:left="287"/>
            </w:pPr>
            <w:r>
              <w:t>2.1.5</w:t>
            </w:r>
          </w:p>
        </w:tc>
        <w:tc>
          <w:tcPr>
            <w:tcW w:w="3566"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ascii="宋体" w:hAnsi="宋体" w:eastAsia="宋体" w:cs="宋体"/>
                <w:snapToGrid w:val="0"/>
                <w:color w:val="000000"/>
                <w:spacing w:val="3"/>
                <w:kern w:val="0"/>
                <w:sz w:val="16"/>
                <w:szCs w:val="16"/>
                <w:lang w:val="en-US" w:eastAsia="en-US" w:bidi="ar-SA"/>
              </w:rPr>
            </w:pPr>
            <w:r>
              <w:rPr>
                <w:rFonts w:ascii="宋体" w:hAnsi="宋体" w:eastAsia="宋体" w:cs="宋体"/>
                <w:snapToGrid w:val="0"/>
                <w:color w:val="000000"/>
                <w:spacing w:val="3"/>
                <w:kern w:val="0"/>
                <w:sz w:val="16"/>
                <w:szCs w:val="16"/>
                <w:lang w:val="en-US" w:eastAsia="en-US" w:bidi="ar-SA"/>
              </w:rPr>
              <w:t>201罐组溶剂油罐（V20103B）西南角消防炮铭牌显示工作压力范围为1.0～1.6MPa，消防水的供 水压力为0.7MPa（现场），供水压力不满足要求。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spacing w:before="114" w:line="68" w:lineRule="exact"/>
              <w:ind w:left="49"/>
            </w:pPr>
          </w:p>
        </w:tc>
        <w:tc>
          <w:tcPr>
            <w:tcW w:w="4751" w:type="dxa"/>
            <w:vAlign w:val="top"/>
          </w:tcPr>
          <w:p>
            <w:pPr>
              <w:spacing w:line="296" w:lineRule="auto"/>
              <w:rPr>
                <w:rFonts w:ascii="Arial"/>
                <w:sz w:val="21"/>
              </w:rPr>
            </w:pPr>
          </w:p>
          <w:p>
            <w:pPr>
              <w:pStyle w:val="6"/>
              <w:spacing w:before="52" w:line="222" w:lineRule="auto"/>
              <w:ind w:left="36"/>
            </w:pPr>
            <w:r>
              <w:rPr>
                <w:spacing w:val="3"/>
              </w:rPr>
              <w:t>联系供应商和设计单位核实。</w:t>
            </w:r>
          </w:p>
        </w:tc>
        <w:tc>
          <w:tcPr>
            <w:tcW w:w="957" w:type="dxa"/>
            <w:vAlign w:val="top"/>
          </w:tcPr>
          <w:p>
            <w:pPr>
              <w:rPr>
                <w:rFonts w:ascii="Arial"/>
                <w:sz w:val="21"/>
              </w:rPr>
            </w:pPr>
          </w:p>
        </w:tc>
        <w:tc>
          <w:tcPr>
            <w:tcW w:w="1091" w:type="dxa"/>
            <w:vAlign w:val="top"/>
          </w:tcPr>
          <w:p>
            <w:pPr>
              <w:rPr>
                <w:rFonts w:ascii="Arial"/>
                <w:sz w:val="21"/>
              </w:rPr>
            </w:pPr>
          </w:p>
        </w:tc>
        <w:tc>
          <w:tcPr>
            <w:tcW w:w="861" w:type="dxa"/>
            <w:vAlign w:val="top"/>
          </w:tcPr>
          <w:p>
            <w:pPr>
              <w:spacing w:line="295" w:lineRule="auto"/>
              <w:rPr>
                <w:rFonts w:ascii="Arial"/>
                <w:sz w:val="21"/>
              </w:rPr>
            </w:pPr>
          </w:p>
          <w:p>
            <w:pPr>
              <w:pStyle w:val="6"/>
              <w:spacing w:before="52" w:line="242" w:lineRule="auto"/>
              <w:ind w:left="401"/>
            </w:pPr>
            <w:r>
              <w:t>√</w:t>
            </w: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2" w:type="dxa"/>
            <w:vMerge w:val="continue"/>
            <w:tcBorders>
              <w:top w:val="nil"/>
              <w:bottom w:val="nil"/>
            </w:tcBorders>
            <w:vAlign w:val="top"/>
          </w:tcPr>
          <w:p>
            <w:pPr>
              <w:rPr>
                <w:rFonts w:ascii="Arial"/>
                <w:sz w:val="21"/>
              </w:rPr>
            </w:pPr>
          </w:p>
        </w:tc>
        <w:tc>
          <w:tcPr>
            <w:tcW w:w="489" w:type="dxa"/>
            <w:vAlign w:val="top"/>
          </w:tcPr>
          <w:p>
            <w:pPr>
              <w:pStyle w:val="6"/>
              <w:spacing w:before="271" w:line="185" w:lineRule="auto"/>
              <w:ind w:left="170"/>
            </w:pPr>
            <w:r>
              <w:rPr>
                <w:spacing w:val="-3"/>
              </w:rPr>
              <w:t>30</w:t>
            </w:r>
          </w:p>
        </w:tc>
        <w:tc>
          <w:tcPr>
            <w:tcW w:w="974" w:type="dxa"/>
            <w:vAlign w:val="top"/>
          </w:tcPr>
          <w:p>
            <w:pPr>
              <w:pStyle w:val="6"/>
              <w:spacing w:before="271" w:line="186" w:lineRule="auto"/>
              <w:ind w:left="284"/>
            </w:pPr>
            <w:r>
              <w:rPr>
                <w:spacing w:val="1"/>
              </w:rPr>
              <w:t>4.1.2</w:t>
            </w:r>
          </w:p>
        </w:tc>
        <w:tc>
          <w:tcPr>
            <w:tcW w:w="3566" w:type="dxa"/>
            <w:vAlign w:val="top"/>
          </w:tcPr>
          <w:p>
            <w:pPr>
              <w:pStyle w:val="6"/>
              <w:spacing w:before="43" w:line="228" w:lineRule="auto"/>
              <w:ind w:left="35" w:right="20"/>
            </w:pPr>
            <w:r>
              <w:rPr>
                <w:spacing w:val="5"/>
              </w:rPr>
              <w:t>生产装置真空分液罐（V10206）液位计由磁翻板</w:t>
            </w:r>
            <w:r>
              <w:rPr>
                <w:spacing w:val="6"/>
              </w:rPr>
              <w:t>液位计改为四氟管液位计，未履行变更管理手续</w:t>
            </w:r>
          </w:p>
          <w:p>
            <w:pPr>
              <w:pStyle w:val="6"/>
              <w:spacing w:before="113" w:line="61" w:lineRule="exact"/>
            </w:pPr>
            <w:r>
              <w:t>。</w:t>
            </w:r>
          </w:p>
        </w:tc>
        <w:tc>
          <w:tcPr>
            <w:tcW w:w="4751" w:type="dxa"/>
            <w:vAlign w:val="top"/>
          </w:tcPr>
          <w:p>
            <w:pPr>
              <w:pStyle w:val="6"/>
              <w:spacing w:before="43" w:line="228" w:lineRule="auto"/>
              <w:ind w:left="37" w:right="16"/>
            </w:pPr>
            <w:r>
              <w:rPr>
                <w:spacing w:val="6"/>
              </w:rPr>
              <w:t>按照《关于加强化工过程安全管理的指导意见》（安监总管三〔</w:t>
            </w:r>
            <w:r>
              <w:rPr>
                <w:spacing w:val="10"/>
              </w:rPr>
              <w:t xml:space="preserve"> </w:t>
            </w:r>
            <w:r>
              <w:rPr>
                <w:spacing w:val="7"/>
              </w:rPr>
              <w:t>2013〕88号）第（二十三</w:t>
            </w:r>
            <w:r>
              <w:rPr>
                <w:spacing w:val="1"/>
              </w:rPr>
              <w:t>）</w:t>
            </w:r>
            <w:r>
              <w:rPr>
                <w:rFonts w:hint="eastAsia"/>
                <w:spacing w:val="1"/>
                <w:lang w:eastAsia="zh-CN"/>
              </w:rPr>
              <w:t>、</w:t>
            </w:r>
            <w:r>
              <w:rPr>
                <w:spacing w:val="1"/>
              </w:rPr>
              <w:t>（</w:t>
            </w:r>
            <w:r>
              <w:rPr>
                <w:spacing w:val="7"/>
              </w:rPr>
              <w:t>二十四）条的要求，加强变更管理</w:t>
            </w:r>
            <w:r>
              <w:t>。</w:t>
            </w:r>
          </w:p>
        </w:tc>
        <w:tc>
          <w:tcPr>
            <w:tcW w:w="957" w:type="dxa"/>
            <w:vAlign w:val="top"/>
          </w:tcPr>
          <w:p>
            <w:pPr>
              <w:rPr>
                <w:rFonts w:ascii="Arial"/>
                <w:sz w:val="21"/>
              </w:rPr>
            </w:pPr>
          </w:p>
        </w:tc>
        <w:tc>
          <w:tcPr>
            <w:tcW w:w="1091" w:type="dxa"/>
            <w:vAlign w:val="top"/>
          </w:tcPr>
          <w:p>
            <w:pPr>
              <w:pStyle w:val="6"/>
              <w:spacing w:before="245"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325" w:lineRule="auto"/>
              <w:rPr>
                <w:rFonts w:ascii="Arial"/>
                <w:sz w:val="21"/>
              </w:rPr>
            </w:pPr>
          </w:p>
          <w:p>
            <w:pPr>
              <w:pStyle w:val="6"/>
              <w:spacing w:before="52" w:line="186" w:lineRule="auto"/>
              <w:ind w:left="170"/>
            </w:pPr>
            <w:r>
              <w:rPr>
                <w:spacing w:val="-3"/>
              </w:rPr>
              <w:t>31</w:t>
            </w:r>
          </w:p>
        </w:tc>
        <w:tc>
          <w:tcPr>
            <w:tcW w:w="974" w:type="dxa"/>
            <w:vAlign w:val="top"/>
          </w:tcPr>
          <w:p>
            <w:pPr>
              <w:spacing w:line="326" w:lineRule="auto"/>
              <w:rPr>
                <w:rFonts w:ascii="Arial"/>
                <w:sz w:val="21"/>
              </w:rPr>
            </w:pPr>
          </w:p>
          <w:p>
            <w:pPr>
              <w:pStyle w:val="6"/>
              <w:spacing w:before="52" w:line="185" w:lineRule="auto"/>
              <w:ind w:left="284"/>
            </w:pPr>
            <w:r>
              <w:rPr>
                <w:spacing w:val="1"/>
              </w:rPr>
              <w:t>4.2.4</w:t>
            </w:r>
          </w:p>
        </w:tc>
        <w:tc>
          <w:tcPr>
            <w:tcW w:w="3566" w:type="dxa"/>
            <w:vAlign w:val="top"/>
          </w:tcPr>
          <w:p>
            <w:pPr>
              <w:pStyle w:val="6"/>
              <w:spacing w:before="250" w:line="228" w:lineRule="auto"/>
              <w:ind w:left="39" w:right="21" w:hanging="3"/>
            </w:pPr>
            <w:r>
              <w:rPr>
                <w:spacing w:val="6"/>
              </w:rPr>
              <w:t>未建立静态反应器（R10201 ）至反应沉降罐（V10202B）之间管道的定期测厚记录。</w:t>
            </w:r>
          </w:p>
        </w:tc>
        <w:tc>
          <w:tcPr>
            <w:tcW w:w="4751" w:type="dxa"/>
            <w:vAlign w:val="top"/>
          </w:tcPr>
          <w:p>
            <w:pPr>
              <w:pStyle w:val="6"/>
              <w:spacing w:before="150" w:line="230" w:lineRule="auto"/>
              <w:ind w:left="37" w:right="41"/>
              <w:jc w:val="both"/>
            </w:pPr>
            <w:r>
              <w:rPr>
                <w:spacing w:val="6"/>
              </w:rPr>
              <w:t>按照《关于加强化工企业泄漏管理的指导意见》（安监总管三〔 2014〕94号）第（十六）条的要求，对易腐蚀、易磨损的设备、管道进行定期测厚。</w:t>
            </w:r>
          </w:p>
        </w:tc>
        <w:tc>
          <w:tcPr>
            <w:tcW w:w="957" w:type="dxa"/>
            <w:vAlign w:val="top"/>
          </w:tcPr>
          <w:p>
            <w:pPr>
              <w:rPr>
                <w:rFonts w:ascii="Arial"/>
                <w:sz w:val="21"/>
              </w:rPr>
            </w:pPr>
          </w:p>
        </w:tc>
        <w:tc>
          <w:tcPr>
            <w:tcW w:w="1091" w:type="dxa"/>
            <w:vAlign w:val="top"/>
          </w:tcPr>
          <w:p>
            <w:pPr>
              <w:spacing w:line="300"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325" w:lineRule="auto"/>
              <w:rPr>
                <w:rFonts w:ascii="Arial"/>
                <w:sz w:val="21"/>
              </w:rPr>
            </w:pPr>
          </w:p>
          <w:p>
            <w:pPr>
              <w:pStyle w:val="6"/>
              <w:spacing w:before="52" w:line="185" w:lineRule="auto"/>
              <w:ind w:left="170"/>
            </w:pPr>
            <w:r>
              <w:rPr>
                <w:spacing w:val="-3"/>
              </w:rPr>
              <w:t>32</w:t>
            </w:r>
          </w:p>
        </w:tc>
        <w:tc>
          <w:tcPr>
            <w:tcW w:w="974" w:type="dxa"/>
            <w:vAlign w:val="top"/>
          </w:tcPr>
          <w:p>
            <w:pPr>
              <w:spacing w:line="325" w:lineRule="auto"/>
              <w:rPr>
                <w:rFonts w:ascii="Arial"/>
                <w:sz w:val="21"/>
              </w:rPr>
            </w:pPr>
          </w:p>
          <w:p>
            <w:pPr>
              <w:pStyle w:val="6"/>
              <w:spacing w:before="52" w:line="185" w:lineRule="auto"/>
              <w:ind w:left="284"/>
            </w:pPr>
            <w:r>
              <w:rPr>
                <w:spacing w:val="1"/>
              </w:rPr>
              <w:t>4.2.5</w:t>
            </w:r>
          </w:p>
        </w:tc>
        <w:tc>
          <w:tcPr>
            <w:tcW w:w="3566" w:type="dxa"/>
            <w:vAlign w:val="top"/>
          </w:tcPr>
          <w:p>
            <w:pPr>
              <w:pStyle w:val="6"/>
              <w:spacing w:before="150" w:line="230" w:lineRule="auto"/>
              <w:ind w:left="36" w:right="20" w:hanging="1"/>
              <w:jc w:val="both"/>
            </w:pPr>
            <w:r>
              <w:rPr>
                <w:spacing w:val="6"/>
              </w:rPr>
              <w:t>生产装置反应工序静态反应器至反应沉降罐（V10202B）入口管道（介质含氟化氢）法兰未设置防喷溅设施。</w:t>
            </w:r>
          </w:p>
        </w:tc>
        <w:tc>
          <w:tcPr>
            <w:tcW w:w="4751" w:type="dxa"/>
            <w:vAlign w:val="top"/>
          </w:tcPr>
          <w:p>
            <w:pPr>
              <w:pStyle w:val="6"/>
              <w:spacing w:before="150" w:line="230" w:lineRule="auto"/>
              <w:ind w:left="37" w:right="16"/>
              <w:jc w:val="both"/>
            </w:pPr>
            <w:r>
              <w:rPr>
                <w:spacing w:val="6"/>
              </w:rPr>
              <w:t>按照《化工企业安全卫生设计规范》（HG 20571-2014）第5.6.1条的要求，设计具有化学灼伤危害物质的生产过程时，应合理选择流程、设备和管道结构及材料，防止物料外泄或喷溅。</w:t>
            </w:r>
          </w:p>
        </w:tc>
        <w:tc>
          <w:tcPr>
            <w:tcW w:w="957" w:type="dxa"/>
            <w:vAlign w:val="top"/>
          </w:tcPr>
          <w:p>
            <w:pPr>
              <w:rPr>
                <w:rFonts w:ascii="Arial"/>
                <w:sz w:val="21"/>
              </w:rPr>
            </w:pPr>
          </w:p>
        </w:tc>
        <w:tc>
          <w:tcPr>
            <w:tcW w:w="1091" w:type="dxa"/>
            <w:vAlign w:val="top"/>
          </w:tcPr>
          <w:p>
            <w:pPr>
              <w:rPr>
                <w:rFonts w:ascii="Arial"/>
                <w:sz w:val="21"/>
              </w:rPr>
            </w:pPr>
          </w:p>
        </w:tc>
        <w:tc>
          <w:tcPr>
            <w:tcW w:w="861" w:type="dxa"/>
            <w:vAlign w:val="top"/>
          </w:tcPr>
          <w:p>
            <w:pPr>
              <w:spacing w:line="299" w:lineRule="auto"/>
              <w:rPr>
                <w:rFonts w:ascii="Arial"/>
                <w:sz w:val="21"/>
              </w:rPr>
            </w:pPr>
          </w:p>
          <w:p>
            <w:pPr>
              <w:pStyle w:val="6"/>
              <w:spacing w:before="52" w:line="242" w:lineRule="auto"/>
              <w:ind w:left="401"/>
            </w:pPr>
            <w:r>
              <w:t>√</w:t>
            </w:r>
          </w:p>
        </w:tc>
        <w:tc>
          <w:tcPr>
            <w:tcW w:w="1451" w:type="dxa"/>
            <w:vAlign w:val="top"/>
          </w:tcPr>
          <w:p>
            <w:pPr>
              <w:rPr>
                <w:rFonts w:ascii="Arial"/>
                <w:sz w:val="21"/>
              </w:rPr>
            </w:pPr>
          </w:p>
        </w:tc>
      </w:tr>
    </w:tbl>
    <w:p>
      <w:pPr>
        <w:rPr>
          <w:rFonts w:ascii="Arial"/>
          <w:sz w:val="21"/>
        </w:rPr>
      </w:pPr>
    </w:p>
    <w:p>
      <w:pPr>
        <w:rPr>
          <w:rFonts w:ascii="Arial" w:hAnsi="Arial" w:eastAsia="Arial" w:cs="Arial"/>
          <w:sz w:val="21"/>
          <w:szCs w:val="21"/>
        </w:rPr>
        <w:sectPr>
          <w:pgSz w:w="16834" w:h="11909"/>
          <w:pgMar w:top="1012" w:right="1127" w:bottom="0" w:left="1012" w:header="0" w:footer="0" w:gutter="0"/>
          <w:cols w:space="720" w:num="1"/>
        </w:sectPr>
      </w:pPr>
    </w:p>
    <w:tbl>
      <w:tblPr>
        <w:tblStyle w:val="5"/>
        <w:tblW w:w="146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489"/>
        <w:gridCol w:w="1029"/>
        <w:gridCol w:w="3511"/>
        <w:gridCol w:w="4751"/>
        <w:gridCol w:w="957"/>
        <w:gridCol w:w="1091"/>
        <w:gridCol w:w="861"/>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542" w:type="dxa"/>
            <w:tcBorders>
              <w:top w:val="nil"/>
            </w:tcBorders>
            <w:vAlign w:val="top"/>
          </w:tcPr>
          <w:p>
            <w:pPr>
              <w:pStyle w:val="6"/>
              <w:spacing w:before="90" w:line="224" w:lineRule="auto"/>
              <w:ind w:left="109"/>
            </w:pPr>
            <w:r>
              <w:rPr>
                <w:spacing w:val="1"/>
                <w14:textOutline w14:w="2960" w14:cap="sq" w14:cmpd="sng">
                  <w14:solidFill>
                    <w14:srgbClr w14:val="000000"/>
                  </w14:solidFill>
                  <w14:prstDash w14:val="solid"/>
                  <w14:bevel/>
                </w14:textOutline>
              </w:rPr>
              <w:t>专业</w:t>
            </w:r>
          </w:p>
        </w:tc>
        <w:tc>
          <w:tcPr>
            <w:tcW w:w="489" w:type="dxa"/>
            <w:tcBorders>
              <w:top w:val="nil"/>
            </w:tcBorders>
            <w:vAlign w:val="top"/>
          </w:tcPr>
          <w:p>
            <w:pPr>
              <w:pStyle w:val="6"/>
              <w:spacing w:before="90" w:line="224" w:lineRule="auto"/>
              <w:ind w:left="80"/>
            </w:pPr>
            <w:r>
              <w:rPr>
                <w:spacing w:val="2"/>
                <w14:textOutline w14:w="2960" w14:cap="sq" w14:cmpd="sng">
                  <w14:solidFill>
                    <w14:srgbClr w14:val="000000"/>
                  </w14:solidFill>
                  <w14:prstDash w14:val="solid"/>
                  <w14:bevel/>
                </w14:textOutline>
              </w:rPr>
              <w:t>序号</w:t>
            </w:r>
          </w:p>
        </w:tc>
        <w:tc>
          <w:tcPr>
            <w:tcW w:w="1029" w:type="dxa"/>
            <w:tcBorders>
              <w:top w:val="nil"/>
            </w:tcBorders>
            <w:vAlign w:val="top"/>
          </w:tcPr>
          <w:p>
            <w:pPr>
              <w:pStyle w:val="6"/>
              <w:spacing w:before="1" w:line="221" w:lineRule="auto"/>
              <w:ind w:left="76" w:right="65"/>
            </w:pPr>
            <w:r>
              <w:rPr>
                <w:spacing w:val="4"/>
                <w14:textOutline w14:w="2960" w14:cap="sq" w14:cmpd="sng">
                  <w14:solidFill>
                    <w14:srgbClr w14:val="000000"/>
                  </w14:solidFill>
                  <w14:prstDash w14:val="solid"/>
                  <w14:bevel/>
                </w14:textOutline>
              </w:rPr>
              <w:t>核查表中检</w:t>
            </w:r>
            <w:r>
              <w:rPr>
                <w:spacing w:val="1"/>
              </w:rPr>
              <w:t xml:space="preserve"> </w:t>
            </w:r>
            <w:r>
              <w:rPr>
                <w:spacing w:val="4"/>
                <w14:textOutline w14:w="2960" w14:cap="sq" w14:cmpd="sng">
                  <w14:solidFill>
                    <w14:srgbClr w14:val="000000"/>
                  </w14:solidFill>
                  <w14:prstDash w14:val="solid"/>
                  <w14:bevel/>
                </w14:textOutline>
              </w:rPr>
              <w:t>查内容序号</w:t>
            </w:r>
          </w:p>
        </w:tc>
        <w:tc>
          <w:tcPr>
            <w:tcW w:w="3511" w:type="dxa"/>
            <w:tcBorders>
              <w:top w:val="nil"/>
            </w:tcBorders>
            <w:vAlign w:val="top"/>
          </w:tcPr>
          <w:p>
            <w:pPr>
              <w:pStyle w:val="6"/>
              <w:spacing w:before="90" w:line="225" w:lineRule="auto"/>
              <w:ind w:left="1472"/>
            </w:pPr>
            <w:r>
              <w:rPr>
                <w:spacing w:val="-1"/>
                <w14:textOutline w14:w="2960" w14:cap="sq" w14:cmpd="sng">
                  <w14:solidFill>
                    <w14:srgbClr w14:val="000000"/>
                  </w14:solidFill>
                  <w14:prstDash w14:val="solid"/>
                  <w14:bevel/>
                </w14:textOutline>
              </w:rPr>
              <w:t>问题描述</w:t>
            </w:r>
          </w:p>
        </w:tc>
        <w:tc>
          <w:tcPr>
            <w:tcW w:w="4751" w:type="dxa"/>
            <w:tcBorders>
              <w:top w:val="nil"/>
            </w:tcBorders>
            <w:vAlign w:val="top"/>
          </w:tcPr>
          <w:p>
            <w:pPr>
              <w:pStyle w:val="6"/>
              <w:spacing w:before="90" w:line="223" w:lineRule="auto"/>
              <w:ind w:left="2050"/>
            </w:pPr>
            <w:r>
              <w:rPr>
                <w:spacing w:val="4"/>
                <w14:textOutline w14:w="2960" w14:cap="sq" w14:cmpd="sng">
                  <w14:solidFill>
                    <w14:srgbClr w14:val="000000"/>
                  </w14:solidFill>
                  <w14:prstDash w14:val="solid"/>
                  <w14:bevel/>
                </w14:textOutline>
              </w:rPr>
              <w:t>整改建议</w:t>
            </w:r>
          </w:p>
        </w:tc>
        <w:tc>
          <w:tcPr>
            <w:tcW w:w="957" w:type="dxa"/>
            <w:vAlign w:val="top"/>
          </w:tcPr>
          <w:p>
            <w:pPr>
              <w:pStyle w:val="6"/>
              <w:spacing w:before="31" w:line="214" w:lineRule="auto"/>
              <w:ind w:left="403" w:right="50" w:hanging="331"/>
              <w:jc w:val="center"/>
              <w:rPr>
                <w:rFonts w:hint="eastAsia"/>
                <w:spacing w:val="4"/>
                <w:lang w:eastAsia="zh-CN"/>
                <w14:textOutline w14:w="2960" w14:cap="sq" w14:cmpd="sng">
                  <w14:solidFill>
                    <w14:srgbClr w14:val="000000"/>
                  </w14:solidFill>
                  <w14:prstDash w14:val="solid"/>
                  <w14:bevel/>
                </w14:textOutline>
              </w:rPr>
            </w:pPr>
            <w:r>
              <w:rPr>
                <w:spacing w:val="4"/>
                <w14:textOutline w14:w="2960" w14:cap="sq" w14:cmpd="sng">
                  <w14:solidFill>
                    <w14:srgbClr w14:val="000000"/>
                  </w14:solidFill>
                  <w14:prstDash w14:val="solid"/>
                  <w14:bevel/>
                </w14:textOutline>
              </w:rPr>
              <w:t>文件</w:t>
            </w:r>
            <w:r>
              <w:rPr>
                <w:rFonts w:hint="eastAsia"/>
                <w:spacing w:val="4"/>
                <w:lang w:eastAsia="zh-CN"/>
                <w14:textOutline w14:w="2960" w14:cap="sq" w14:cmpd="sng">
                  <w14:solidFill>
                    <w14:srgbClr w14:val="000000"/>
                  </w14:solidFill>
                  <w14:prstDash w14:val="solid"/>
                  <w14:bevel/>
                </w14:textOutline>
              </w:rPr>
              <w:t>类</w:t>
            </w:r>
          </w:p>
          <w:p>
            <w:pPr>
              <w:pStyle w:val="6"/>
              <w:spacing w:before="31" w:line="214" w:lineRule="auto"/>
              <w:ind w:left="403" w:right="50" w:hanging="331"/>
              <w:jc w:val="center"/>
            </w:pPr>
            <w:r>
              <w:rPr>
                <w:spacing w:val="4"/>
                <w14:textOutline w14:w="2960" w14:cap="sq" w14:cmpd="sng">
                  <w14:solidFill>
                    <w14:srgbClr w14:val="000000"/>
                  </w14:solidFill>
                  <w14:prstDash w14:val="solid"/>
                  <w14:bevel/>
                </w14:textOutline>
              </w:rPr>
              <w:t>资料</w:t>
            </w:r>
            <w:r>
              <w:rPr>
                <w14:textOutline w14:w="2960" w14:cap="sq" w14:cmpd="sng">
                  <w14:solidFill>
                    <w14:srgbClr w14:val="000000"/>
                  </w14:solidFill>
                  <w14:prstDash w14:val="solid"/>
                  <w14:bevel/>
                </w14:textOutline>
              </w:rPr>
              <w:t>类</w:t>
            </w:r>
          </w:p>
        </w:tc>
        <w:tc>
          <w:tcPr>
            <w:tcW w:w="1091" w:type="dxa"/>
            <w:vAlign w:val="top"/>
          </w:tcPr>
          <w:p>
            <w:pPr>
              <w:pStyle w:val="6"/>
              <w:spacing w:before="196" w:line="223" w:lineRule="auto"/>
              <w:ind w:left="304"/>
            </w:pPr>
            <w:r>
              <w:rPr>
                <w:spacing w:val="3"/>
                <w14:textOutline w14:w="2960" w14:cap="sq" w14:cmpd="sng">
                  <w14:solidFill>
                    <w14:srgbClr w14:val="000000"/>
                  </w14:solidFill>
                  <w14:prstDash w14:val="solid"/>
                  <w14:bevel/>
                </w14:textOutline>
              </w:rPr>
              <w:t>执行类</w:t>
            </w:r>
          </w:p>
        </w:tc>
        <w:tc>
          <w:tcPr>
            <w:tcW w:w="861" w:type="dxa"/>
            <w:vAlign w:val="top"/>
          </w:tcPr>
          <w:p>
            <w:pPr>
              <w:pStyle w:val="6"/>
              <w:spacing w:before="196" w:line="223" w:lineRule="auto"/>
              <w:ind w:left="193"/>
            </w:pPr>
            <w:r>
              <w:rPr>
                <w:spacing w:val="3"/>
                <w14:textOutline w14:w="2960" w14:cap="sq" w14:cmpd="sng">
                  <w14:solidFill>
                    <w14:srgbClr w14:val="000000"/>
                  </w14:solidFill>
                  <w14:prstDash w14:val="solid"/>
                  <w14:bevel/>
                </w14:textOutline>
              </w:rPr>
              <w:t>现场类</w:t>
            </w:r>
          </w:p>
        </w:tc>
        <w:tc>
          <w:tcPr>
            <w:tcW w:w="1451" w:type="dxa"/>
            <w:tcBorders>
              <w:top w:val="nil"/>
            </w:tcBorders>
            <w:vAlign w:val="top"/>
          </w:tcPr>
          <w:p>
            <w:pPr>
              <w:pStyle w:val="6"/>
              <w:spacing w:before="84" w:line="229" w:lineRule="auto"/>
              <w:ind w:left="655"/>
              <w:rPr>
                <w:sz w:val="17"/>
                <w:szCs w:val="17"/>
              </w:rPr>
            </w:pPr>
            <w:r>
              <w:rPr>
                <w:sz w:val="17"/>
                <w:szCs w:val="17"/>
                <w14:textOutline w14:w="3130" w14:cap="sq" w14:cmpd="sng">
                  <w14:solidFill>
                    <w14:srgbClr w14:val="000000"/>
                  </w14:solidFill>
                  <w14:prstDash w14:val="solid"/>
                  <w14:bevel/>
                </w14:textOutline>
              </w:rPr>
              <w:t>患</w:t>
            </w:r>
          </w:p>
          <w:p>
            <w:pPr>
              <w:pStyle w:val="6"/>
              <w:spacing w:line="186" w:lineRule="auto"/>
              <w:ind w:left="689"/>
              <w:rPr>
                <w:sz w:val="17"/>
                <w:szCs w:val="17"/>
              </w:rPr>
            </w:pPr>
            <w:r>
              <w:rPr>
                <w:sz w:val="17"/>
                <w:szCs w:val="17"/>
                <w14:textOutline w14:w="3130" w14:cap="sq" w14:cmpd="sng">
                  <w14:solidFill>
                    <w14:srgbClr w14:val="000000"/>
                  </w14:solidFill>
                  <w14:prstDash w14:val="solid"/>
                  <w14:bevel/>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542" w:type="dxa"/>
            <w:vMerge w:val="restart"/>
            <w:tcBorders>
              <w:bottom w:val="nil"/>
            </w:tcBorders>
            <w:vAlign w:val="top"/>
          </w:tcPr>
          <w:p>
            <w:pPr>
              <w:spacing w:line="272" w:lineRule="auto"/>
              <w:rPr>
                <w:rFonts w:ascii="Arial"/>
                <w:sz w:val="21"/>
              </w:rPr>
            </w:pPr>
          </w:p>
          <w:p>
            <w:pPr>
              <w:pStyle w:val="6"/>
              <w:spacing w:before="52" w:line="228" w:lineRule="auto"/>
              <w:ind w:left="112" w:right="99" w:hanging="1"/>
            </w:pPr>
            <w:r>
              <w:rPr>
                <w14:textOutline w14:w="2960" w14:cap="sq" w14:cmpd="sng">
                  <w14:solidFill>
                    <w14:srgbClr w14:val="000000"/>
                  </w14:solidFill>
                  <w14:prstDash w14:val="solid"/>
                  <w14:bevel/>
                </w14:textOutline>
              </w:rPr>
              <w:t>设备</w:t>
            </w:r>
            <w:r>
              <w:t xml:space="preserve"> </w:t>
            </w:r>
            <w:r>
              <w:rPr>
                <w:spacing w:val="-1"/>
                <w14:textOutline w14:w="2960" w14:cap="sq" w14:cmpd="sng">
                  <w14:solidFill>
                    <w14:srgbClr w14:val="000000"/>
                  </w14:solidFill>
                  <w14:prstDash w14:val="solid"/>
                  <w14:bevel/>
                </w14:textOutline>
              </w:rPr>
              <w:t>管理</w:t>
            </w:r>
          </w:p>
        </w:tc>
        <w:tc>
          <w:tcPr>
            <w:tcW w:w="489" w:type="dxa"/>
            <w:vAlign w:val="top"/>
          </w:tcPr>
          <w:p>
            <w:pPr>
              <w:spacing w:line="295" w:lineRule="auto"/>
              <w:rPr>
                <w:rFonts w:ascii="Arial"/>
                <w:sz w:val="21"/>
              </w:rPr>
            </w:pPr>
          </w:p>
          <w:p>
            <w:pPr>
              <w:pStyle w:val="6"/>
              <w:spacing w:before="52" w:line="185" w:lineRule="auto"/>
              <w:ind w:left="170"/>
            </w:pPr>
            <w:r>
              <w:rPr>
                <w:spacing w:val="-3"/>
              </w:rPr>
              <w:t>33</w:t>
            </w:r>
          </w:p>
        </w:tc>
        <w:tc>
          <w:tcPr>
            <w:tcW w:w="1029" w:type="dxa"/>
            <w:vAlign w:val="top"/>
          </w:tcPr>
          <w:p>
            <w:pPr>
              <w:spacing w:line="295" w:lineRule="auto"/>
              <w:rPr>
                <w:rFonts w:ascii="Arial"/>
                <w:sz w:val="21"/>
              </w:rPr>
            </w:pPr>
          </w:p>
          <w:p>
            <w:pPr>
              <w:pStyle w:val="6"/>
              <w:spacing w:before="52" w:line="185" w:lineRule="auto"/>
              <w:ind w:left="284"/>
            </w:pPr>
            <w:r>
              <w:rPr>
                <w:spacing w:val="1"/>
              </w:rPr>
              <w:t>4.2.9</w:t>
            </w:r>
          </w:p>
        </w:tc>
        <w:tc>
          <w:tcPr>
            <w:tcW w:w="3511" w:type="dxa"/>
            <w:vAlign w:val="top"/>
          </w:tcPr>
          <w:p>
            <w:pPr>
              <w:pStyle w:val="6"/>
              <w:spacing w:before="223" w:line="229" w:lineRule="auto"/>
              <w:ind w:right="20"/>
            </w:pPr>
            <w:r>
              <w:rPr>
                <w:spacing w:val="4"/>
              </w:rPr>
              <w:t>提馏塔、再沸器（E10211）、管箱法兰、进出口法兰等多处保温缺失。</w:t>
            </w:r>
          </w:p>
        </w:tc>
        <w:tc>
          <w:tcPr>
            <w:tcW w:w="4751" w:type="dxa"/>
            <w:vAlign w:val="top"/>
          </w:tcPr>
          <w:p>
            <w:pPr>
              <w:pStyle w:val="6"/>
              <w:spacing w:before="223" w:line="229" w:lineRule="auto"/>
              <w:ind w:right="16"/>
            </w:pPr>
            <w:r>
              <w:rPr>
                <w:spacing w:val="4"/>
              </w:rPr>
              <w:t>按照《工业设备及管道绝热工程设计规范》（</w:t>
            </w:r>
            <w:r>
              <w:t>GB</w:t>
            </w:r>
            <w:r>
              <w:rPr>
                <w:spacing w:val="4"/>
              </w:rPr>
              <w:t xml:space="preserve"> 50264-</w:t>
            </w:r>
            <w:r>
              <w:rPr>
                <w:spacing w:val="3"/>
              </w:rPr>
              <w:t>2013）第</w:t>
            </w:r>
            <w:r>
              <w:t xml:space="preserve"> </w:t>
            </w:r>
            <w:r>
              <w:rPr>
                <w:spacing w:val="4"/>
              </w:rPr>
              <w:t>3.0.1条的要求，设置保温或防烫措施，按</w:t>
            </w:r>
            <w:r>
              <w:rPr>
                <w:spacing w:val="3"/>
              </w:rPr>
              <w:t>照设计要求完善保温。</w:t>
            </w:r>
          </w:p>
        </w:tc>
        <w:tc>
          <w:tcPr>
            <w:tcW w:w="957" w:type="dxa"/>
            <w:vAlign w:val="top"/>
          </w:tcPr>
          <w:p>
            <w:pPr>
              <w:rPr>
                <w:rFonts w:ascii="Arial"/>
                <w:sz w:val="21"/>
              </w:rPr>
            </w:pPr>
          </w:p>
        </w:tc>
        <w:tc>
          <w:tcPr>
            <w:tcW w:w="1091" w:type="dxa"/>
            <w:vAlign w:val="top"/>
          </w:tcPr>
          <w:p>
            <w:pPr>
              <w:rPr>
                <w:rFonts w:ascii="Arial"/>
                <w:sz w:val="21"/>
              </w:rPr>
            </w:pPr>
          </w:p>
        </w:tc>
        <w:tc>
          <w:tcPr>
            <w:tcW w:w="861" w:type="dxa"/>
            <w:vAlign w:val="top"/>
          </w:tcPr>
          <w:p>
            <w:pPr>
              <w:spacing w:line="269" w:lineRule="auto"/>
              <w:rPr>
                <w:rFonts w:ascii="Arial"/>
                <w:sz w:val="21"/>
              </w:rPr>
            </w:pPr>
          </w:p>
          <w:p>
            <w:pPr>
              <w:pStyle w:val="6"/>
              <w:spacing w:before="52" w:line="242" w:lineRule="auto"/>
              <w:ind w:left="401"/>
            </w:pPr>
            <w:r>
              <w:t>√</w:t>
            </w: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2" w:type="dxa"/>
            <w:vMerge w:val="continue"/>
            <w:tcBorders>
              <w:top w:val="nil"/>
              <w:bottom w:val="nil"/>
            </w:tcBorders>
            <w:vAlign w:val="top"/>
          </w:tcPr>
          <w:p>
            <w:pPr>
              <w:rPr>
                <w:rFonts w:ascii="Arial"/>
                <w:sz w:val="21"/>
              </w:rPr>
            </w:pPr>
          </w:p>
        </w:tc>
        <w:tc>
          <w:tcPr>
            <w:tcW w:w="489" w:type="dxa"/>
            <w:vAlign w:val="top"/>
          </w:tcPr>
          <w:p>
            <w:pPr>
              <w:pStyle w:val="6"/>
              <w:spacing w:before="263" w:line="185" w:lineRule="auto"/>
              <w:ind w:left="170"/>
            </w:pPr>
            <w:r>
              <w:rPr>
                <w:spacing w:val="-3"/>
              </w:rPr>
              <w:t>34</w:t>
            </w:r>
          </w:p>
        </w:tc>
        <w:tc>
          <w:tcPr>
            <w:tcW w:w="1029" w:type="dxa"/>
            <w:vAlign w:val="top"/>
          </w:tcPr>
          <w:p>
            <w:pPr>
              <w:pStyle w:val="6"/>
              <w:spacing w:before="263" w:line="186" w:lineRule="auto"/>
              <w:ind w:left="243"/>
            </w:pPr>
            <w:r>
              <w:rPr>
                <w:spacing w:val="1"/>
              </w:rPr>
              <w:t>4.2.12</w:t>
            </w:r>
          </w:p>
        </w:tc>
        <w:tc>
          <w:tcPr>
            <w:tcW w:w="3511" w:type="dxa"/>
            <w:vAlign w:val="top"/>
          </w:tcPr>
          <w:p>
            <w:pPr>
              <w:pStyle w:val="6"/>
              <w:spacing w:before="36" w:line="227" w:lineRule="auto"/>
              <w:ind w:left="38" w:right="20" w:hanging="3"/>
            </w:pPr>
            <w:r>
              <w:rPr>
                <w:spacing w:val="-5"/>
              </w:rPr>
              <w:t>2023年9月23日-2024年10月1</w:t>
            </w:r>
            <w:r>
              <w:rPr>
                <w:spacing w:val="-6"/>
              </w:rPr>
              <w:t>6日</w:t>
            </w:r>
            <w:r>
              <w:rPr>
                <w:rFonts w:hint="eastAsia"/>
                <w:spacing w:val="-6"/>
                <w:lang w:eastAsia="zh-CN"/>
              </w:rPr>
              <w:t>，</w:t>
            </w:r>
            <w:r>
              <w:rPr>
                <w:spacing w:val="-6"/>
              </w:rPr>
              <w:t>甲醇泵</w:t>
            </w:r>
            <w:r>
              <w:rPr>
                <w:spacing w:val="5"/>
              </w:rPr>
              <w:t>（P10108A）出现4次机封泄漏，未分析故障原因</w:t>
            </w:r>
            <w:r>
              <w:t>。</w:t>
            </w:r>
          </w:p>
        </w:tc>
        <w:tc>
          <w:tcPr>
            <w:tcW w:w="4751" w:type="dxa"/>
            <w:vAlign w:val="top"/>
          </w:tcPr>
          <w:p>
            <w:pPr>
              <w:pStyle w:val="6"/>
              <w:spacing w:before="35" w:line="222" w:lineRule="auto"/>
              <w:ind w:left="36" w:right="18"/>
              <w:jc w:val="both"/>
            </w:pPr>
            <w:r>
              <w:rPr>
                <w:spacing w:val="6"/>
              </w:rPr>
              <w:t>按照《危险化学品企业装置设备带“病</w:t>
            </w:r>
            <w:r>
              <w:rPr>
                <w:spacing w:val="-45"/>
              </w:rPr>
              <w:t xml:space="preserve"> </w:t>
            </w:r>
            <w:r>
              <w:rPr>
                <w:spacing w:val="6"/>
              </w:rPr>
              <w:t>”运行安全专项整治工作</w:t>
            </w:r>
            <w:r>
              <w:rPr>
                <w:spacing w:val="7"/>
              </w:rPr>
              <w:t>方案》第三条的要求，对于反复出现异常的设备设施进行原因分</w:t>
            </w:r>
            <w:r>
              <w:rPr>
                <w:spacing w:val="-2"/>
              </w:rPr>
              <w:t>析。</w:t>
            </w:r>
          </w:p>
        </w:tc>
        <w:tc>
          <w:tcPr>
            <w:tcW w:w="957" w:type="dxa"/>
            <w:vAlign w:val="top"/>
          </w:tcPr>
          <w:p>
            <w:pPr>
              <w:rPr>
                <w:rFonts w:ascii="Arial"/>
                <w:sz w:val="21"/>
              </w:rPr>
            </w:pPr>
          </w:p>
        </w:tc>
        <w:tc>
          <w:tcPr>
            <w:tcW w:w="1091" w:type="dxa"/>
            <w:vAlign w:val="top"/>
          </w:tcPr>
          <w:p>
            <w:pPr>
              <w:pStyle w:val="6"/>
              <w:spacing w:before="237"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2" w:line="185" w:lineRule="auto"/>
              <w:ind w:left="170"/>
            </w:pPr>
            <w:r>
              <w:rPr>
                <w:spacing w:val="-3"/>
              </w:rPr>
              <w:t>35</w:t>
            </w:r>
          </w:p>
        </w:tc>
        <w:tc>
          <w:tcPr>
            <w:tcW w:w="1029" w:type="dxa"/>
            <w:vAlign w:val="top"/>
          </w:tcPr>
          <w:p>
            <w:pPr>
              <w:spacing w:line="315"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2" w:line="186" w:lineRule="auto"/>
              <w:ind w:left="284"/>
            </w:pPr>
            <w:r>
              <w:rPr>
                <w:spacing w:val="1"/>
              </w:rPr>
              <w:t>4.4.1</w:t>
            </w:r>
          </w:p>
        </w:tc>
        <w:tc>
          <w:tcPr>
            <w:tcW w:w="3511" w:type="dxa"/>
            <w:vAlign w:val="top"/>
          </w:tcPr>
          <w:p>
            <w:pPr>
              <w:spacing w:line="309" w:lineRule="auto"/>
              <w:rPr>
                <w:rFonts w:ascii="Arial"/>
                <w:sz w:val="21"/>
              </w:rPr>
            </w:pPr>
          </w:p>
          <w:p>
            <w:pPr>
              <w:spacing w:line="310"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11"/>
                <w:kern w:val="0"/>
                <w:sz w:val="16"/>
                <w:szCs w:val="16"/>
                <w:lang w:val="en-US" w:eastAsia="en-US" w:bidi="ar-SA"/>
              </w:rPr>
            </w:pPr>
            <w:r>
              <w:rPr>
                <w:rFonts w:hint="eastAsia" w:ascii="宋体" w:hAnsi="宋体" w:eastAsia="宋体" w:cs="宋体"/>
                <w:snapToGrid w:val="0"/>
                <w:color w:val="000000"/>
                <w:spacing w:val="11"/>
                <w:kern w:val="0"/>
                <w:sz w:val="16"/>
                <w:szCs w:val="16"/>
                <w:lang w:val="en-US" w:eastAsia="en-US" w:bidi="ar-SA"/>
              </w:rPr>
              <w:t>罐区原料罐（V20101B）存在问题：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1"/>
                <w:kern w:val="0"/>
                <w:sz w:val="16"/>
                <w:szCs w:val="16"/>
                <w:lang w:val="en-US" w:eastAsia="en-US" w:bidi="ar-SA"/>
              </w:rPr>
            </w:pPr>
            <w:r>
              <w:rPr>
                <w:rFonts w:hint="eastAsia" w:ascii="宋体" w:hAnsi="宋体" w:eastAsia="宋体" w:cs="宋体"/>
                <w:snapToGrid w:val="0"/>
                <w:color w:val="000000"/>
                <w:spacing w:val="11"/>
                <w:kern w:val="0"/>
                <w:sz w:val="16"/>
                <w:szCs w:val="16"/>
                <w:lang w:val="en-US" w:eastAsia="en-US" w:bidi="ar-SA"/>
              </w:rPr>
              <w:t>1.采用带氮封的内浮顶储罐，未设置事故泄压设施（企业已查出）。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11"/>
                <w:kern w:val="0"/>
                <w:sz w:val="16"/>
                <w:szCs w:val="16"/>
                <w:lang w:val="en-US" w:eastAsia="en-US" w:bidi="ar-SA"/>
              </w:rPr>
            </w:pPr>
            <w:r>
              <w:rPr>
                <w:rFonts w:hint="eastAsia" w:ascii="宋体" w:hAnsi="宋体" w:eastAsia="宋体" w:cs="宋体"/>
                <w:snapToGrid w:val="0"/>
                <w:color w:val="000000"/>
                <w:spacing w:val="11"/>
                <w:kern w:val="0"/>
                <w:sz w:val="16"/>
                <w:szCs w:val="16"/>
                <w:lang w:val="en-US" w:eastAsia="en-US" w:bidi="ar-SA"/>
              </w:rPr>
              <w:t>2.检尺孔平台未设置人体静电消除设施。</w:t>
            </w:r>
          </w:p>
          <w:p>
            <w:pPr>
              <w:pStyle w:val="6"/>
              <w:spacing w:before="8" w:line="222" w:lineRule="auto"/>
              <w:ind w:left="35"/>
            </w:pPr>
          </w:p>
        </w:tc>
        <w:tc>
          <w:tcPr>
            <w:tcW w:w="4751"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7"/>
                <w:kern w:val="0"/>
                <w:sz w:val="16"/>
                <w:szCs w:val="16"/>
                <w:lang w:val="en-US" w:eastAsia="en-US" w:bidi="ar-SA"/>
              </w:rPr>
            </w:pPr>
            <w:r>
              <w:rPr>
                <w:rFonts w:hint="eastAsia" w:ascii="宋体" w:hAnsi="宋体" w:eastAsia="宋体" w:cs="宋体"/>
                <w:snapToGrid w:val="0"/>
                <w:color w:val="000000"/>
                <w:spacing w:val="7"/>
                <w:kern w:val="0"/>
                <w:sz w:val="16"/>
                <w:szCs w:val="16"/>
                <w:lang w:val="en-US" w:eastAsia="en-US" w:bidi="ar-SA"/>
              </w:rPr>
              <w:t>1.按照《石 油 化 工 企 业 设 计 防 火 标 准（2018 年 版 ） 》（GB 50160-2008）第6.2.19条的要求，对于采用氮气或其他气体气封的甲B、乙类液体的储罐，应设置事故泄压设备。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7"/>
                <w:kern w:val="0"/>
                <w:sz w:val="16"/>
                <w:szCs w:val="16"/>
                <w:lang w:val="en-US" w:eastAsia="en-US" w:bidi="ar-SA"/>
              </w:rPr>
            </w:pPr>
            <w:r>
              <w:rPr>
                <w:rFonts w:hint="eastAsia" w:ascii="宋体" w:hAnsi="宋体" w:eastAsia="宋体" w:cs="宋体"/>
                <w:snapToGrid w:val="0"/>
                <w:color w:val="000000"/>
                <w:spacing w:val="7"/>
                <w:kern w:val="0"/>
                <w:sz w:val="16"/>
                <w:szCs w:val="16"/>
                <w:lang w:val="en-US" w:eastAsia="en-US" w:bidi="ar-SA"/>
              </w:rPr>
              <w:t>2.按照《立式圆筒形钢制焊接储罐安全技术规范》（AQ 3053- 2015）第8.2.4条的要求，罐顶平台或浮顶上取样口的两侧1.5m之外应各设一组消除人体静电设施，取样绳索、检尺等工具应与设施连接，该设施应与罐体做电气连接并接地联系设计单位设计。</w:t>
            </w:r>
          </w:p>
          <w:p>
            <w:pPr>
              <w:pStyle w:val="6"/>
              <w:spacing w:before="113" w:line="81" w:lineRule="exact"/>
              <w:ind w:left="52"/>
            </w:pPr>
          </w:p>
        </w:tc>
        <w:tc>
          <w:tcPr>
            <w:tcW w:w="957" w:type="dxa"/>
            <w:vAlign w:val="top"/>
          </w:tcPr>
          <w:p>
            <w:pPr>
              <w:rPr>
                <w:rFonts w:ascii="Arial"/>
                <w:sz w:val="21"/>
              </w:rPr>
            </w:pPr>
          </w:p>
        </w:tc>
        <w:tc>
          <w:tcPr>
            <w:tcW w:w="1091" w:type="dxa"/>
            <w:vAlign w:val="top"/>
          </w:tcPr>
          <w:p>
            <w:pPr>
              <w:rPr>
                <w:rFonts w:ascii="Arial"/>
                <w:sz w:val="21"/>
              </w:rPr>
            </w:pPr>
          </w:p>
        </w:tc>
        <w:tc>
          <w:tcPr>
            <w:tcW w:w="861"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52" w:line="242" w:lineRule="auto"/>
              <w:ind w:left="401"/>
            </w:pPr>
            <w:r>
              <w:t>√</w:t>
            </w: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2" w:type="dxa"/>
            <w:vMerge w:val="continue"/>
            <w:tcBorders>
              <w:top w:val="nil"/>
            </w:tcBorders>
            <w:vAlign w:val="top"/>
          </w:tcPr>
          <w:p>
            <w:pPr>
              <w:rPr>
                <w:rFonts w:ascii="Arial"/>
                <w:sz w:val="21"/>
              </w:rPr>
            </w:pPr>
          </w:p>
        </w:tc>
        <w:tc>
          <w:tcPr>
            <w:tcW w:w="489" w:type="dxa"/>
            <w:vAlign w:val="top"/>
          </w:tcPr>
          <w:p>
            <w:pPr>
              <w:pStyle w:val="6"/>
              <w:spacing w:before="266" w:line="185" w:lineRule="auto"/>
              <w:ind w:left="170"/>
            </w:pPr>
            <w:r>
              <w:rPr>
                <w:spacing w:val="-3"/>
              </w:rPr>
              <w:t>36</w:t>
            </w:r>
          </w:p>
        </w:tc>
        <w:tc>
          <w:tcPr>
            <w:tcW w:w="1029" w:type="dxa"/>
            <w:vAlign w:val="top"/>
          </w:tcPr>
          <w:p>
            <w:pPr>
              <w:pStyle w:val="6"/>
              <w:spacing w:before="266" w:line="186" w:lineRule="auto"/>
              <w:ind w:left="284"/>
            </w:pPr>
            <w:r>
              <w:rPr>
                <w:spacing w:val="1"/>
              </w:rPr>
              <w:t>4.5.1</w:t>
            </w:r>
          </w:p>
        </w:tc>
        <w:tc>
          <w:tcPr>
            <w:tcW w:w="3511" w:type="dxa"/>
            <w:vAlign w:val="top"/>
          </w:tcPr>
          <w:p>
            <w:pPr>
              <w:pStyle w:val="6"/>
              <w:spacing w:before="140" w:line="228" w:lineRule="auto"/>
              <w:ind w:right="20"/>
            </w:pPr>
            <w:r>
              <w:rPr>
                <w:rFonts w:hint="eastAsia" w:ascii="宋体" w:hAnsi="宋体" w:eastAsia="宋体" w:cs="宋体"/>
                <w:snapToGrid w:val="0"/>
                <w:color w:val="000000"/>
                <w:spacing w:val="11"/>
                <w:kern w:val="0"/>
                <w:sz w:val="16"/>
                <w:szCs w:val="16"/>
                <w:lang w:val="en-US" w:eastAsia="en-US" w:bidi="ar-SA"/>
              </w:rPr>
              <w:t>甲醇罐顶部安全阀（PSV-10106）出口切断阀处于关闭状态。</w:t>
            </w:r>
          </w:p>
        </w:tc>
        <w:tc>
          <w:tcPr>
            <w:tcW w:w="4751" w:type="dxa"/>
            <w:vAlign w:val="top"/>
          </w:tcPr>
          <w:p>
            <w:pPr>
              <w:pStyle w:val="6"/>
              <w:spacing w:before="38" w:line="221" w:lineRule="auto"/>
              <w:ind w:left="35" w:right="16" w:firstLine="1"/>
              <w:jc w:val="both"/>
            </w:pPr>
            <w:r>
              <w:rPr>
                <w:rFonts w:hint="eastAsia" w:ascii="宋体" w:hAnsi="宋体" w:eastAsia="宋体" w:cs="宋体"/>
                <w:snapToGrid w:val="0"/>
                <w:color w:val="000000"/>
                <w:spacing w:val="7"/>
                <w:kern w:val="0"/>
                <w:sz w:val="16"/>
                <w:szCs w:val="16"/>
                <w:lang w:val="en-US" w:eastAsia="en-US" w:bidi="ar-SA"/>
              </w:rPr>
              <w:t>参照《安全阀安全技术监察规程》（TSG ZF001-2006） 第B4.2（4）条的要求，在用设备的安全阀进出口切断阀应全开，并加铅封或锁定，联系设计单位确认该储罐安全阀的设置。</w:t>
            </w:r>
          </w:p>
        </w:tc>
        <w:tc>
          <w:tcPr>
            <w:tcW w:w="957" w:type="dxa"/>
            <w:vAlign w:val="top"/>
          </w:tcPr>
          <w:p>
            <w:pPr>
              <w:rPr>
                <w:rFonts w:ascii="Arial"/>
                <w:sz w:val="21"/>
              </w:rPr>
            </w:pPr>
          </w:p>
        </w:tc>
        <w:tc>
          <w:tcPr>
            <w:tcW w:w="1091" w:type="dxa"/>
            <w:vAlign w:val="top"/>
          </w:tcPr>
          <w:p>
            <w:pPr>
              <w:pStyle w:val="6"/>
              <w:spacing w:before="240"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 w:hRule="atLeast"/>
        </w:trPr>
        <w:tc>
          <w:tcPr>
            <w:tcW w:w="54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52" w:line="229" w:lineRule="auto"/>
              <w:ind w:left="109" w:right="99" w:firstLine="18"/>
            </w:pPr>
            <w:r>
              <w:rPr>
                <w:spacing w:val="-8"/>
                <w14:textOutline w14:w="2960" w14:cap="sq" w14:cmpd="sng">
                  <w14:solidFill>
                    <w14:srgbClr w14:val="000000"/>
                  </w14:solidFill>
                  <w14:prstDash w14:val="solid"/>
                  <w14:bevel/>
                </w14:textOutline>
              </w:rPr>
              <w:t>电气</w:t>
            </w:r>
            <w:r>
              <w:t xml:space="preserve"> </w:t>
            </w:r>
            <w:r>
              <w:rPr>
                <w:spacing w:val="1"/>
                <w14:textOutline w14:w="2960" w14:cap="sq" w14:cmpd="sng">
                  <w14:solidFill>
                    <w14:srgbClr w14:val="000000"/>
                  </w14:solidFill>
                  <w14:prstDash w14:val="solid"/>
                  <w14:bevel/>
                </w14:textOutline>
              </w:rPr>
              <w:t>仪表</w:t>
            </w:r>
          </w:p>
        </w:tc>
        <w:tc>
          <w:tcPr>
            <w:tcW w:w="489" w:type="dxa"/>
            <w:vAlign w:val="top"/>
          </w:tcPr>
          <w:p>
            <w:pPr>
              <w:pStyle w:val="6"/>
              <w:spacing w:before="56" w:line="134" w:lineRule="exact"/>
              <w:ind w:left="170"/>
            </w:pPr>
            <w:r>
              <w:rPr>
                <w:spacing w:val="-3"/>
                <w:position w:val="-2"/>
              </w:rPr>
              <w:t>37</w:t>
            </w:r>
          </w:p>
        </w:tc>
        <w:tc>
          <w:tcPr>
            <w:tcW w:w="1029" w:type="dxa"/>
            <w:vAlign w:val="top"/>
          </w:tcPr>
          <w:p>
            <w:pPr>
              <w:pStyle w:val="6"/>
              <w:spacing w:before="55" w:line="135" w:lineRule="exact"/>
              <w:ind w:left="288"/>
            </w:pPr>
            <w:r>
              <w:rPr>
                <w:position w:val="-2"/>
              </w:rPr>
              <w:t>5.1.1</w:t>
            </w:r>
          </w:p>
        </w:tc>
        <w:tc>
          <w:tcPr>
            <w:tcW w:w="3511" w:type="dxa"/>
            <w:vAlign w:val="top"/>
          </w:tcPr>
          <w:p>
            <w:pPr>
              <w:pStyle w:val="6"/>
              <w:spacing w:before="30" w:line="185" w:lineRule="auto"/>
            </w:pPr>
            <w:r>
              <w:rPr>
                <w:spacing w:val="3"/>
              </w:rPr>
              <w:t>未对控制系统的应急预案开展培训和演练。</w:t>
            </w:r>
          </w:p>
        </w:tc>
        <w:tc>
          <w:tcPr>
            <w:tcW w:w="4751" w:type="dxa"/>
            <w:vAlign w:val="top"/>
          </w:tcPr>
          <w:p>
            <w:pPr>
              <w:pStyle w:val="6"/>
              <w:spacing w:before="30" w:line="185" w:lineRule="auto"/>
              <w:ind w:left="38"/>
            </w:pPr>
            <w:r>
              <w:rPr>
                <w:spacing w:val="3"/>
              </w:rPr>
              <w:t>组织开展控制系统应急预案的培训和演练。</w:t>
            </w:r>
          </w:p>
        </w:tc>
        <w:tc>
          <w:tcPr>
            <w:tcW w:w="957" w:type="dxa"/>
            <w:vAlign w:val="top"/>
          </w:tcPr>
          <w:p>
            <w:pPr>
              <w:spacing w:line="190" w:lineRule="exact"/>
              <w:rPr>
                <w:rFonts w:ascii="Arial"/>
                <w:sz w:val="16"/>
              </w:rPr>
            </w:pPr>
          </w:p>
        </w:tc>
        <w:tc>
          <w:tcPr>
            <w:tcW w:w="1091" w:type="dxa"/>
            <w:vAlign w:val="top"/>
          </w:tcPr>
          <w:p>
            <w:pPr>
              <w:pStyle w:val="6"/>
              <w:spacing w:before="30" w:line="185" w:lineRule="auto"/>
              <w:ind w:left="514"/>
            </w:pPr>
            <w:r>
              <w:t>√</w:t>
            </w:r>
          </w:p>
        </w:tc>
        <w:tc>
          <w:tcPr>
            <w:tcW w:w="861" w:type="dxa"/>
            <w:vAlign w:val="top"/>
          </w:tcPr>
          <w:p>
            <w:pPr>
              <w:spacing w:line="190" w:lineRule="exact"/>
              <w:rPr>
                <w:rFonts w:ascii="Arial"/>
                <w:sz w:val="16"/>
              </w:rPr>
            </w:pPr>
          </w:p>
        </w:tc>
        <w:tc>
          <w:tcPr>
            <w:tcW w:w="1451" w:type="dxa"/>
            <w:vAlign w:val="top"/>
          </w:tcPr>
          <w:p>
            <w:pPr>
              <w:spacing w:line="190"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0"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52" w:line="185" w:lineRule="auto"/>
              <w:ind w:left="170"/>
            </w:pPr>
            <w:r>
              <w:rPr>
                <w:spacing w:val="-3"/>
              </w:rPr>
              <w:t>38</w:t>
            </w:r>
          </w:p>
        </w:tc>
        <w:tc>
          <w:tcPr>
            <w:tcW w:w="1029" w:type="dxa"/>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52" w:line="185" w:lineRule="auto"/>
              <w:ind w:left="288"/>
            </w:pPr>
            <w:r>
              <w:t>5.2.2</w:t>
            </w:r>
          </w:p>
        </w:tc>
        <w:tc>
          <w:tcPr>
            <w:tcW w:w="3511" w:type="dxa"/>
            <w:vAlign w:val="top"/>
          </w:tcPr>
          <w:p>
            <w:pPr>
              <w:spacing w:line="314" w:lineRule="auto"/>
              <w:rPr>
                <w:rFonts w:ascii="Arial"/>
                <w:sz w:val="21"/>
              </w:rPr>
            </w:pPr>
          </w:p>
          <w:p>
            <w:pPr>
              <w:spacing w:line="314" w:lineRule="auto"/>
              <w:rPr>
                <w:rFonts w:ascii="Arial"/>
                <w:sz w:val="21"/>
              </w:rPr>
            </w:pPr>
          </w:p>
          <w:p>
            <w:pPr>
              <w:pStyle w:val="6"/>
              <w:spacing w:before="52" w:line="228" w:lineRule="auto"/>
              <w:ind w:right="20"/>
            </w:pPr>
            <w:r>
              <w:rPr>
                <w:spacing w:val="9"/>
              </w:rPr>
              <w:t>1.消防泵房内4台气动切断阀共用一个气源切断</w:t>
            </w:r>
            <w:r>
              <w:rPr>
                <w:spacing w:val="-10"/>
              </w:rPr>
              <w:t>阀。</w:t>
            </w:r>
          </w:p>
          <w:p>
            <w:pPr>
              <w:pStyle w:val="6"/>
              <w:spacing w:before="7" w:line="223" w:lineRule="auto"/>
            </w:pPr>
            <w:r>
              <w:rPr>
                <w:spacing w:val="3"/>
              </w:rPr>
              <w:t>2.火炬区火炬控制柜急停按钮缺少防护罩。</w:t>
            </w:r>
          </w:p>
        </w:tc>
        <w:tc>
          <w:tcPr>
            <w:tcW w:w="4751"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7"/>
                <w:kern w:val="0"/>
                <w:sz w:val="16"/>
                <w:szCs w:val="16"/>
                <w:lang w:val="en-US" w:eastAsia="en-US" w:bidi="ar-SA"/>
              </w:rPr>
            </w:pPr>
            <w:r>
              <w:rPr>
                <w:rFonts w:hint="eastAsia" w:ascii="宋体" w:hAnsi="宋体" w:eastAsia="宋体" w:cs="宋体"/>
                <w:snapToGrid w:val="0"/>
                <w:color w:val="000000"/>
                <w:spacing w:val="7"/>
                <w:kern w:val="0"/>
                <w:sz w:val="16"/>
                <w:szCs w:val="16"/>
                <w:lang w:val="en-US" w:eastAsia="en-US" w:bidi="ar-SA"/>
              </w:rPr>
              <w:t>1.按照《 自动化仪表工程施工及质量验收规范》（GB 50093-2013）第8.4.5条和《仪表供气设计规范》（HG/T 20510-2014）第6.3.1条的要求，气源总管上引出的干管宜安装气源切断阀。在每个供气支路上，应设置仪表气源阀。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7"/>
                <w:kern w:val="0"/>
                <w:sz w:val="16"/>
                <w:szCs w:val="16"/>
                <w:lang w:val="en-US" w:eastAsia="en-US" w:bidi="ar-SA"/>
              </w:rPr>
            </w:pPr>
            <w:r>
              <w:rPr>
                <w:rFonts w:hint="eastAsia" w:ascii="宋体" w:hAnsi="宋体" w:eastAsia="宋体" w:cs="宋体"/>
                <w:snapToGrid w:val="0"/>
                <w:color w:val="000000"/>
                <w:spacing w:val="7"/>
                <w:kern w:val="0"/>
                <w:sz w:val="16"/>
                <w:szCs w:val="16"/>
                <w:lang w:val="en-US" w:eastAsia="en-US" w:bidi="ar-SA"/>
              </w:rPr>
              <w:t>2.按照《 生产设备安全卫生设计总则 》（GB5083-1999）第5.5.1条的要求，对可能出现误动作或被误操作的操纵器，应采取必要的保护措施。</w:t>
            </w:r>
          </w:p>
          <w:p>
            <w:pPr>
              <w:pStyle w:val="6"/>
              <w:spacing w:before="8" w:line="231" w:lineRule="auto"/>
              <w:ind w:left="38" w:right="16"/>
              <w:jc w:val="both"/>
            </w:pPr>
          </w:p>
        </w:tc>
        <w:tc>
          <w:tcPr>
            <w:tcW w:w="957" w:type="dxa"/>
            <w:vAlign w:val="top"/>
          </w:tcPr>
          <w:p>
            <w:pPr>
              <w:rPr>
                <w:rFonts w:ascii="Arial"/>
                <w:sz w:val="21"/>
              </w:rPr>
            </w:pPr>
          </w:p>
        </w:tc>
        <w:tc>
          <w:tcPr>
            <w:tcW w:w="1091" w:type="dxa"/>
            <w:vAlign w:val="top"/>
          </w:tcPr>
          <w:p>
            <w:pPr>
              <w:rPr>
                <w:rFonts w:ascii="Arial"/>
                <w:sz w:val="21"/>
              </w:rPr>
            </w:pPr>
          </w:p>
        </w:tc>
        <w:tc>
          <w:tcPr>
            <w:tcW w:w="861"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2" w:line="242" w:lineRule="auto"/>
              <w:ind w:left="401"/>
            </w:pPr>
            <w:r>
              <w:t>√</w:t>
            </w: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427" w:lineRule="auto"/>
              <w:rPr>
                <w:rFonts w:ascii="Arial"/>
                <w:sz w:val="21"/>
              </w:rPr>
            </w:pPr>
          </w:p>
          <w:p>
            <w:pPr>
              <w:pStyle w:val="6"/>
              <w:spacing w:before="52" w:line="185" w:lineRule="auto"/>
              <w:ind w:left="170"/>
            </w:pPr>
            <w:r>
              <w:rPr>
                <w:spacing w:val="-3"/>
              </w:rPr>
              <w:t>39</w:t>
            </w:r>
          </w:p>
        </w:tc>
        <w:tc>
          <w:tcPr>
            <w:tcW w:w="1029" w:type="dxa"/>
            <w:vAlign w:val="top"/>
          </w:tcPr>
          <w:p>
            <w:pPr>
              <w:spacing w:line="427" w:lineRule="auto"/>
              <w:rPr>
                <w:rFonts w:ascii="Arial"/>
                <w:sz w:val="21"/>
              </w:rPr>
            </w:pPr>
          </w:p>
          <w:p>
            <w:pPr>
              <w:pStyle w:val="6"/>
              <w:spacing w:before="52" w:line="185" w:lineRule="auto"/>
              <w:ind w:left="288"/>
            </w:pPr>
            <w:r>
              <w:t>5.2.3</w:t>
            </w:r>
          </w:p>
        </w:tc>
        <w:tc>
          <w:tcPr>
            <w:tcW w:w="3511" w:type="dxa"/>
            <w:vAlign w:val="top"/>
          </w:tcPr>
          <w:p>
            <w:pPr>
              <w:spacing w:line="400" w:lineRule="auto"/>
              <w:rPr>
                <w:rFonts w:ascii="Arial"/>
                <w:sz w:val="21"/>
              </w:rPr>
            </w:pPr>
          </w:p>
          <w:p>
            <w:pPr>
              <w:pStyle w:val="6"/>
              <w:spacing w:before="52" w:line="223" w:lineRule="auto"/>
            </w:pPr>
            <w:r>
              <w:rPr>
                <w:spacing w:val="3"/>
              </w:rPr>
              <w:t>1#装车台二层定量装车仪接线箱缺少多条螺栓。</w:t>
            </w:r>
          </w:p>
        </w:tc>
        <w:tc>
          <w:tcPr>
            <w:tcW w:w="4751" w:type="dxa"/>
            <w:vAlign w:val="top"/>
          </w:tcPr>
          <w:p>
            <w:pPr>
              <w:pStyle w:val="6"/>
              <w:spacing w:before="152" w:line="231" w:lineRule="auto"/>
              <w:ind w:right="16"/>
              <w:jc w:val="both"/>
            </w:pPr>
            <w:r>
              <w:rPr>
                <w:rFonts w:hint="eastAsia" w:ascii="宋体" w:hAnsi="宋体" w:eastAsia="宋体" w:cs="宋体"/>
                <w:snapToGrid w:val="0"/>
                <w:color w:val="000000"/>
                <w:spacing w:val="7"/>
                <w:kern w:val="0"/>
                <w:sz w:val="16"/>
                <w:szCs w:val="16"/>
                <w:lang w:val="en-US" w:eastAsia="en-US" w:bidi="ar-SA"/>
              </w:rPr>
              <w:t>按照《危险场所电气防爆安全规范》（AQ 3009-2007）第 6.1.2.1.4条、6.1.2.2.3条的要求，防爆电气设备的紧固螺栓应有防松措施，无松动和锈蚀。隔爆接合面的紧固螺栓不得随意更换，弹簧垫圈应齐全。</w:t>
            </w:r>
          </w:p>
        </w:tc>
        <w:tc>
          <w:tcPr>
            <w:tcW w:w="957" w:type="dxa"/>
            <w:vAlign w:val="top"/>
          </w:tcPr>
          <w:p>
            <w:pPr>
              <w:rPr>
                <w:rFonts w:ascii="Arial"/>
                <w:sz w:val="21"/>
              </w:rPr>
            </w:pPr>
          </w:p>
        </w:tc>
        <w:tc>
          <w:tcPr>
            <w:tcW w:w="1091" w:type="dxa"/>
            <w:vAlign w:val="top"/>
          </w:tcPr>
          <w:p>
            <w:pPr>
              <w:rPr>
                <w:rFonts w:ascii="Arial"/>
                <w:sz w:val="21"/>
              </w:rPr>
            </w:pPr>
          </w:p>
        </w:tc>
        <w:tc>
          <w:tcPr>
            <w:tcW w:w="861" w:type="dxa"/>
            <w:vAlign w:val="top"/>
          </w:tcPr>
          <w:p>
            <w:pPr>
              <w:spacing w:line="400" w:lineRule="auto"/>
              <w:rPr>
                <w:rFonts w:ascii="Arial"/>
                <w:sz w:val="21"/>
              </w:rPr>
            </w:pPr>
          </w:p>
          <w:p>
            <w:pPr>
              <w:pStyle w:val="6"/>
              <w:spacing w:before="52" w:line="242" w:lineRule="auto"/>
              <w:ind w:left="401"/>
            </w:pPr>
            <w:r>
              <w:t>√</w:t>
            </w: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42" w:type="dxa"/>
            <w:vMerge w:val="continue"/>
            <w:tcBorders>
              <w:top w:val="nil"/>
              <w:bottom w:val="nil"/>
            </w:tcBorders>
            <w:vAlign w:val="top"/>
          </w:tcPr>
          <w:p>
            <w:pPr>
              <w:rPr>
                <w:rFonts w:ascii="Arial"/>
                <w:sz w:val="21"/>
              </w:rPr>
            </w:pPr>
          </w:p>
        </w:tc>
        <w:tc>
          <w:tcPr>
            <w:tcW w:w="489" w:type="dxa"/>
            <w:vAlign w:val="top"/>
          </w:tcPr>
          <w:p>
            <w:pPr>
              <w:pStyle w:val="6"/>
              <w:spacing w:before="166" w:line="185" w:lineRule="auto"/>
              <w:ind w:left="166"/>
            </w:pPr>
            <w:r>
              <w:rPr>
                <w:spacing w:val="-1"/>
              </w:rPr>
              <w:t>40</w:t>
            </w:r>
          </w:p>
        </w:tc>
        <w:tc>
          <w:tcPr>
            <w:tcW w:w="1029" w:type="dxa"/>
            <w:vAlign w:val="top"/>
          </w:tcPr>
          <w:p>
            <w:pPr>
              <w:pStyle w:val="6"/>
              <w:spacing w:before="165" w:line="186" w:lineRule="auto"/>
              <w:ind w:left="288"/>
            </w:pPr>
            <w:r>
              <w:t>5.3.1</w:t>
            </w:r>
          </w:p>
        </w:tc>
        <w:tc>
          <w:tcPr>
            <w:tcW w:w="3511" w:type="dxa"/>
            <w:vAlign w:val="top"/>
          </w:tcPr>
          <w:p>
            <w:pPr>
              <w:pStyle w:val="6"/>
              <w:spacing w:before="39" w:line="209" w:lineRule="auto"/>
              <w:ind w:right="20"/>
            </w:pPr>
            <w:r>
              <w:rPr>
                <w:spacing w:val="5"/>
              </w:rPr>
              <w:t>中控室</w:t>
            </w:r>
            <w:r>
              <w:t>GDS</w:t>
            </w:r>
            <w:r>
              <w:rPr>
                <w:spacing w:val="5"/>
              </w:rPr>
              <w:t>操作站</w:t>
            </w:r>
            <w:r>
              <w:t>AT</w:t>
            </w:r>
            <w:r>
              <w:rPr>
                <w:spacing w:val="5"/>
              </w:rPr>
              <w:t>-102-052B苯有毒气体探测器</w:t>
            </w:r>
            <w:r>
              <w:rPr>
                <w:spacing w:val="3"/>
              </w:rPr>
              <w:t>显示-1.9</w:t>
            </w:r>
            <w:r>
              <w:t>ppm</w:t>
            </w:r>
            <w:r>
              <w:rPr>
                <w:spacing w:val="3"/>
              </w:rPr>
              <w:t>，零点漂移。</w:t>
            </w:r>
          </w:p>
        </w:tc>
        <w:tc>
          <w:tcPr>
            <w:tcW w:w="4751" w:type="dxa"/>
            <w:vAlign w:val="top"/>
          </w:tcPr>
          <w:p>
            <w:pPr>
              <w:pStyle w:val="6"/>
              <w:spacing w:before="139" w:line="224" w:lineRule="auto"/>
              <w:ind w:left="35"/>
            </w:pPr>
            <w:r>
              <w:rPr>
                <w:spacing w:val="3"/>
              </w:rPr>
              <w:t>及时校准气体探测器。</w:t>
            </w:r>
          </w:p>
        </w:tc>
        <w:tc>
          <w:tcPr>
            <w:tcW w:w="957" w:type="dxa"/>
            <w:vAlign w:val="top"/>
          </w:tcPr>
          <w:p>
            <w:pPr>
              <w:rPr>
                <w:rFonts w:ascii="Arial"/>
                <w:sz w:val="21"/>
              </w:rPr>
            </w:pPr>
          </w:p>
        </w:tc>
        <w:tc>
          <w:tcPr>
            <w:tcW w:w="1091" w:type="dxa"/>
            <w:vAlign w:val="top"/>
          </w:tcPr>
          <w:p>
            <w:pPr>
              <w:rPr>
                <w:rFonts w:ascii="Arial"/>
                <w:sz w:val="21"/>
              </w:rPr>
            </w:pPr>
          </w:p>
        </w:tc>
        <w:tc>
          <w:tcPr>
            <w:tcW w:w="861" w:type="dxa"/>
            <w:vAlign w:val="top"/>
          </w:tcPr>
          <w:p>
            <w:pPr>
              <w:pStyle w:val="6"/>
              <w:spacing w:before="140" w:line="242" w:lineRule="auto"/>
              <w:ind w:left="401"/>
            </w:pPr>
            <w:r>
              <w:t>√</w:t>
            </w: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322" w:lineRule="auto"/>
              <w:rPr>
                <w:rFonts w:ascii="Arial"/>
                <w:sz w:val="21"/>
              </w:rPr>
            </w:pPr>
          </w:p>
          <w:p>
            <w:pPr>
              <w:pStyle w:val="6"/>
              <w:spacing w:before="52" w:line="186" w:lineRule="auto"/>
              <w:ind w:left="166"/>
            </w:pPr>
            <w:r>
              <w:rPr>
                <w:spacing w:val="-1"/>
              </w:rPr>
              <w:t>41</w:t>
            </w:r>
          </w:p>
        </w:tc>
        <w:tc>
          <w:tcPr>
            <w:tcW w:w="1029" w:type="dxa"/>
            <w:vAlign w:val="top"/>
          </w:tcPr>
          <w:p>
            <w:pPr>
              <w:spacing w:line="323" w:lineRule="auto"/>
              <w:rPr>
                <w:rFonts w:ascii="Arial"/>
                <w:sz w:val="21"/>
              </w:rPr>
            </w:pPr>
          </w:p>
          <w:p>
            <w:pPr>
              <w:pStyle w:val="6"/>
              <w:spacing w:before="52" w:line="186" w:lineRule="auto"/>
              <w:ind w:left="288"/>
            </w:pPr>
            <w:r>
              <w:t>5.4.1</w:t>
            </w:r>
          </w:p>
        </w:tc>
        <w:tc>
          <w:tcPr>
            <w:tcW w:w="3511" w:type="dxa"/>
            <w:vAlign w:val="top"/>
          </w:tcPr>
          <w:p>
            <w:pPr>
              <w:pStyle w:val="6"/>
              <w:spacing w:before="251" w:line="227" w:lineRule="auto"/>
              <w:ind w:right="20"/>
            </w:pPr>
            <w:r>
              <w:rPr>
                <w:spacing w:val="6"/>
              </w:rPr>
              <w:t>一级负荷中特别重要的负荷配备了1台800</w:t>
            </w:r>
            <w:r>
              <w:t>kW</w:t>
            </w:r>
            <w:r>
              <w:rPr>
                <w:spacing w:val="6"/>
              </w:rPr>
              <w:t>柴油</w:t>
            </w:r>
            <w:r>
              <w:rPr>
                <w:spacing w:val="3"/>
              </w:rPr>
              <w:t>发电机，未接线，未投入使用。（企业已自查）</w:t>
            </w:r>
          </w:p>
        </w:tc>
        <w:tc>
          <w:tcPr>
            <w:tcW w:w="4751" w:type="dxa"/>
            <w:vAlign w:val="top"/>
          </w:tcPr>
          <w:p>
            <w:pPr>
              <w:pStyle w:val="6"/>
              <w:spacing w:before="150" w:line="230" w:lineRule="auto"/>
              <w:ind w:right="17"/>
            </w:pPr>
            <w:r>
              <w:rPr>
                <w:rFonts w:hint="eastAsia" w:ascii="宋体" w:hAnsi="宋体" w:eastAsia="宋体" w:cs="宋体"/>
                <w:snapToGrid w:val="0"/>
                <w:color w:val="000000"/>
                <w:spacing w:val="7"/>
                <w:kern w:val="0"/>
                <w:sz w:val="16"/>
                <w:szCs w:val="16"/>
                <w:lang w:val="en-US" w:eastAsia="en-US" w:bidi="ar-SA"/>
              </w:rPr>
              <w:t>按照《供配电系统设计规范》（GB 50052-2009）第3.0.3条的要求，一级负荷中特别重要的负荷供电，除应由双重电源供电外，尚应增设应急电源，并严禁将其它负荷接入应急供电系统。</w:t>
            </w:r>
          </w:p>
        </w:tc>
        <w:tc>
          <w:tcPr>
            <w:tcW w:w="957" w:type="dxa"/>
            <w:vAlign w:val="top"/>
          </w:tcPr>
          <w:p>
            <w:pPr>
              <w:rPr>
                <w:rFonts w:ascii="Arial"/>
                <w:sz w:val="21"/>
              </w:rPr>
            </w:pPr>
          </w:p>
        </w:tc>
        <w:tc>
          <w:tcPr>
            <w:tcW w:w="1091" w:type="dxa"/>
            <w:vAlign w:val="top"/>
          </w:tcPr>
          <w:p>
            <w:pPr>
              <w:rPr>
                <w:rFonts w:ascii="Arial"/>
                <w:sz w:val="21"/>
              </w:rPr>
            </w:pPr>
          </w:p>
        </w:tc>
        <w:tc>
          <w:tcPr>
            <w:tcW w:w="861" w:type="dxa"/>
            <w:vAlign w:val="top"/>
          </w:tcPr>
          <w:p>
            <w:pPr>
              <w:spacing w:line="297" w:lineRule="auto"/>
              <w:rPr>
                <w:rFonts w:ascii="Arial"/>
                <w:sz w:val="21"/>
              </w:rPr>
            </w:pPr>
          </w:p>
          <w:p>
            <w:pPr>
              <w:pStyle w:val="6"/>
              <w:spacing w:before="52" w:line="242" w:lineRule="auto"/>
              <w:ind w:left="401"/>
            </w:pPr>
            <w:r>
              <w:t>√</w:t>
            </w:r>
          </w:p>
        </w:tc>
        <w:tc>
          <w:tcPr>
            <w:tcW w:w="1451" w:type="dxa"/>
            <w:vAlign w:val="top"/>
          </w:tcPr>
          <w:p>
            <w:pPr>
              <w:rPr>
                <w:rFonts w:ascii="Arial"/>
                <w:sz w:val="21"/>
              </w:rPr>
            </w:pPr>
          </w:p>
        </w:tc>
      </w:tr>
    </w:tbl>
    <w:p>
      <w:pPr>
        <w:rPr>
          <w:rFonts w:ascii="Arial"/>
          <w:sz w:val="21"/>
        </w:rPr>
      </w:pPr>
    </w:p>
    <w:p>
      <w:pPr>
        <w:rPr>
          <w:rFonts w:ascii="Arial" w:hAnsi="Arial" w:eastAsia="Arial" w:cs="Arial"/>
          <w:sz w:val="21"/>
          <w:szCs w:val="21"/>
        </w:rPr>
        <w:sectPr>
          <w:pgSz w:w="16834" w:h="11909"/>
          <w:pgMar w:top="1012" w:right="1127" w:bottom="0" w:left="1012" w:header="0" w:footer="0" w:gutter="0"/>
          <w:cols w:space="720" w:num="1"/>
        </w:sectPr>
      </w:pPr>
    </w:p>
    <w:tbl>
      <w:tblPr>
        <w:tblStyle w:val="5"/>
        <w:tblW w:w="146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489"/>
        <w:gridCol w:w="974"/>
        <w:gridCol w:w="3566"/>
        <w:gridCol w:w="4751"/>
        <w:gridCol w:w="957"/>
        <w:gridCol w:w="1091"/>
        <w:gridCol w:w="861"/>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42" w:type="dxa"/>
            <w:tcBorders>
              <w:top w:val="nil"/>
            </w:tcBorders>
            <w:vAlign w:val="top"/>
          </w:tcPr>
          <w:p>
            <w:pPr>
              <w:pStyle w:val="6"/>
              <w:spacing w:before="90" w:line="224" w:lineRule="auto"/>
              <w:ind w:left="109"/>
            </w:pPr>
            <w:r>
              <w:rPr>
                <w:spacing w:val="1"/>
                <w14:textOutline w14:w="2960" w14:cap="sq" w14:cmpd="sng">
                  <w14:solidFill>
                    <w14:srgbClr w14:val="000000"/>
                  </w14:solidFill>
                  <w14:prstDash w14:val="solid"/>
                  <w14:bevel/>
                </w14:textOutline>
              </w:rPr>
              <w:t>专业</w:t>
            </w:r>
          </w:p>
        </w:tc>
        <w:tc>
          <w:tcPr>
            <w:tcW w:w="489" w:type="dxa"/>
            <w:tcBorders>
              <w:top w:val="nil"/>
            </w:tcBorders>
            <w:vAlign w:val="top"/>
          </w:tcPr>
          <w:p>
            <w:pPr>
              <w:pStyle w:val="6"/>
              <w:spacing w:before="90" w:line="224" w:lineRule="auto"/>
              <w:ind w:left="80"/>
            </w:pPr>
            <w:r>
              <w:rPr>
                <w:spacing w:val="2"/>
                <w14:textOutline w14:w="2960" w14:cap="sq" w14:cmpd="sng">
                  <w14:solidFill>
                    <w14:srgbClr w14:val="000000"/>
                  </w14:solidFill>
                  <w14:prstDash w14:val="solid"/>
                  <w14:bevel/>
                </w14:textOutline>
              </w:rPr>
              <w:t>序号</w:t>
            </w:r>
          </w:p>
        </w:tc>
        <w:tc>
          <w:tcPr>
            <w:tcW w:w="974" w:type="dxa"/>
            <w:tcBorders>
              <w:top w:val="nil"/>
            </w:tcBorders>
            <w:vAlign w:val="top"/>
          </w:tcPr>
          <w:p>
            <w:pPr>
              <w:pStyle w:val="6"/>
              <w:spacing w:before="1" w:line="221" w:lineRule="auto"/>
              <w:ind w:left="76" w:right="65"/>
            </w:pPr>
            <w:r>
              <w:rPr>
                <w:spacing w:val="4"/>
                <w14:textOutline w14:w="2960" w14:cap="sq" w14:cmpd="sng">
                  <w14:solidFill>
                    <w14:srgbClr w14:val="000000"/>
                  </w14:solidFill>
                  <w14:prstDash w14:val="solid"/>
                  <w14:bevel/>
                </w14:textOutline>
              </w:rPr>
              <w:t>核查表中检</w:t>
            </w:r>
            <w:r>
              <w:rPr>
                <w:spacing w:val="1"/>
              </w:rPr>
              <w:t xml:space="preserve"> </w:t>
            </w:r>
            <w:r>
              <w:rPr>
                <w:spacing w:val="4"/>
                <w14:textOutline w14:w="2960" w14:cap="sq" w14:cmpd="sng">
                  <w14:solidFill>
                    <w14:srgbClr w14:val="000000"/>
                  </w14:solidFill>
                  <w14:prstDash w14:val="solid"/>
                  <w14:bevel/>
                </w14:textOutline>
              </w:rPr>
              <w:t>查内容序号</w:t>
            </w:r>
          </w:p>
        </w:tc>
        <w:tc>
          <w:tcPr>
            <w:tcW w:w="3566" w:type="dxa"/>
            <w:tcBorders>
              <w:top w:val="nil"/>
            </w:tcBorders>
            <w:vAlign w:val="top"/>
          </w:tcPr>
          <w:p>
            <w:pPr>
              <w:pStyle w:val="6"/>
              <w:spacing w:before="90" w:line="225" w:lineRule="auto"/>
              <w:ind w:left="1472"/>
            </w:pPr>
            <w:r>
              <w:rPr>
                <w:spacing w:val="-1"/>
                <w14:textOutline w14:w="2960" w14:cap="sq" w14:cmpd="sng">
                  <w14:solidFill>
                    <w14:srgbClr w14:val="000000"/>
                  </w14:solidFill>
                  <w14:prstDash w14:val="solid"/>
                  <w14:bevel/>
                </w14:textOutline>
              </w:rPr>
              <w:t>问题描述</w:t>
            </w:r>
          </w:p>
        </w:tc>
        <w:tc>
          <w:tcPr>
            <w:tcW w:w="4751" w:type="dxa"/>
            <w:tcBorders>
              <w:top w:val="nil"/>
            </w:tcBorders>
            <w:vAlign w:val="top"/>
          </w:tcPr>
          <w:p>
            <w:pPr>
              <w:pStyle w:val="6"/>
              <w:spacing w:before="90" w:line="223" w:lineRule="auto"/>
              <w:ind w:left="2050"/>
            </w:pPr>
            <w:r>
              <w:rPr>
                <w:spacing w:val="4"/>
                <w14:textOutline w14:w="2960" w14:cap="sq" w14:cmpd="sng">
                  <w14:solidFill>
                    <w14:srgbClr w14:val="000000"/>
                  </w14:solidFill>
                  <w14:prstDash w14:val="solid"/>
                  <w14:bevel/>
                </w14:textOutline>
              </w:rPr>
              <w:t>整改建议</w:t>
            </w:r>
          </w:p>
        </w:tc>
        <w:tc>
          <w:tcPr>
            <w:tcW w:w="957" w:type="dxa"/>
            <w:vAlign w:val="top"/>
          </w:tcPr>
          <w:p>
            <w:pPr>
              <w:pStyle w:val="6"/>
              <w:spacing w:before="31" w:line="214" w:lineRule="auto"/>
              <w:ind w:left="403" w:right="50" w:hanging="331"/>
              <w:jc w:val="center"/>
              <w:rPr>
                <w:rFonts w:hint="eastAsia"/>
                <w:spacing w:val="4"/>
                <w:lang w:eastAsia="zh-CN"/>
                <w14:textOutline w14:w="2960" w14:cap="sq" w14:cmpd="sng">
                  <w14:solidFill>
                    <w14:srgbClr w14:val="000000"/>
                  </w14:solidFill>
                  <w14:prstDash w14:val="solid"/>
                  <w14:bevel/>
                </w14:textOutline>
              </w:rPr>
            </w:pPr>
            <w:r>
              <w:rPr>
                <w:spacing w:val="4"/>
                <w14:textOutline w14:w="2960" w14:cap="sq" w14:cmpd="sng">
                  <w14:solidFill>
                    <w14:srgbClr w14:val="000000"/>
                  </w14:solidFill>
                  <w14:prstDash w14:val="solid"/>
                  <w14:bevel/>
                </w14:textOutline>
              </w:rPr>
              <w:t>文件</w:t>
            </w:r>
            <w:r>
              <w:rPr>
                <w:rFonts w:hint="eastAsia"/>
                <w:spacing w:val="4"/>
                <w:lang w:eastAsia="zh-CN"/>
                <w14:textOutline w14:w="2960" w14:cap="sq" w14:cmpd="sng">
                  <w14:solidFill>
                    <w14:srgbClr w14:val="000000"/>
                  </w14:solidFill>
                  <w14:prstDash w14:val="solid"/>
                  <w14:bevel/>
                </w14:textOutline>
              </w:rPr>
              <w:t>类</w:t>
            </w:r>
          </w:p>
          <w:p>
            <w:pPr>
              <w:pStyle w:val="6"/>
              <w:spacing w:before="31" w:line="214" w:lineRule="auto"/>
              <w:ind w:left="403" w:right="50" w:hanging="331"/>
              <w:jc w:val="center"/>
            </w:pPr>
            <w:r>
              <w:rPr>
                <w:spacing w:val="4"/>
                <w14:textOutline w14:w="2960" w14:cap="sq" w14:cmpd="sng">
                  <w14:solidFill>
                    <w14:srgbClr w14:val="000000"/>
                  </w14:solidFill>
                  <w14:prstDash w14:val="solid"/>
                  <w14:bevel/>
                </w14:textOutline>
              </w:rPr>
              <w:t>资料</w:t>
            </w:r>
            <w:r>
              <w:rPr>
                <w14:textOutline w14:w="2960" w14:cap="sq" w14:cmpd="sng">
                  <w14:solidFill>
                    <w14:srgbClr w14:val="000000"/>
                  </w14:solidFill>
                  <w14:prstDash w14:val="solid"/>
                  <w14:bevel/>
                </w14:textOutline>
              </w:rPr>
              <w:t>类</w:t>
            </w:r>
          </w:p>
        </w:tc>
        <w:tc>
          <w:tcPr>
            <w:tcW w:w="1091" w:type="dxa"/>
            <w:vAlign w:val="top"/>
          </w:tcPr>
          <w:p>
            <w:pPr>
              <w:pStyle w:val="6"/>
              <w:spacing w:before="196" w:line="223" w:lineRule="auto"/>
              <w:ind w:left="304"/>
            </w:pPr>
            <w:r>
              <w:rPr>
                <w:spacing w:val="3"/>
                <w14:textOutline w14:w="2960" w14:cap="sq" w14:cmpd="sng">
                  <w14:solidFill>
                    <w14:srgbClr w14:val="000000"/>
                  </w14:solidFill>
                  <w14:prstDash w14:val="solid"/>
                  <w14:bevel/>
                </w14:textOutline>
              </w:rPr>
              <w:t>执行类</w:t>
            </w:r>
          </w:p>
        </w:tc>
        <w:tc>
          <w:tcPr>
            <w:tcW w:w="861" w:type="dxa"/>
            <w:vAlign w:val="top"/>
          </w:tcPr>
          <w:p>
            <w:pPr>
              <w:pStyle w:val="6"/>
              <w:spacing w:before="196" w:line="223" w:lineRule="auto"/>
              <w:ind w:left="193"/>
            </w:pPr>
            <w:r>
              <w:rPr>
                <w:spacing w:val="3"/>
                <w14:textOutline w14:w="2960" w14:cap="sq" w14:cmpd="sng">
                  <w14:solidFill>
                    <w14:srgbClr w14:val="000000"/>
                  </w14:solidFill>
                  <w14:prstDash w14:val="solid"/>
                  <w14:bevel/>
                </w14:textOutline>
              </w:rPr>
              <w:t>现场类</w:t>
            </w:r>
          </w:p>
        </w:tc>
        <w:tc>
          <w:tcPr>
            <w:tcW w:w="1451" w:type="dxa"/>
            <w:tcBorders>
              <w:top w:val="nil"/>
            </w:tcBorders>
            <w:vAlign w:val="top"/>
          </w:tcPr>
          <w:p>
            <w:pPr>
              <w:pStyle w:val="6"/>
              <w:spacing w:before="84" w:line="228" w:lineRule="auto"/>
              <w:ind w:left="655"/>
              <w:rPr>
                <w:sz w:val="17"/>
                <w:szCs w:val="17"/>
              </w:rPr>
            </w:pPr>
            <w:r>
              <w:rPr>
                <w:sz w:val="17"/>
                <w:szCs w:val="17"/>
                <w14:textOutline w14:w="3130" w14:cap="sq" w14:cmpd="sng">
                  <w14:solidFill>
                    <w14:srgbClr w14:val="000000"/>
                  </w14:solidFill>
                  <w14:prstDash w14:val="solid"/>
                  <w14:bevel/>
                </w14:textOutline>
              </w:rPr>
              <w:t>患</w:t>
            </w:r>
          </w:p>
          <w:p>
            <w:pPr>
              <w:pStyle w:val="6"/>
              <w:spacing w:line="185" w:lineRule="auto"/>
              <w:ind w:left="689"/>
              <w:rPr>
                <w:sz w:val="17"/>
                <w:szCs w:val="17"/>
              </w:rPr>
            </w:pPr>
            <w:r>
              <w:rPr>
                <w:sz w:val="17"/>
                <w:szCs w:val="17"/>
                <w14:textOutline w14:w="3130" w14:cap="sq" w14:cmpd="sng">
                  <w14:solidFill>
                    <w14:srgbClr w14:val="000000"/>
                  </w14:solidFill>
                  <w14:prstDash w14:val="solid"/>
                  <w14:bevel/>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42" w:type="dxa"/>
            <w:vMerge w:val="restart"/>
            <w:tcBorders>
              <w:bottom w:val="nil"/>
            </w:tcBorders>
            <w:vAlign w:val="top"/>
          </w:tcPr>
          <w:p>
            <w:pPr>
              <w:rPr>
                <w:rFonts w:ascii="Arial"/>
                <w:sz w:val="21"/>
              </w:rPr>
            </w:pPr>
          </w:p>
        </w:tc>
        <w:tc>
          <w:tcPr>
            <w:tcW w:w="489" w:type="dxa"/>
            <w:vAlign w:val="top"/>
          </w:tcPr>
          <w:p>
            <w:pPr>
              <w:spacing w:line="316" w:lineRule="auto"/>
              <w:rPr>
                <w:rFonts w:ascii="Arial"/>
                <w:sz w:val="21"/>
              </w:rPr>
            </w:pPr>
          </w:p>
          <w:p>
            <w:pPr>
              <w:pStyle w:val="6"/>
              <w:spacing w:before="52" w:line="185" w:lineRule="auto"/>
              <w:ind w:left="166"/>
            </w:pPr>
            <w:r>
              <w:rPr>
                <w:spacing w:val="-1"/>
              </w:rPr>
              <w:t>42</w:t>
            </w:r>
          </w:p>
        </w:tc>
        <w:tc>
          <w:tcPr>
            <w:tcW w:w="974" w:type="dxa"/>
            <w:vAlign w:val="top"/>
          </w:tcPr>
          <w:p>
            <w:pPr>
              <w:spacing w:line="316" w:lineRule="auto"/>
              <w:rPr>
                <w:rFonts w:ascii="Arial"/>
                <w:sz w:val="21"/>
              </w:rPr>
            </w:pPr>
          </w:p>
          <w:p>
            <w:pPr>
              <w:pStyle w:val="6"/>
              <w:spacing w:before="52" w:line="185" w:lineRule="auto"/>
              <w:ind w:left="288"/>
            </w:pPr>
            <w:r>
              <w:t>5.4.2</w:t>
            </w:r>
          </w:p>
        </w:tc>
        <w:tc>
          <w:tcPr>
            <w:tcW w:w="3566"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3"/>
                <w:kern w:val="0"/>
                <w:sz w:val="16"/>
                <w:szCs w:val="16"/>
                <w:lang w:val="en-US" w:eastAsia="en-US" w:bidi="ar-SA"/>
              </w:rPr>
            </w:pPr>
            <w:r>
              <w:rPr>
                <w:rFonts w:hint="eastAsia" w:ascii="宋体" w:hAnsi="宋体" w:eastAsia="宋体" w:cs="宋体"/>
                <w:snapToGrid w:val="0"/>
                <w:color w:val="000000"/>
                <w:spacing w:val="3"/>
                <w:kern w:val="0"/>
                <w:sz w:val="16"/>
                <w:szCs w:val="16"/>
                <w:lang w:val="en-US" w:eastAsia="en-US" w:bidi="ar-SA"/>
              </w:rPr>
              <w:t>1.火</w:t>
            </w:r>
            <w:r>
              <w:rPr>
                <w:rFonts w:hint="eastAsia" w:ascii="宋体" w:hAnsi="宋体" w:eastAsia="宋体" w:cs="宋体"/>
                <w:snapToGrid w:val="0"/>
                <w:color w:val="000000"/>
                <w:spacing w:val="3"/>
                <w:kern w:val="0"/>
                <w:sz w:val="16"/>
                <w:szCs w:val="16"/>
                <w:lang w:val="en-US" w:eastAsia="en-US" w:bidi="ar-SA"/>
              </w:rPr>
              <w:t>炬区域未进行爆炸危险区域划分设计。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3"/>
                <w:kern w:val="0"/>
                <w:sz w:val="16"/>
                <w:szCs w:val="16"/>
                <w:lang w:val="en-US" w:eastAsia="en-US" w:bidi="ar-SA"/>
              </w:rPr>
            </w:pPr>
            <w:r>
              <w:rPr>
                <w:rFonts w:hint="eastAsia" w:ascii="宋体" w:hAnsi="宋体" w:eastAsia="宋体" w:cs="宋体"/>
                <w:snapToGrid w:val="0"/>
                <w:color w:val="000000"/>
                <w:spacing w:val="3"/>
                <w:kern w:val="0"/>
                <w:sz w:val="16"/>
                <w:szCs w:val="16"/>
                <w:lang w:val="en-US" w:eastAsia="en-US" w:bidi="ar-SA"/>
              </w:rPr>
              <w:t>2.防爆区域划分图显示200#装置南急救室在防爆区域内，安装使用的照明灯、开关、插座和增压泵电机为非防爆设备。</w:t>
            </w:r>
          </w:p>
          <w:p>
            <w:pPr>
              <w:pStyle w:val="6"/>
              <w:spacing w:before="10" w:line="224" w:lineRule="auto"/>
              <w:ind w:right="20"/>
              <w:jc w:val="both"/>
            </w:pPr>
          </w:p>
        </w:tc>
        <w:tc>
          <w:tcPr>
            <w:tcW w:w="4751"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3"/>
                <w:kern w:val="0"/>
                <w:sz w:val="16"/>
                <w:szCs w:val="16"/>
                <w:lang w:val="en-US" w:eastAsia="en-US" w:bidi="ar-SA"/>
              </w:rPr>
            </w:pPr>
            <w:r>
              <w:rPr>
                <w:rFonts w:hint="eastAsia" w:ascii="宋体" w:hAnsi="宋体" w:eastAsia="宋体" w:cs="宋体"/>
                <w:snapToGrid w:val="0"/>
                <w:color w:val="000000"/>
                <w:spacing w:val="3"/>
                <w:kern w:val="0"/>
                <w:sz w:val="16"/>
                <w:szCs w:val="16"/>
                <w:lang w:val="en-US" w:eastAsia="en-US" w:bidi="ar-SA"/>
              </w:rPr>
              <w:t>1.按照《爆炸危险环境电力装置设计规范》 （GB 50058-2014）附录B和附录C的要求，联系设计院，复核设计图纸。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3"/>
                <w:kern w:val="0"/>
                <w:sz w:val="16"/>
                <w:szCs w:val="16"/>
                <w:lang w:val="en-US" w:eastAsia="en-US" w:bidi="ar-SA"/>
              </w:rPr>
            </w:pPr>
            <w:r>
              <w:rPr>
                <w:rFonts w:hint="eastAsia" w:ascii="宋体" w:hAnsi="宋体" w:eastAsia="宋体" w:cs="宋体"/>
                <w:snapToGrid w:val="0"/>
                <w:color w:val="000000"/>
                <w:spacing w:val="3"/>
                <w:kern w:val="0"/>
                <w:sz w:val="16"/>
                <w:szCs w:val="16"/>
                <w:lang w:val="en-US" w:eastAsia="en-US" w:bidi="ar-SA"/>
              </w:rPr>
              <w:t>2.联系设计单位核实防爆区域划分图，根据核实情况进行整改。</w:t>
            </w:r>
          </w:p>
          <w:p>
            <w:pPr>
              <w:pStyle w:val="6"/>
              <w:spacing w:before="11" w:line="221" w:lineRule="auto"/>
            </w:pPr>
          </w:p>
        </w:tc>
        <w:tc>
          <w:tcPr>
            <w:tcW w:w="957" w:type="dxa"/>
            <w:vAlign w:val="top"/>
          </w:tcPr>
          <w:p>
            <w:pPr>
              <w:rPr>
                <w:rFonts w:ascii="Arial"/>
                <w:sz w:val="21"/>
              </w:rPr>
            </w:pPr>
          </w:p>
        </w:tc>
        <w:tc>
          <w:tcPr>
            <w:tcW w:w="1091" w:type="dxa"/>
            <w:vAlign w:val="top"/>
          </w:tcPr>
          <w:p>
            <w:pPr>
              <w:spacing w:line="289"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336" w:lineRule="auto"/>
              <w:rPr>
                <w:rFonts w:ascii="Arial"/>
                <w:sz w:val="21"/>
              </w:rPr>
            </w:pPr>
          </w:p>
          <w:p>
            <w:pPr>
              <w:spacing w:line="336" w:lineRule="auto"/>
              <w:rPr>
                <w:rFonts w:ascii="Arial"/>
                <w:sz w:val="21"/>
              </w:rPr>
            </w:pPr>
          </w:p>
          <w:p>
            <w:pPr>
              <w:pStyle w:val="6"/>
              <w:spacing w:before="52" w:line="185" w:lineRule="auto"/>
              <w:ind w:left="166"/>
            </w:pPr>
            <w:r>
              <w:rPr>
                <w:spacing w:val="-1"/>
              </w:rPr>
              <w:t>43</w:t>
            </w:r>
          </w:p>
        </w:tc>
        <w:tc>
          <w:tcPr>
            <w:tcW w:w="974" w:type="dxa"/>
            <w:vAlign w:val="top"/>
          </w:tcPr>
          <w:p>
            <w:pPr>
              <w:spacing w:line="336" w:lineRule="auto"/>
              <w:rPr>
                <w:rFonts w:ascii="Arial"/>
                <w:sz w:val="21"/>
              </w:rPr>
            </w:pPr>
          </w:p>
          <w:p>
            <w:pPr>
              <w:spacing w:line="336" w:lineRule="auto"/>
              <w:rPr>
                <w:rFonts w:ascii="Arial"/>
                <w:sz w:val="21"/>
              </w:rPr>
            </w:pPr>
          </w:p>
          <w:p>
            <w:pPr>
              <w:pStyle w:val="6"/>
              <w:spacing w:before="52" w:line="185" w:lineRule="auto"/>
              <w:ind w:left="284"/>
            </w:pPr>
            <w:r>
              <w:rPr>
                <w:spacing w:val="1"/>
                <w14:textOutline w14:w="2960" w14:cap="sq" w14:cmpd="sng">
                  <w14:solidFill>
                    <w14:srgbClr w14:val="000000"/>
                  </w14:solidFill>
                  <w14:prstDash w14:val="solid"/>
                  <w14:bevel/>
                </w14:textOutline>
              </w:rPr>
              <w:t>5.4.2</w:t>
            </w:r>
          </w:p>
        </w:tc>
        <w:tc>
          <w:tcPr>
            <w:tcW w:w="3566" w:type="dxa"/>
            <w:vAlign w:val="top"/>
          </w:tcPr>
          <w:p>
            <w:pPr>
              <w:spacing w:line="346" w:lineRule="auto"/>
              <w:rPr>
                <w:rFonts w:ascii="Arial"/>
                <w:sz w:val="21"/>
              </w:rPr>
            </w:pPr>
          </w:p>
          <w:p>
            <w:pPr>
              <w:pStyle w:val="6"/>
              <w:spacing w:before="52" w:line="221" w:lineRule="auto"/>
            </w:pPr>
            <w:r>
              <w:rPr>
                <w:spacing w:val="3"/>
              </w:rPr>
              <w:t>1.1#装车台二层安装使用的插排为非防爆设备。</w:t>
            </w:r>
          </w:p>
          <w:p>
            <w:pPr>
              <w:pStyle w:val="6"/>
              <w:spacing w:before="8" w:line="231" w:lineRule="auto"/>
              <w:ind w:right="20"/>
            </w:pPr>
            <w:r>
              <w:rPr>
                <w:spacing w:val="8"/>
              </w:rPr>
              <w:t>2.新增T10205B塔附近管廊架下蒸汽发生器旁管</w:t>
            </w:r>
            <w:r>
              <w:rPr>
                <w:spacing w:val="6"/>
              </w:rPr>
              <w:t>道上，1台调节阀的电动阀（</w:t>
            </w:r>
            <w:r>
              <w:t>PV</w:t>
            </w:r>
            <w:r>
              <w:rPr>
                <w:spacing w:val="6"/>
              </w:rPr>
              <w:t>-01）为非防爆设</w:t>
            </w:r>
            <w:r>
              <w:rPr>
                <w:spacing w:val="-2"/>
              </w:rPr>
              <w:t>备。</w:t>
            </w:r>
          </w:p>
        </w:tc>
        <w:tc>
          <w:tcPr>
            <w:tcW w:w="4751" w:type="dxa"/>
            <w:vAlign w:val="top"/>
          </w:tcPr>
          <w:p>
            <w:pPr>
              <w:spacing w:line="247" w:lineRule="auto"/>
              <w:rPr>
                <w:rFonts w:ascii="Arial"/>
                <w:sz w:val="21"/>
              </w:rPr>
            </w:pPr>
          </w:p>
          <w:p>
            <w:pPr>
              <w:pStyle w:val="6"/>
              <w:spacing w:before="52" w:line="231" w:lineRule="auto"/>
              <w:ind w:right="16"/>
              <w:jc w:val="both"/>
            </w:pPr>
            <w:r>
              <w:rPr>
                <w:rFonts w:hint="eastAsia" w:ascii="宋体" w:hAnsi="宋体" w:eastAsia="宋体" w:cs="宋体"/>
                <w:snapToGrid w:val="0"/>
                <w:color w:val="000000"/>
                <w:spacing w:val="3"/>
                <w:kern w:val="0"/>
                <w:sz w:val="16"/>
                <w:szCs w:val="16"/>
                <w:lang w:val="en-US" w:eastAsia="en-US" w:bidi="ar-SA"/>
              </w:rPr>
              <w:t>按照《爆炸危险环境电力装置设计规范》（GB 50058-2014）第5.2.3条的要求和《 危险场所电气防爆安全规范》（AQ3009-2007）第5.1条的要求，防爆电气设备应根据爆炸危险区域的等级和爆炸危险物质的类别、级别和组别选型，安装使用合格的防爆型电气设备。</w:t>
            </w:r>
          </w:p>
        </w:tc>
        <w:tc>
          <w:tcPr>
            <w:tcW w:w="957" w:type="dxa"/>
            <w:vAlign w:val="top"/>
          </w:tcPr>
          <w:p>
            <w:pPr>
              <w:rPr>
                <w:rFonts w:ascii="Arial"/>
                <w:sz w:val="21"/>
              </w:rPr>
            </w:pPr>
          </w:p>
        </w:tc>
        <w:tc>
          <w:tcPr>
            <w:tcW w:w="1091" w:type="dxa"/>
            <w:vAlign w:val="top"/>
          </w:tcPr>
          <w:p>
            <w:pPr>
              <w:rPr>
                <w:rFonts w:ascii="Arial"/>
                <w:sz w:val="21"/>
              </w:rPr>
            </w:pPr>
          </w:p>
        </w:tc>
        <w:tc>
          <w:tcPr>
            <w:tcW w:w="861" w:type="dxa"/>
            <w:vAlign w:val="top"/>
          </w:tcPr>
          <w:p>
            <w:pPr>
              <w:spacing w:line="323" w:lineRule="auto"/>
              <w:rPr>
                <w:rFonts w:ascii="Arial"/>
                <w:sz w:val="21"/>
              </w:rPr>
            </w:pPr>
          </w:p>
          <w:p>
            <w:pPr>
              <w:spacing w:line="323" w:lineRule="auto"/>
              <w:rPr>
                <w:rFonts w:ascii="Arial"/>
                <w:sz w:val="21"/>
              </w:rPr>
            </w:pPr>
          </w:p>
          <w:p>
            <w:pPr>
              <w:pStyle w:val="6"/>
              <w:spacing w:before="52" w:line="242" w:lineRule="auto"/>
              <w:ind w:left="398"/>
            </w:pPr>
            <w:r>
              <w:rPr>
                <w14:textOutline w14:w="2960" w14:cap="sq" w14:cmpd="sng">
                  <w14:solidFill>
                    <w14:srgbClr w14:val="000000"/>
                  </w14:solidFill>
                  <w14:prstDash w14:val="solid"/>
                  <w14:bevel/>
                </w14:textOutline>
              </w:rPr>
              <w:t>√</w:t>
            </w:r>
          </w:p>
        </w:tc>
        <w:tc>
          <w:tcPr>
            <w:tcW w:w="1451" w:type="dxa"/>
            <w:vAlign w:val="top"/>
          </w:tcPr>
          <w:p>
            <w:pPr>
              <w:spacing w:line="323" w:lineRule="auto"/>
              <w:rPr>
                <w:rFonts w:ascii="Arial"/>
                <w:sz w:val="21"/>
              </w:rPr>
            </w:pPr>
          </w:p>
          <w:p>
            <w:pPr>
              <w:spacing w:line="323" w:lineRule="auto"/>
              <w:rPr>
                <w:rFonts w:ascii="Arial"/>
                <w:sz w:val="21"/>
              </w:rPr>
            </w:pPr>
          </w:p>
          <w:p>
            <w:pPr>
              <w:pStyle w:val="6"/>
              <w:spacing w:before="52" w:line="242" w:lineRule="auto"/>
              <w:ind w:left="692"/>
            </w:pPr>
            <w:r>
              <w:rPr>
                <w14:textOutline w14:w="2960" w14:cap="sq" w14:cmpd="sng">
                  <w14:solidFill>
                    <w14:srgbClr w14:val="000000"/>
                  </w14:solidFill>
                  <w14:prstDash w14:val="solid"/>
                  <w14:bevel/>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2" w:type="dxa"/>
            <w:vMerge w:val="continue"/>
            <w:tcBorders>
              <w:top w:val="nil"/>
            </w:tcBorders>
            <w:vAlign w:val="top"/>
          </w:tcPr>
          <w:p>
            <w:pPr>
              <w:rPr>
                <w:rFonts w:ascii="Arial"/>
                <w:sz w:val="21"/>
              </w:rPr>
            </w:pPr>
          </w:p>
        </w:tc>
        <w:tc>
          <w:tcPr>
            <w:tcW w:w="489" w:type="dxa"/>
            <w:vAlign w:val="top"/>
          </w:tcPr>
          <w:p>
            <w:pPr>
              <w:pStyle w:val="6"/>
              <w:spacing w:before="268" w:line="185" w:lineRule="auto"/>
              <w:ind w:left="166"/>
            </w:pPr>
            <w:r>
              <w:rPr>
                <w:spacing w:val="-1"/>
              </w:rPr>
              <w:t>44</w:t>
            </w:r>
          </w:p>
        </w:tc>
        <w:tc>
          <w:tcPr>
            <w:tcW w:w="974" w:type="dxa"/>
            <w:vAlign w:val="top"/>
          </w:tcPr>
          <w:p>
            <w:pPr>
              <w:pStyle w:val="6"/>
              <w:spacing w:before="268" w:line="185" w:lineRule="auto"/>
              <w:ind w:left="288"/>
            </w:pPr>
            <w:r>
              <w:t>5.4.3</w:t>
            </w:r>
          </w:p>
        </w:tc>
        <w:tc>
          <w:tcPr>
            <w:tcW w:w="3566" w:type="dxa"/>
            <w:vAlign w:val="top"/>
          </w:tcPr>
          <w:p>
            <w:pPr>
              <w:pStyle w:val="6"/>
              <w:spacing w:before="242" w:line="222" w:lineRule="auto"/>
              <w:ind w:left="35"/>
            </w:pPr>
            <w:r>
              <w:rPr>
                <w:spacing w:val="3"/>
              </w:rPr>
              <w:t>火炬区1台风机电机外壳未进行保护接地。</w:t>
            </w:r>
          </w:p>
        </w:tc>
        <w:tc>
          <w:tcPr>
            <w:tcW w:w="4751" w:type="dxa"/>
            <w:vAlign w:val="top"/>
          </w:tcPr>
          <w:p>
            <w:pPr>
              <w:pStyle w:val="6"/>
              <w:spacing w:before="40" w:line="220" w:lineRule="auto"/>
              <w:ind w:right="16"/>
              <w:jc w:val="both"/>
            </w:pPr>
            <w:r>
              <w:rPr>
                <w:rFonts w:hint="eastAsia" w:ascii="宋体" w:hAnsi="宋体" w:eastAsia="宋体" w:cs="宋体"/>
                <w:snapToGrid w:val="0"/>
                <w:color w:val="000000"/>
                <w:spacing w:val="3"/>
                <w:kern w:val="0"/>
                <w:sz w:val="16"/>
                <w:szCs w:val="16"/>
                <w:lang w:val="en-US" w:eastAsia="en-US" w:bidi="ar-SA"/>
              </w:rPr>
              <w:t>按照《电气装置安装工程接地装置施工及验收规范》（GB50169-2016）第3.0.4条的要求，电气设备的金属底座、框架及外壳和传动装置，均必须接地。</w:t>
            </w:r>
          </w:p>
        </w:tc>
        <w:tc>
          <w:tcPr>
            <w:tcW w:w="957" w:type="dxa"/>
            <w:vAlign w:val="top"/>
          </w:tcPr>
          <w:p>
            <w:pPr>
              <w:rPr>
                <w:rFonts w:ascii="Arial"/>
                <w:sz w:val="21"/>
              </w:rPr>
            </w:pPr>
          </w:p>
        </w:tc>
        <w:tc>
          <w:tcPr>
            <w:tcW w:w="1091" w:type="dxa"/>
            <w:vAlign w:val="top"/>
          </w:tcPr>
          <w:p>
            <w:pPr>
              <w:rPr>
                <w:rFonts w:ascii="Arial"/>
                <w:sz w:val="21"/>
              </w:rPr>
            </w:pPr>
          </w:p>
        </w:tc>
        <w:tc>
          <w:tcPr>
            <w:tcW w:w="861" w:type="dxa"/>
            <w:vAlign w:val="top"/>
          </w:tcPr>
          <w:p>
            <w:pPr>
              <w:pStyle w:val="6"/>
              <w:spacing w:before="241" w:line="242" w:lineRule="auto"/>
              <w:ind w:left="401"/>
            </w:pPr>
            <w:r>
              <w:t>√</w:t>
            </w: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542" w:type="dxa"/>
            <w:vAlign w:val="top"/>
          </w:tcPr>
          <w:p>
            <w:pPr>
              <w:spacing w:line="304" w:lineRule="auto"/>
              <w:rPr>
                <w:rFonts w:ascii="Arial"/>
                <w:sz w:val="21"/>
              </w:rPr>
            </w:pPr>
          </w:p>
          <w:p>
            <w:pPr>
              <w:pStyle w:val="6"/>
              <w:spacing w:before="52" w:line="230" w:lineRule="auto"/>
              <w:ind w:left="108" w:right="18" w:hanging="9"/>
              <w:jc w:val="both"/>
            </w:pPr>
            <w:r>
              <w:rPr>
                <w:spacing w:val="-7"/>
                <w14:textOutline w14:w="2960" w14:cap="sq" w14:cmpd="sng">
                  <w14:solidFill>
                    <w14:srgbClr w14:val="000000"/>
                  </w14:solidFill>
                  <w14:prstDash w14:val="solid"/>
                  <w14:bevel/>
                </w14:textOutline>
              </w:rPr>
              <w:t>“</w:t>
            </w:r>
            <w:r>
              <w:rPr>
                <w:spacing w:val="-53"/>
              </w:rPr>
              <w:t xml:space="preserve"> </w:t>
            </w:r>
            <w:r>
              <w:rPr>
                <w:spacing w:val="-7"/>
                <w14:textOutline w14:w="2960" w14:cap="sq" w14:cmpd="sng">
                  <w14:solidFill>
                    <w14:srgbClr w14:val="000000"/>
                  </w14:solidFill>
                  <w14:prstDash w14:val="solid"/>
                  <w14:bevel/>
                </w14:textOutline>
              </w:rPr>
              <w:t>四</w:t>
            </w:r>
            <w:r>
              <w:t xml:space="preserve">  </w:t>
            </w:r>
            <w:r>
              <w:rPr>
                <w:spacing w:val="1"/>
                <w14:textOutline w14:w="2960" w14:cap="sq" w14:cmpd="sng">
                  <w14:solidFill>
                    <w14:srgbClr w14:val="000000"/>
                  </w14:solidFill>
                  <w14:prstDash w14:val="solid"/>
                  <w14:bevel/>
                </w14:textOutline>
              </w:rPr>
              <w:t>个清</w:t>
            </w:r>
            <w:r>
              <w:t xml:space="preserve">  </w:t>
            </w:r>
            <w:r>
              <w:rPr>
                <w:spacing w:val="29"/>
                <w14:textOutline w14:w="2960" w14:cap="sq" w14:cmpd="sng">
                  <w14:solidFill>
                    <w14:srgbClr w14:val="000000"/>
                  </w14:solidFill>
                  <w14:prstDash w14:val="solid"/>
                  <w14:bevel/>
                </w14:textOutline>
              </w:rPr>
              <w:t>零</w:t>
            </w:r>
            <w:r>
              <w:rPr>
                <w:spacing w:val="-54"/>
              </w:rPr>
              <w:t xml:space="preserve"> </w:t>
            </w:r>
            <w:r>
              <w:rPr>
                <w:spacing w:val="29"/>
                <w14:textOutline w14:w="2960" w14:cap="sq" w14:cmpd="sng">
                  <w14:solidFill>
                    <w14:srgbClr w14:val="000000"/>
                  </w14:solidFill>
                  <w14:prstDash w14:val="solid"/>
                  <w14:bevel/>
                </w14:textOutline>
              </w:rPr>
              <w:t>”</w:t>
            </w:r>
          </w:p>
        </w:tc>
        <w:tc>
          <w:tcPr>
            <w:tcW w:w="489" w:type="dxa"/>
            <w:vAlign w:val="top"/>
          </w:tcPr>
          <w:p>
            <w:pPr>
              <w:spacing w:line="266" w:lineRule="auto"/>
              <w:rPr>
                <w:rFonts w:ascii="Arial"/>
                <w:sz w:val="21"/>
              </w:rPr>
            </w:pPr>
          </w:p>
          <w:p>
            <w:pPr>
              <w:spacing w:line="266" w:lineRule="auto"/>
              <w:rPr>
                <w:rFonts w:ascii="Arial"/>
                <w:sz w:val="21"/>
              </w:rPr>
            </w:pPr>
          </w:p>
          <w:p>
            <w:pPr>
              <w:pStyle w:val="6"/>
              <w:spacing w:before="52" w:line="185" w:lineRule="auto"/>
              <w:ind w:left="166"/>
            </w:pPr>
            <w:r>
              <w:rPr>
                <w:spacing w:val="-1"/>
              </w:rPr>
              <w:t>45</w:t>
            </w:r>
          </w:p>
        </w:tc>
        <w:tc>
          <w:tcPr>
            <w:tcW w:w="974" w:type="dxa"/>
            <w:vAlign w:val="top"/>
          </w:tcPr>
          <w:p>
            <w:pPr>
              <w:spacing w:line="266" w:lineRule="auto"/>
              <w:rPr>
                <w:rFonts w:ascii="Arial"/>
                <w:sz w:val="21"/>
              </w:rPr>
            </w:pPr>
          </w:p>
          <w:p>
            <w:pPr>
              <w:spacing w:line="266" w:lineRule="auto"/>
              <w:rPr>
                <w:rFonts w:ascii="Arial"/>
                <w:sz w:val="21"/>
              </w:rPr>
            </w:pPr>
          </w:p>
          <w:p>
            <w:pPr>
              <w:pStyle w:val="6"/>
              <w:spacing w:before="52" w:line="185" w:lineRule="auto"/>
              <w:ind w:left="282"/>
            </w:pPr>
            <w:r>
              <w:rPr>
                <w:spacing w:val="2"/>
                <w14:textOutline w14:w="2960" w14:cap="sq" w14:cmpd="sng">
                  <w14:solidFill>
                    <w14:srgbClr w14:val="000000"/>
                  </w14:solidFill>
                  <w14:prstDash w14:val="solid"/>
                  <w14:bevel/>
                </w14:textOutline>
              </w:rPr>
              <w:t>6.4.4</w:t>
            </w:r>
          </w:p>
        </w:tc>
        <w:tc>
          <w:tcPr>
            <w:tcW w:w="3566"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宋体" w:hAnsi="宋体" w:eastAsia="宋体" w:cs="宋体"/>
                <w:snapToGrid w:val="0"/>
                <w:color w:val="000000"/>
                <w:spacing w:val="3"/>
                <w:kern w:val="0"/>
                <w:sz w:val="16"/>
                <w:szCs w:val="16"/>
                <w:lang w:val="en-US" w:eastAsia="en-US" w:bidi="ar-SA"/>
              </w:rPr>
            </w:pPr>
            <w:r>
              <w:rPr>
                <w:rFonts w:hint="eastAsia" w:ascii="宋体" w:hAnsi="宋体" w:eastAsia="宋体" w:cs="宋体"/>
                <w:snapToGrid w:val="0"/>
                <w:color w:val="000000"/>
                <w:spacing w:val="3"/>
                <w:kern w:val="0"/>
                <w:sz w:val="16"/>
                <w:szCs w:val="16"/>
                <w:lang w:val="en-US" w:eastAsia="en-US" w:bidi="ar-SA"/>
              </w:rPr>
              <w:t>1</w:t>
            </w:r>
            <w:r>
              <w:rPr>
                <w:rFonts w:hint="eastAsia" w:ascii="宋体" w:hAnsi="宋体" w:eastAsia="宋体" w:cs="宋体"/>
                <w:snapToGrid w:val="0"/>
                <w:color w:val="000000"/>
                <w:spacing w:val="3"/>
                <w:kern w:val="0"/>
                <w:sz w:val="16"/>
                <w:szCs w:val="16"/>
                <w:lang w:val="en-US" w:eastAsia="en-US" w:bidi="ar-SA"/>
              </w:rPr>
              <w:t>.《安德力公司DCS组态修改台账》中，组态修改作业人丁某未取得化工自动化控制仪表操作证。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snapToGrid w:val="0"/>
                <w:color w:val="000000"/>
                <w:spacing w:val="3"/>
                <w:kern w:val="0"/>
                <w:sz w:val="16"/>
                <w:szCs w:val="16"/>
                <w:lang w:val="en-US" w:eastAsia="en-US" w:bidi="ar-SA"/>
              </w:rPr>
              <w:t>2.2024年2月25日，《现场仪表每周卫生清扫及检查记录表》中DCS系统维护作业人员王某未取得化工自动化控制仪表操作证。</w:t>
            </w:r>
          </w:p>
          <w:p>
            <w:pPr>
              <w:pStyle w:val="6"/>
              <w:spacing w:before="11" w:line="229" w:lineRule="auto"/>
              <w:ind w:right="20"/>
            </w:pPr>
          </w:p>
        </w:tc>
        <w:tc>
          <w:tcPr>
            <w:tcW w:w="4751" w:type="dxa"/>
            <w:vAlign w:val="top"/>
          </w:tcPr>
          <w:p>
            <w:pPr>
              <w:pStyle w:val="6"/>
              <w:spacing w:before="255" w:line="231" w:lineRule="auto"/>
              <w:ind w:right="16"/>
              <w:jc w:val="both"/>
            </w:pPr>
            <w:r>
              <w:rPr>
                <w:rFonts w:hint="eastAsia" w:ascii="宋体" w:hAnsi="宋体" w:eastAsia="宋体" w:cs="宋体"/>
                <w:snapToGrid w:val="0"/>
                <w:color w:val="000000"/>
                <w:spacing w:val="3"/>
                <w:kern w:val="0"/>
                <w:sz w:val="16"/>
                <w:szCs w:val="16"/>
                <w:lang w:val="en-US" w:eastAsia="en-US" w:bidi="ar-SA"/>
              </w:rPr>
              <w:t>按照《特种作业人员安全技术培训考核管理规定》（国家安监总 局令第30号）第五条的要求，特种作业人员必须经专门的安全技术培训并考核合格，取得特种作业操作证后，方可上岗作业；联系培训机构报名参加培训，增加自动化控制仪表操作工的配备。</w:t>
            </w:r>
          </w:p>
        </w:tc>
        <w:tc>
          <w:tcPr>
            <w:tcW w:w="957" w:type="dxa"/>
            <w:vAlign w:val="top"/>
          </w:tcPr>
          <w:p>
            <w:pPr>
              <w:rPr>
                <w:rFonts w:ascii="Arial"/>
                <w:sz w:val="21"/>
              </w:rPr>
            </w:pPr>
          </w:p>
        </w:tc>
        <w:tc>
          <w:tcPr>
            <w:tcW w:w="1091" w:type="dxa"/>
            <w:vAlign w:val="top"/>
          </w:tcPr>
          <w:p>
            <w:pPr>
              <w:spacing w:line="253" w:lineRule="auto"/>
              <w:rPr>
                <w:rFonts w:ascii="Arial"/>
                <w:sz w:val="21"/>
              </w:rPr>
            </w:pPr>
          </w:p>
          <w:p>
            <w:pPr>
              <w:spacing w:line="253" w:lineRule="auto"/>
              <w:rPr>
                <w:rFonts w:ascii="Arial"/>
                <w:sz w:val="21"/>
              </w:rPr>
            </w:pPr>
          </w:p>
          <w:p>
            <w:pPr>
              <w:pStyle w:val="6"/>
              <w:spacing w:before="52" w:line="242" w:lineRule="auto"/>
              <w:ind w:left="514"/>
            </w:pPr>
            <w:r>
              <w:rPr>
                <w14:textOutline w14:w="2960" w14:cap="sq" w14:cmpd="sng">
                  <w14:solidFill>
                    <w14:srgbClr w14:val="000000"/>
                  </w14:solidFill>
                  <w14:prstDash w14:val="solid"/>
                  <w14:bevel/>
                </w14:textOutline>
              </w:rPr>
              <w:t>√</w:t>
            </w:r>
          </w:p>
        </w:tc>
        <w:tc>
          <w:tcPr>
            <w:tcW w:w="861" w:type="dxa"/>
            <w:vAlign w:val="top"/>
          </w:tcPr>
          <w:p>
            <w:pPr>
              <w:rPr>
                <w:rFonts w:ascii="Arial"/>
                <w:sz w:val="21"/>
              </w:rPr>
            </w:pPr>
          </w:p>
        </w:tc>
        <w:tc>
          <w:tcPr>
            <w:tcW w:w="1451" w:type="dxa"/>
            <w:vAlign w:val="top"/>
          </w:tcPr>
          <w:p>
            <w:pPr>
              <w:spacing w:line="253" w:lineRule="auto"/>
              <w:rPr>
                <w:rFonts w:ascii="Arial"/>
                <w:sz w:val="21"/>
              </w:rPr>
            </w:pPr>
          </w:p>
          <w:p>
            <w:pPr>
              <w:spacing w:line="253" w:lineRule="auto"/>
              <w:rPr>
                <w:rFonts w:ascii="Arial"/>
                <w:sz w:val="21"/>
              </w:rPr>
            </w:pPr>
          </w:p>
          <w:p>
            <w:pPr>
              <w:pStyle w:val="6"/>
              <w:spacing w:before="52" w:line="242" w:lineRule="auto"/>
              <w:ind w:left="692"/>
            </w:pPr>
            <w:r>
              <w:rPr>
                <w14:textOutline w14:w="2960" w14:cap="sq" w14:cmpd="sng">
                  <w14:solidFill>
                    <w14:srgbClr w14:val="000000"/>
                  </w14:solidFill>
                  <w14:prstDash w14:val="solid"/>
                  <w14:bevel/>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42" w:type="dxa"/>
            <w:vMerge w:val="restart"/>
            <w:tcBorders>
              <w:bottom w:val="nil"/>
            </w:tcBorders>
            <w:vAlign w:val="top"/>
          </w:tcPr>
          <w:p>
            <w:pPr>
              <w:rPr>
                <w:rFonts w:ascii="Arial"/>
                <w:sz w:val="21"/>
              </w:rPr>
            </w:pPr>
          </w:p>
        </w:tc>
        <w:tc>
          <w:tcPr>
            <w:tcW w:w="489" w:type="dxa"/>
            <w:vAlign w:val="top"/>
          </w:tcPr>
          <w:p>
            <w:pPr>
              <w:pStyle w:val="6"/>
              <w:spacing w:before="164" w:line="185" w:lineRule="auto"/>
              <w:ind w:left="166"/>
            </w:pPr>
            <w:r>
              <w:rPr>
                <w:spacing w:val="-1"/>
              </w:rPr>
              <w:t>46</w:t>
            </w:r>
          </w:p>
        </w:tc>
        <w:tc>
          <w:tcPr>
            <w:tcW w:w="974" w:type="dxa"/>
            <w:vAlign w:val="top"/>
          </w:tcPr>
          <w:p>
            <w:pPr>
              <w:pStyle w:val="6"/>
              <w:spacing w:before="163" w:line="186" w:lineRule="auto"/>
              <w:ind w:left="283"/>
            </w:pPr>
            <w:r>
              <w:rPr>
                <w:spacing w:val="1"/>
              </w:rPr>
              <w:t>8.1.1</w:t>
            </w:r>
          </w:p>
        </w:tc>
        <w:tc>
          <w:tcPr>
            <w:tcW w:w="3566" w:type="dxa"/>
            <w:vAlign w:val="top"/>
          </w:tcPr>
          <w:p>
            <w:pPr>
              <w:pStyle w:val="6"/>
              <w:spacing w:before="38" w:line="210" w:lineRule="auto"/>
              <w:ind w:right="20"/>
            </w:pPr>
            <w:r>
              <w:rPr>
                <w:spacing w:val="5"/>
              </w:rPr>
              <w:t>《领导现场带班管理制度》中无生产车间管理人</w:t>
            </w:r>
            <w:r>
              <w:rPr>
                <w:spacing w:val="2"/>
              </w:rPr>
              <w:t>员值班制度的管理内容。</w:t>
            </w:r>
          </w:p>
        </w:tc>
        <w:tc>
          <w:tcPr>
            <w:tcW w:w="4751"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napToGrid w:val="0"/>
                <w:color w:val="000000"/>
                <w:spacing w:val="3"/>
                <w:kern w:val="0"/>
                <w:sz w:val="16"/>
                <w:szCs w:val="16"/>
                <w:lang w:val="en-US" w:eastAsia="en-US" w:bidi="ar-SA"/>
              </w:rPr>
            </w:pPr>
            <w:r>
              <w:rPr>
                <w:rFonts w:hint="eastAsia" w:ascii="宋体" w:hAnsi="宋体" w:eastAsia="宋体" w:cs="宋体"/>
                <w:snapToGrid w:val="0"/>
                <w:color w:val="000000"/>
                <w:spacing w:val="3"/>
                <w:kern w:val="0"/>
                <w:sz w:val="16"/>
                <w:szCs w:val="16"/>
                <w:lang w:val="en-US" w:eastAsia="en-US" w:bidi="ar-SA"/>
              </w:rPr>
              <w:t>按照《化工过程安全管理导则》（AQ/T 3034-2022）表A.1的要求，修订《领导现场带班管理制度》。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spacing w:before="38" w:line="210" w:lineRule="auto"/>
              <w:ind w:right="16"/>
            </w:pPr>
          </w:p>
        </w:tc>
        <w:tc>
          <w:tcPr>
            <w:tcW w:w="957" w:type="dxa"/>
            <w:vAlign w:val="top"/>
          </w:tcPr>
          <w:p>
            <w:pPr>
              <w:pStyle w:val="6"/>
              <w:spacing w:before="137" w:line="242" w:lineRule="auto"/>
              <w:ind w:left="446"/>
            </w:pPr>
            <w:r>
              <w:t>√</w:t>
            </w:r>
          </w:p>
        </w:tc>
        <w:tc>
          <w:tcPr>
            <w:tcW w:w="1091" w:type="dxa"/>
            <w:vAlign w:val="top"/>
          </w:tcPr>
          <w:p>
            <w:pPr>
              <w:rPr>
                <w:rFonts w:ascii="Arial"/>
                <w:sz w:val="21"/>
              </w:rPr>
            </w:pP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42" w:type="dxa"/>
            <w:vMerge w:val="continue"/>
            <w:tcBorders>
              <w:top w:val="nil"/>
              <w:bottom w:val="nil"/>
            </w:tcBorders>
            <w:vAlign w:val="top"/>
          </w:tcPr>
          <w:p>
            <w:pPr>
              <w:rPr>
                <w:rFonts w:ascii="Arial"/>
                <w:sz w:val="21"/>
              </w:rPr>
            </w:pPr>
          </w:p>
        </w:tc>
        <w:tc>
          <w:tcPr>
            <w:tcW w:w="489" w:type="dxa"/>
            <w:vAlign w:val="top"/>
          </w:tcPr>
          <w:p>
            <w:pPr>
              <w:pStyle w:val="6"/>
              <w:spacing w:before="270" w:line="185" w:lineRule="auto"/>
              <w:ind w:left="166"/>
            </w:pPr>
            <w:r>
              <w:rPr>
                <w:spacing w:val="-1"/>
              </w:rPr>
              <w:t>47</w:t>
            </w:r>
          </w:p>
        </w:tc>
        <w:tc>
          <w:tcPr>
            <w:tcW w:w="974" w:type="dxa"/>
            <w:vAlign w:val="top"/>
          </w:tcPr>
          <w:p>
            <w:pPr>
              <w:pStyle w:val="6"/>
              <w:spacing w:before="269" w:line="186" w:lineRule="auto"/>
              <w:ind w:left="283"/>
            </w:pPr>
            <w:r>
              <w:rPr>
                <w:spacing w:val="1"/>
              </w:rPr>
              <w:t>8.1.2</w:t>
            </w:r>
          </w:p>
        </w:tc>
        <w:tc>
          <w:tcPr>
            <w:tcW w:w="3566" w:type="dxa"/>
            <w:vAlign w:val="top"/>
          </w:tcPr>
          <w:p>
            <w:pPr>
              <w:pStyle w:val="6"/>
              <w:spacing w:before="42" w:line="228" w:lineRule="auto"/>
              <w:ind w:right="21"/>
            </w:pPr>
            <w:r>
              <w:rPr>
                <w:spacing w:val="5"/>
              </w:rPr>
              <w:t>《应急值班制度</w:t>
            </w:r>
            <w:r>
              <w:rPr>
                <w:spacing w:val="-47"/>
              </w:rPr>
              <w:t xml:space="preserve"> </w:t>
            </w:r>
            <w:r>
              <w:rPr>
                <w:spacing w:val="5"/>
              </w:rPr>
              <w:t>中未明确应急值班值守场所、</w:t>
            </w:r>
            <w:r>
              <w:rPr>
                <w:spacing w:val="6"/>
              </w:rPr>
              <w:t>通讯方式；值班安排中无设备、安全等专业人员</w:t>
            </w:r>
            <w:r>
              <w:t>。</w:t>
            </w:r>
          </w:p>
        </w:tc>
        <w:tc>
          <w:tcPr>
            <w:tcW w:w="4751" w:type="dxa"/>
            <w:vAlign w:val="top"/>
          </w:tcPr>
          <w:p>
            <w:pPr>
              <w:pStyle w:val="6"/>
              <w:spacing w:before="43" w:line="219" w:lineRule="auto"/>
              <w:ind w:right="17"/>
              <w:jc w:val="both"/>
            </w:pPr>
            <w:r>
              <w:rPr>
                <w:rFonts w:hint="eastAsia" w:ascii="宋体" w:hAnsi="宋体" w:eastAsia="宋体" w:cs="宋体"/>
                <w:snapToGrid w:val="0"/>
                <w:color w:val="000000"/>
                <w:spacing w:val="3"/>
                <w:kern w:val="0"/>
                <w:sz w:val="16"/>
                <w:szCs w:val="16"/>
                <w:lang w:val="en-US" w:eastAsia="en-US" w:bidi="ar-SA"/>
              </w:rPr>
              <w:t>按照《危险化学品企业生产安全事故应急准备指南》（应急厅〔 2019〕62号）要素8的要求，修订应急值班制度，增加各专业值班人员。</w:t>
            </w:r>
          </w:p>
        </w:tc>
        <w:tc>
          <w:tcPr>
            <w:tcW w:w="957" w:type="dxa"/>
            <w:vAlign w:val="top"/>
          </w:tcPr>
          <w:p>
            <w:pPr>
              <w:pStyle w:val="6"/>
              <w:spacing w:before="243" w:line="242" w:lineRule="auto"/>
              <w:ind w:left="446"/>
            </w:pPr>
            <w:r>
              <w:t>√</w:t>
            </w:r>
          </w:p>
        </w:tc>
        <w:tc>
          <w:tcPr>
            <w:tcW w:w="1091" w:type="dxa"/>
            <w:vAlign w:val="top"/>
          </w:tcPr>
          <w:p>
            <w:pPr>
              <w:rPr>
                <w:rFonts w:ascii="Arial"/>
                <w:sz w:val="21"/>
              </w:rPr>
            </w:pP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322" w:lineRule="auto"/>
              <w:rPr>
                <w:rFonts w:ascii="Arial"/>
                <w:sz w:val="21"/>
              </w:rPr>
            </w:pPr>
          </w:p>
          <w:p>
            <w:pPr>
              <w:pStyle w:val="6"/>
              <w:spacing w:before="52" w:line="185" w:lineRule="auto"/>
              <w:ind w:left="166"/>
            </w:pPr>
            <w:r>
              <w:rPr>
                <w:spacing w:val="-1"/>
              </w:rPr>
              <w:t>48</w:t>
            </w:r>
          </w:p>
        </w:tc>
        <w:tc>
          <w:tcPr>
            <w:tcW w:w="974" w:type="dxa"/>
            <w:vAlign w:val="top"/>
          </w:tcPr>
          <w:p>
            <w:pPr>
              <w:spacing w:line="322" w:lineRule="auto"/>
              <w:rPr>
                <w:rFonts w:ascii="Arial"/>
                <w:sz w:val="21"/>
              </w:rPr>
            </w:pPr>
          </w:p>
          <w:p>
            <w:pPr>
              <w:pStyle w:val="6"/>
              <w:spacing w:before="52" w:line="186" w:lineRule="auto"/>
              <w:ind w:left="283"/>
            </w:pPr>
            <w:r>
              <w:rPr>
                <w:spacing w:val="1"/>
              </w:rPr>
              <w:t>8.1.4</w:t>
            </w:r>
          </w:p>
        </w:tc>
        <w:tc>
          <w:tcPr>
            <w:tcW w:w="3566" w:type="dxa"/>
            <w:vAlign w:val="top"/>
          </w:tcPr>
          <w:p>
            <w:pPr>
              <w:pStyle w:val="6"/>
              <w:spacing w:before="249" w:line="228" w:lineRule="auto"/>
              <w:ind w:right="20"/>
            </w:pPr>
            <w:r>
              <w:rPr>
                <w:spacing w:val="9"/>
              </w:rPr>
              <w:t>未开展2024年2月复产复工前隐患排查记录（仅</w:t>
            </w:r>
            <w:r>
              <w:rPr>
                <w:spacing w:val="3"/>
              </w:rPr>
              <w:t>有生产装置开车条件确认表）。</w:t>
            </w:r>
          </w:p>
        </w:tc>
        <w:tc>
          <w:tcPr>
            <w:tcW w:w="4751" w:type="dxa"/>
            <w:vAlign w:val="top"/>
          </w:tcPr>
          <w:p>
            <w:pPr>
              <w:pStyle w:val="6"/>
              <w:spacing w:before="149" w:line="230" w:lineRule="auto"/>
              <w:ind w:right="16"/>
              <w:jc w:val="both"/>
            </w:pPr>
            <w:r>
              <w:rPr>
                <w:rFonts w:hint="eastAsia" w:ascii="宋体" w:hAnsi="宋体" w:eastAsia="宋体" w:cs="宋体"/>
                <w:snapToGrid w:val="0"/>
                <w:color w:val="000000"/>
                <w:spacing w:val="3"/>
                <w:kern w:val="0"/>
                <w:sz w:val="16"/>
                <w:szCs w:val="16"/>
                <w:lang w:val="en-US" w:eastAsia="en-US" w:bidi="ar-SA"/>
              </w:rPr>
              <w:t>按照《危险化学品企业安全风险隐患排查治理导则》（应急〔 2019〕78号）第3.1条的要求，开展复产复工前隐患排查，对生产工艺、设备设施等进行综合性隐患排查。</w:t>
            </w:r>
          </w:p>
        </w:tc>
        <w:tc>
          <w:tcPr>
            <w:tcW w:w="957" w:type="dxa"/>
            <w:vAlign w:val="top"/>
          </w:tcPr>
          <w:p>
            <w:pPr>
              <w:rPr>
                <w:rFonts w:ascii="Arial"/>
                <w:sz w:val="21"/>
              </w:rPr>
            </w:pPr>
          </w:p>
        </w:tc>
        <w:tc>
          <w:tcPr>
            <w:tcW w:w="1091" w:type="dxa"/>
            <w:vAlign w:val="top"/>
          </w:tcPr>
          <w:p>
            <w:pPr>
              <w:spacing w:line="296"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324" w:lineRule="auto"/>
              <w:rPr>
                <w:rFonts w:ascii="Arial"/>
                <w:sz w:val="21"/>
              </w:rPr>
            </w:pPr>
          </w:p>
          <w:p>
            <w:pPr>
              <w:pStyle w:val="6"/>
              <w:spacing w:before="52" w:line="185" w:lineRule="auto"/>
              <w:ind w:left="166"/>
            </w:pPr>
            <w:r>
              <w:rPr>
                <w:spacing w:val="-1"/>
              </w:rPr>
              <w:t>49</w:t>
            </w:r>
          </w:p>
        </w:tc>
        <w:tc>
          <w:tcPr>
            <w:tcW w:w="974" w:type="dxa"/>
            <w:vAlign w:val="top"/>
          </w:tcPr>
          <w:p>
            <w:pPr>
              <w:spacing w:line="323" w:lineRule="auto"/>
              <w:rPr>
                <w:rFonts w:ascii="Arial"/>
                <w:sz w:val="21"/>
              </w:rPr>
            </w:pPr>
          </w:p>
          <w:p>
            <w:pPr>
              <w:pStyle w:val="6"/>
              <w:spacing w:before="52" w:line="186" w:lineRule="auto"/>
              <w:ind w:left="283"/>
            </w:pPr>
            <w:r>
              <w:rPr>
                <w:spacing w:val="1"/>
              </w:rPr>
              <w:t>8.1.7</w:t>
            </w:r>
          </w:p>
        </w:tc>
        <w:tc>
          <w:tcPr>
            <w:tcW w:w="3566" w:type="dxa"/>
            <w:vAlign w:val="top"/>
          </w:tcPr>
          <w:p>
            <w:pPr>
              <w:pStyle w:val="6"/>
              <w:spacing w:before="251" w:line="228" w:lineRule="auto"/>
              <w:ind w:right="21"/>
            </w:pPr>
            <w:r>
              <w:rPr>
                <w:spacing w:val="9"/>
              </w:rPr>
              <w:t>企业未开展2024年2月（复产复工）开车前应急</w:t>
            </w:r>
            <w:r>
              <w:rPr>
                <w:spacing w:val="1"/>
              </w:rPr>
              <w:t>预案演练。</w:t>
            </w:r>
          </w:p>
        </w:tc>
        <w:tc>
          <w:tcPr>
            <w:tcW w:w="4751" w:type="dxa"/>
            <w:vAlign w:val="top"/>
          </w:tcPr>
          <w:p>
            <w:pPr>
              <w:pStyle w:val="6"/>
              <w:spacing w:before="49" w:line="226" w:lineRule="auto"/>
              <w:ind w:right="16"/>
            </w:pPr>
            <w:r>
              <w:rPr>
                <w:rFonts w:hint="eastAsia" w:ascii="宋体" w:hAnsi="宋体" w:eastAsia="宋体" w:cs="宋体"/>
                <w:snapToGrid w:val="0"/>
                <w:color w:val="000000"/>
                <w:spacing w:val="3"/>
                <w:kern w:val="0"/>
                <w:sz w:val="16"/>
                <w:szCs w:val="16"/>
                <w:lang w:val="en-US" w:eastAsia="en-US" w:bidi="ar-SA"/>
              </w:rPr>
              <w:t>按照《关于印发危险化学品从业单位安全生产标准化评审标准的 通知》（安监总管三〔2011〕93号）第6.4条的要求，生产装置开车前应组织检查，进行安全条件确认，制定操作规程和应急预案，并开展演练。</w:t>
            </w:r>
          </w:p>
        </w:tc>
        <w:tc>
          <w:tcPr>
            <w:tcW w:w="957" w:type="dxa"/>
            <w:vAlign w:val="top"/>
          </w:tcPr>
          <w:p>
            <w:pPr>
              <w:rPr>
                <w:rFonts w:ascii="Arial"/>
                <w:sz w:val="21"/>
              </w:rPr>
            </w:pPr>
          </w:p>
        </w:tc>
        <w:tc>
          <w:tcPr>
            <w:tcW w:w="1091" w:type="dxa"/>
            <w:vAlign w:val="top"/>
          </w:tcPr>
          <w:p>
            <w:pPr>
              <w:spacing w:line="297"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bl>
    <w:p>
      <w:pPr>
        <w:rPr>
          <w:rFonts w:ascii="Arial"/>
          <w:sz w:val="21"/>
        </w:rPr>
      </w:pPr>
    </w:p>
    <w:p>
      <w:pPr>
        <w:rPr>
          <w:rFonts w:ascii="Arial" w:hAnsi="Arial" w:eastAsia="Arial" w:cs="Arial"/>
          <w:sz w:val="21"/>
          <w:szCs w:val="21"/>
        </w:rPr>
        <w:sectPr>
          <w:pgSz w:w="16834" w:h="11909"/>
          <w:pgMar w:top="1012" w:right="1127" w:bottom="0" w:left="1012" w:header="0" w:footer="0" w:gutter="0"/>
          <w:cols w:space="720" w:num="1"/>
        </w:sectPr>
      </w:pPr>
    </w:p>
    <w:tbl>
      <w:tblPr>
        <w:tblStyle w:val="5"/>
        <w:tblW w:w="1468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2"/>
        <w:gridCol w:w="489"/>
        <w:gridCol w:w="974"/>
        <w:gridCol w:w="3566"/>
        <w:gridCol w:w="4751"/>
        <w:gridCol w:w="957"/>
        <w:gridCol w:w="1091"/>
        <w:gridCol w:w="861"/>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542" w:type="dxa"/>
            <w:tcBorders>
              <w:top w:val="nil"/>
            </w:tcBorders>
            <w:vAlign w:val="top"/>
          </w:tcPr>
          <w:p>
            <w:pPr>
              <w:pStyle w:val="6"/>
              <w:spacing w:before="90" w:line="224" w:lineRule="auto"/>
              <w:ind w:left="109"/>
            </w:pPr>
            <w:r>
              <w:rPr>
                <w:spacing w:val="1"/>
                <w14:textOutline w14:w="2960" w14:cap="sq" w14:cmpd="sng">
                  <w14:solidFill>
                    <w14:srgbClr w14:val="000000"/>
                  </w14:solidFill>
                  <w14:prstDash w14:val="solid"/>
                  <w14:bevel/>
                </w14:textOutline>
              </w:rPr>
              <w:t>专业</w:t>
            </w:r>
          </w:p>
        </w:tc>
        <w:tc>
          <w:tcPr>
            <w:tcW w:w="489" w:type="dxa"/>
            <w:tcBorders>
              <w:top w:val="nil"/>
            </w:tcBorders>
            <w:vAlign w:val="top"/>
          </w:tcPr>
          <w:p>
            <w:pPr>
              <w:pStyle w:val="6"/>
              <w:spacing w:before="90" w:line="224" w:lineRule="auto"/>
              <w:ind w:left="80"/>
            </w:pPr>
            <w:r>
              <w:rPr>
                <w:spacing w:val="2"/>
                <w14:textOutline w14:w="2960" w14:cap="sq" w14:cmpd="sng">
                  <w14:solidFill>
                    <w14:srgbClr w14:val="000000"/>
                  </w14:solidFill>
                  <w14:prstDash w14:val="solid"/>
                  <w14:bevel/>
                </w14:textOutline>
              </w:rPr>
              <w:t>序号</w:t>
            </w:r>
          </w:p>
        </w:tc>
        <w:tc>
          <w:tcPr>
            <w:tcW w:w="974" w:type="dxa"/>
            <w:tcBorders>
              <w:top w:val="nil"/>
            </w:tcBorders>
            <w:vAlign w:val="top"/>
          </w:tcPr>
          <w:p>
            <w:pPr>
              <w:pStyle w:val="6"/>
              <w:spacing w:before="1" w:line="221" w:lineRule="auto"/>
              <w:ind w:left="76" w:right="65"/>
            </w:pPr>
            <w:r>
              <w:rPr>
                <w:spacing w:val="4"/>
                <w14:textOutline w14:w="2960" w14:cap="sq" w14:cmpd="sng">
                  <w14:solidFill>
                    <w14:srgbClr w14:val="000000"/>
                  </w14:solidFill>
                  <w14:prstDash w14:val="solid"/>
                  <w14:bevel/>
                </w14:textOutline>
              </w:rPr>
              <w:t>核查表中检</w:t>
            </w:r>
            <w:r>
              <w:rPr>
                <w:spacing w:val="1"/>
              </w:rPr>
              <w:t xml:space="preserve"> </w:t>
            </w:r>
            <w:r>
              <w:rPr>
                <w:spacing w:val="4"/>
                <w14:textOutline w14:w="2960" w14:cap="sq" w14:cmpd="sng">
                  <w14:solidFill>
                    <w14:srgbClr w14:val="000000"/>
                  </w14:solidFill>
                  <w14:prstDash w14:val="solid"/>
                  <w14:bevel/>
                </w14:textOutline>
              </w:rPr>
              <w:t>查内容序号</w:t>
            </w:r>
          </w:p>
        </w:tc>
        <w:tc>
          <w:tcPr>
            <w:tcW w:w="3566" w:type="dxa"/>
            <w:tcBorders>
              <w:top w:val="nil"/>
            </w:tcBorders>
            <w:vAlign w:val="top"/>
          </w:tcPr>
          <w:p>
            <w:pPr>
              <w:pStyle w:val="6"/>
              <w:spacing w:before="90" w:line="225" w:lineRule="auto"/>
              <w:ind w:left="1472"/>
            </w:pPr>
            <w:r>
              <w:rPr>
                <w:spacing w:val="-1"/>
                <w14:textOutline w14:w="2960" w14:cap="sq" w14:cmpd="sng">
                  <w14:solidFill>
                    <w14:srgbClr w14:val="000000"/>
                  </w14:solidFill>
                  <w14:prstDash w14:val="solid"/>
                  <w14:bevel/>
                </w14:textOutline>
              </w:rPr>
              <w:t>问题描述</w:t>
            </w:r>
          </w:p>
        </w:tc>
        <w:tc>
          <w:tcPr>
            <w:tcW w:w="4751" w:type="dxa"/>
            <w:tcBorders>
              <w:top w:val="nil"/>
            </w:tcBorders>
            <w:vAlign w:val="top"/>
          </w:tcPr>
          <w:p>
            <w:pPr>
              <w:pStyle w:val="6"/>
              <w:spacing w:before="90" w:line="223" w:lineRule="auto"/>
              <w:ind w:left="2050"/>
            </w:pPr>
            <w:r>
              <w:rPr>
                <w:spacing w:val="4"/>
                <w14:textOutline w14:w="2960" w14:cap="sq" w14:cmpd="sng">
                  <w14:solidFill>
                    <w14:srgbClr w14:val="000000"/>
                  </w14:solidFill>
                  <w14:prstDash w14:val="solid"/>
                  <w14:bevel/>
                </w14:textOutline>
              </w:rPr>
              <w:t>整改建议</w:t>
            </w:r>
          </w:p>
        </w:tc>
        <w:tc>
          <w:tcPr>
            <w:tcW w:w="957" w:type="dxa"/>
            <w:vAlign w:val="top"/>
          </w:tcPr>
          <w:p>
            <w:pPr>
              <w:pStyle w:val="6"/>
              <w:spacing w:before="31" w:line="214" w:lineRule="auto"/>
              <w:ind w:left="403" w:right="50" w:hanging="331"/>
              <w:jc w:val="center"/>
              <w:rPr>
                <w:rFonts w:hint="eastAsia"/>
                <w:spacing w:val="4"/>
                <w:lang w:eastAsia="zh-CN"/>
                <w14:textOutline w14:w="2960" w14:cap="sq" w14:cmpd="sng">
                  <w14:solidFill>
                    <w14:srgbClr w14:val="000000"/>
                  </w14:solidFill>
                  <w14:prstDash w14:val="solid"/>
                  <w14:bevel/>
                </w14:textOutline>
              </w:rPr>
            </w:pPr>
            <w:r>
              <w:rPr>
                <w:spacing w:val="4"/>
                <w14:textOutline w14:w="2960" w14:cap="sq" w14:cmpd="sng">
                  <w14:solidFill>
                    <w14:srgbClr w14:val="000000"/>
                  </w14:solidFill>
                  <w14:prstDash w14:val="solid"/>
                  <w14:bevel/>
                </w14:textOutline>
              </w:rPr>
              <w:t>文件</w:t>
            </w:r>
            <w:r>
              <w:rPr>
                <w:rFonts w:hint="eastAsia"/>
                <w:spacing w:val="4"/>
                <w:lang w:eastAsia="zh-CN"/>
                <w14:textOutline w14:w="2960" w14:cap="sq" w14:cmpd="sng">
                  <w14:solidFill>
                    <w14:srgbClr w14:val="000000"/>
                  </w14:solidFill>
                  <w14:prstDash w14:val="solid"/>
                  <w14:bevel/>
                </w14:textOutline>
              </w:rPr>
              <w:t>类</w:t>
            </w:r>
          </w:p>
          <w:p>
            <w:pPr>
              <w:pStyle w:val="6"/>
              <w:spacing w:before="31" w:line="214" w:lineRule="auto"/>
              <w:ind w:left="403" w:right="50" w:hanging="331"/>
              <w:jc w:val="center"/>
            </w:pPr>
            <w:r>
              <w:rPr>
                <w:spacing w:val="4"/>
                <w14:textOutline w14:w="2960" w14:cap="sq" w14:cmpd="sng">
                  <w14:solidFill>
                    <w14:srgbClr w14:val="000000"/>
                  </w14:solidFill>
                  <w14:prstDash w14:val="solid"/>
                  <w14:bevel/>
                </w14:textOutline>
              </w:rPr>
              <w:t>资料</w:t>
            </w:r>
            <w:r>
              <w:rPr>
                <w14:textOutline w14:w="2960" w14:cap="sq" w14:cmpd="sng">
                  <w14:solidFill>
                    <w14:srgbClr w14:val="000000"/>
                  </w14:solidFill>
                  <w14:prstDash w14:val="solid"/>
                  <w14:bevel/>
                </w14:textOutline>
              </w:rPr>
              <w:t>类</w:t>
            </w:r>
          </w:p>
        </w:tc>
        <w:tc>
          <w:tcPr>
            <w:tcW w:w="1091" w:type="dxa"/>
            <w:vAlign w:val="top"/>
          </w:tcPr>
          <w:p>
            <w:pPr>
              <w:pStyle w:val="6"/>
              <w:spacing w:before="196" w:line="223" w:lineRule="auto"/>
              <w:ind w:left="304"/>
            </w:pPr>
            <w:r>
              <w:rPr>
                <w:spacing w:val="3"/>
                <w14:textOutline w14:w="2960" w14:cap="sq" w14:cmpd="sng">
                  <w14:solidFill>
                    <w14:srgbClr w14:val="000000"/>
                  </w14:solidFill>
                  <w14:prstDash w14:val="solid"/>
                  <w14:bevel/>
                </w14:textOutline>
              </w:rPr>
              <w:t>执行类</w:t>
            </w:r>
          </w:p>
        </w:tc>
        <w:tc>
          <w:tcPr>
            <w:tcW w:w="861" w:type="dxa"/>
            <w:vAlign w:val="top"/>
          </w:tcPr>
          <w:p>
            <w:pPr>
              <w:pStyle w:val="6"/>
              <w:spacing w:before="196" w:line="223" w:lineRule="auto"/>
              <w:ind w:left="193"/>
            </w:pPr>
            <w:r>
              <w:rPr>
                <w:spacing w:val="3"/>
                <w14:textOutline w14:w="2960" w14:cap="sq" w14:cmpd="sng">
                  <w14:solidFill>
                    <w14:srgbClr w14:val="000000"/>
                  </w14:solidFill>
                  <w14:prstDash w14:val="solid"/>
                  <w14:bevel/>
                </w14:textOutline>
              </w:rPr>
              <w:t>现场类</w:t>
            </w:r>
          </w:p>
        </w:tc>
        <w:tc>
          <w:tcPr>
            <w:tcW w:w="1451" w:type="dxa"/>
            <w:tcBorders>
              <w:top w:val="nil"/>
            </w:tcBorders>
            <w:vAlign w:val="top"/>
          </w:tcPr>
          <w:p>
            <w:pPr>
              <w:pStyle w:val="6"/>
              <w:spacing w:before="84" w:line="228" w:lineRule="auto"/>
              <w:ind w:left="655"/>
              <w:rPr>
                <w:sz w:val="17"/>
                <w:szCs w:val="17"/>
              </w:rPr>
            </w:pPr>
            <w:r>
              <w:rPr>
                <w:sz w:val="17"/>
                <w:szCs w:val="17"/>
                <w14:textOutline w14:w="3130" w14:cap="sq" w14:cmpd="sng">
                  <w14:solidFill>
                    <w14:srgbClr w14:val="000000"/>
                  </w14:solidFill>
                  <w14:prstDash w14:val="solid"/>
                  <w14:bevel/>
                </w14:textOutline>
              </w:rPr>
              <w:t>患</w:t>
            </w:r>
          </w:p>
          <w:p>
            <w:pPr>
              <w:pStyle w:val="6"/>
              <w:spacing w:line="185" w:lineRule="auto"/>
              <w:ind w:left="689"/>
              <w:rPr>
                <w:sz w:val="17"/>
                <w:szCs w:val="17"/>
              </w:rPr>
            </w:pPr>
            <w:r>
              <w:rPr>
                <w:sz w:val="17"/>
                <w:szCs w:val="17"/>
                <w14:textOutline w14:w="3130" w14:cap="sq" w14:cmpd="sng">
                  <w14:solidFill>
                    <w14:srgbClr w14:val="000000"/>
                  </w14:solidFill>
                  <w14:prstDash w14:val="solid"/>
                  <w14:bevel/>
                </w14:textOutli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6" w:hRule="atLeast"/>
        </w:trPr>
        <w:tc>
          <w:tcPr>
            <w:tcW w:w="542" w:type="dxa"/>
            <w:vMerge w:val="restart"/>
            <w:tcBorders>
              <w:bottom w:val="nil"/>
            </w:tcBorders>
            <w:vAlign w:val="top"/>
          </w:tcPr>
          <w:p>
            <w:pPr>
              <w:spacing w:line="323" w:lineRule="auto"/>
              <w:rPr>
                <w:rFonts w:ascii="Arial"/>
                <w:sz w:val="21"/>
              </w:rPr>
            </w:pPr>
          </w:p>
          <w:p>
            <w:pPr>
              <w:spacing w:line="324" w:lineRule="auto"/>
              <w:rPr>
                <w:rFonts w:ascii="Arial"/>
                <w:sz w:val="21"/>
              </w:rPr>
            </w:pPr>
          </w:p>
          <w:p>
            <w:pPr>
              <w:pStyle w:val="6"/>
              <w:spacing w:before="52" w:line="224" w:lineRule="auto"/>
              <w:ind w:left="109"/>
            </w:pPr>
            <w:r>
              <w:rPr>
                <w:spacing w:val="1"/>
                <w14:textOutline w14:w="2960" w14:cap="sq" w14:cmpd="sng">
                  <w14:solidFill>
                    <w14:srgbClr w14:val="000000"/>
                  </w14:solidFill>
                  <w14:prstDash w14:val="solid"/>
                  <w14:bevel/>
                </w14:textOutline>
              </w:rPr>
              <w:t>其他</w:t>
            </w:r>
          </w:p>
        </w:tc>
        <w:tc>
          <w:tcPr>
            <w:tcW w:w="48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85" w:lineRule="auto"/>
              <w:ind w:left="170"/>
            </w:pPr>
            <w:r>
              <w:rPr>
                <w:spacing w:val="-3"/>
              </w:rPr>
              <w:t>50</w:t>
            </w:r>
          </w:p>
        </w:tc>
        <w:tc>
          <w:tcPr>
            <w:tcW w:w="97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86" w:lineRule="auto"/>
              <w:ind w:left="286"/>
            </w:pPr>
            <w:r>
              <w:rPr>
                <w:spacing w:val="1"/>
              </w:rPr>
              <w:t>8.1.8</w:t>
            </w:r>
          </w:p>
        </w:tc>
        <w:tc>
          <w:tcPr>
            <w:tcW w:w="3566" w:type="dxa"/>
            <w:vAlign w:val="top"/>
          </w:tcPr>
          <w:p>
            <w:pPr>
              <w:spacing w:line="323"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3"/>
                <w:kern w:val="0"/>
                <w:sz w:val="16"/>
                <w:szCs w:val="16"/>
                <w:lang w:val="en-US" w:eastAsia="en-US" w:bidi="ar-SA"/>
              </w:rPr>
            </w:pPr>
            <w:r>
              <w:rPr>
                <w:rFonts w:hint="eastAsia" w:ascii="宋体" w:hAnsi="宋体" w:eastAsia="宋体" w:cs="宋体"/>
                <w:snapToGrid w:val="0"/>
                <w:color w:val="000000"/>
                <w:spacing w:val="3"/>
                <w:kern w:val="0"/>
                <w:sz w:val="16"/>
                <w:szCs w:val="16"/>
                <w:lang w:val="en-US" w:eastAsia="en-US" w:bidi="ar-SA"/>
              </w:rPr>
              <w:t>1.2024年2月复工复产方案中，缺少机泵运行、各精馏塔器投用的危害辨识和风险评估。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3"/>
                <w:kern w:val="0"/>
                <w:sz w:val="16"/>
                <w:szCs w:val="16"/>
                <w:lang w:val="en-US" w:eastAsia="en-US" w:bidi="ar-SA"/>
              </w:rPr>
            </w:pPr>
            <w:r>
              <w:rPr>
                <w:rFonts w:hint="eastAsia" w:ascii="宋体" w:hAnsi="宋体" w:eastAsia="宋体" w:cs="宋体"/>
                <w:snapToGrid w:val="0"/>
                <w:color w:val="000000"/>
                <w:spacing w:val="3"/>
                <w:kern w:val="0"/>
                <w:sz w:val="16"/>
                <w:szCs w:val="16"/>
                <w:lang w:val="en-US" w:eastAsia="en-US" w:bidi="ar-SA"/>
              </w:rPr>
              <w:t>2.2024年2月份复工复产方案的安全条件确认表中，无具体的关键设备和关键流程的确认项。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3"/>
                <w:kern w:val="0"/>
                <w:sz w:val="16"/>
                <w:szCs w:val="16"/>
                <w:lang w:val="en-US" w:eastAsia="en-US" w:bidi="ar-SA"/>
              </w:rPr>
            </w:pPr>
            <w:r>
              <w:rPr>
                <w:rFonts w:hint="eastAsia" w:ascii="宋体" w:hAnsi="宋体" w:eastAsia="宋体" w:cs="宋体"/>
                <w:snapToGrid w:val="0"/>
                <w:color w:val="000000"/>
                <w:spacing w:val="3"/>
                <w:kern w:val="0"/>
                <w:sz w:val="16"/>
                <w:szCs w:val="16"/>
                <w:lang w:val="en-US" w:eastAsia="en-US" w:bidi="ar-SA"/>
              </w:rPr>
              <w:t>3.2月17日装置的交接班记录“气密保压 ”“ 启 真空泵 ”等，显示装置已在复产开工，但复工复产培训时间2月18日，培训时间仅2h，未针对复工复产中的风险、流程、操作开展相应的培训。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3"/>
                <w:kern w:val="0"/>
                <w:sz w:val="16"/>
                <w:szCs w:val="16"/>
                <w:lang w:val="en-US" w:eastAsia="en-US" w:bidi="ar-SA"/>
              </w:rPr>
            </w:pPr>
            <w:r>
              <w:rPr>
                <w:rFonts w:hint="eastAsia" w:ascii="宋体" w:hAnsi="宋体" w:eastAsia="宋体" w:cs="宋体"/>
                <w:snapToGrid w:val="0"/>
                <w:color w:val="000000"/>
                <w:spacing w:val="3"/>
                <w:kern w:val="0"/>
                <w:sz w:val="16"/>
                <w:szCs w:val="16"/>
                <w:lang w:val="en-US" w:eastAsia="en-US" w:bidi="ar-SA"/>
              </w:rPr>
              <w:t>4.装置于2月17号开工，未提供复工复产时关键管道流程核查资料。</w:t>
            </w:r>
          </w:p>
          <w:p>
            <w:pPr>
              <w:pStyle w:val="6"/>
              <w:spacing w:before="9" w:line="229" w:lineRule="auto"/>
              <w:ind w:right="20"/>
            </w:pPr>
          </w:p>
        </w:tc>
        <w:tc>
          <w:tcPr>
            <w:tcW w:w="4751"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snapToGrid w:val="0"/>
                <w:color w:val="000000"/>
                <w:spacing w:val="3"/>
                <w:kern w:val="0"/>
                <w:sz w:val="16"/>
                <w:szCs w:val="16"/>
                <w:lang w:val="en-US" w:eastAsia="en-US" w:bidi="ar-SA"/>
              </w:rPr>
            </w:pPr>
            <w:r>
              <w:rPr>
                <w:rFonts w:hint="eastAsia" w:ascii="宋体" w:hAnsi="宋体" w:eastAsia="宋体" w:cs="宋体"/>
                <w:snapToGrid w:val="0"/>
                <w:color w:val="000000"/>
                <w:spacing w:val="3"/>
                <w:kern w:val="0"/>
                <w:sz w:val="16"/>
                <w:szCs w:val="16"/>
                <w:lang w:val="en-US" w:eastAsia="en-US" w:bidi="ar-SA"/>
              </w:rPr>
              <w:t>认真、严肃编制完善复工复产方案，组织相关的培训，复工复产前开展关键流程的确认，后续开停工严格执行制度要求。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6"/>
              <w:spacing w:before="52" w:line="228" w:lineRule="auto"/>
              <w:ind w:right="17"/>
            </w:pPr>
          </w:p>
        </w:tc>
        <w:tc>
          <w:tcPr>
            <w:tcW w:w="957" w:type="dxa"/>
            <w:vAlign w:val="top"/>
          </w:tcPr>
          <w:p>
            <w:pPr>
              <w:rPr>
                <w:rFonts w:ascii="Arial"/>
                <w:sz w:val="21"/>
              </w:rPr>
            </w:pPr>
          </w:p>
        </w:tc>
        <w:tc>
          <w:tcPr>
            <w:tcW w:w="109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42" w:type="dxa"/>
            <w:vMerge w:val="continue"/>
            <w:tcBorders>
              <w:top w:val="nil"/>
              <w:bottom w:val="nil"/>
            </w:tcBorders>
            <w:vAlign w:val="top"/>
          </w:tcPr>
          <w:p>
            <w:pPr>
              <w:rPr>
                <w:rFonts w:ascii="Arial"/>
                <w:sz w:val="21"/>
              </w:rPr>
            </w:pPr>
          </w:p>
        </w:tc>
        <w:tc>
          <w:tcPr>
            <w:tcW w:w="489" w:type="dxa"/>
            <w:vAlign w:val="top"/>
          </w:tcPr>
          <w:p>
            <w:pPr>
              <w:spacing w:line="477" w:lineRule="auto"/>
              <w:rPr>
                <w:rFonts w:ascii="Arial"/>
                <w:sz w:val="21"/>
              </w:rPr>
            </w:pPr>
          </w:p>
          <w:p>
            <w:pPr>
              <w:pStyle w:val="6"/>
              <w:spacing w:before="52" w:line="186" w:lineRule="auto"/>
              <w:ind w:left="170"/>
            </w:pPr>
            <w:r>
              <w:rPr>
                <w:spacing w:val="-3"/>
              </w:rPr>
              <w:t>51</w:t>
            </w:r>
          </w:p>
        </w:tc>
        <w:tc>
          <w:tcPr>
            <w:tcW w:w="974" w:type="dxa"/>
            <w:vAlign w:val="top"/>
          </w:tcPr>
          <w:p>
            <w:pPr>
              <w:spacing w:line="477" w:lineRule="auto"/>
              <w:rPr>
                <w:rFonts w:ascii="Arial"/>
                <w:sz w:val="21"/>
              </w:rPr>
            </w:pPr>
          </w:p>
          <w:p>
            <w:pPr>
              <w:pStyle w:val="6"/>
              <w:spacing w:before="52" w:line="186" w:lineRule="auto"/>
              <w:ind w:left="256"/>
            </w:pPr>
            <w:r>
              <w:rPr>
                <w:spacing w:val="-1"/>
              </w:rPr>
              <w:t>10.1.1</w:t>
            </w:r>
          </w:p>
        </w:tc>
        <w:tc>
          <w:tcPr>
            <w:tcW w:w="3566" w:type="dxa"/>
            <w:vAlign w:val="top"/>
          </w:tcPr>
          <w:p>
            <w:pPr>
              <w:spacing w:line="253" w:lineRule="auto"/>
              <w:rPr>
                <w:rFonts w:ascii="Arial"/>
                <w:sz w:val="21"/>
              </w:rPr>
            </w:pPr>
          </w:p>
          <w:p>
            <w:pPr>
              <w:pStyle w:val="6"/>
              <w:spacing w:before="52" w:line="229" w:lineRule="auto"/>
              <w:ind w:right="20"/>
              <w:jc w:val="both"/>
            </w:pPr>
            <w:r>
              <w:rPr>
                <w:rFonts w:hint="eastAsia" w:ascii="宋体" w:hAnsi="宋体" w:eastAsia="宋体" w:cs="宋体"/>
                <w:snapToGrid w:val="0"/>
                <w:color w:val="000000"/>
                <w:spacing w:val="3"/>
                <w:kern w:val="0"/>
                <w:sz w:val="16"/>
                <w:szCs w:val="16"/>
                <w:lang w:val="en-US" w:eastAsia="en-US" w:bidi="ar-SA"/>
              </w:rPr>
              <w:t>2024年1月10日蒸发结晶氟化钾出库48.5t，安全生产许可证许可范围中无氟化钾（2023年不再生产氟化钠，改为氟化钾）。</w:t>
            </w:r>
          </w:p>
        </w:tc>
        <w:tc>
          <w:tcPr>
            <w:tcW w:w="4751" w:type="dxa"/>
            <w:vAlign w:val="top"/>
          </w:tcPr>
          <w:p>
            <w:pPr>
              <w:spacing w:line="253" w:lineRule="auto"/>
              <w:rPr>
                <w:rFonts w:ascii="Arial"/>
                <w:sz w:val="21"/>
              </w:rPr>
            </w:pPr>
          </w:p>
          <w:p>
            <w:pPr>
              <w:pStyle w:val="6"/>
              <w:spacing w:before="52" w:line="229" w:lineRule="auto"/>
              <w:ind w:right="17"/>
              <w:jc w:val="both"/>
            </w:pPr>
            <w:r>
              <w:rPr>
                <w:rFonts w:hint="eastAsia" w:ascii="宋体" w:hAnsi="宋体" w:eastAsia="宋体" w:cs="宋体"/>
                <w:snapToGrid w:val="0"/>
                <w:color w:val="000000"/>
                <w:spacing w:val="3"/>
                <w:kern w:val="0"/>
                <w:sz w:val="16"/>
                <w:szCs w:val="16"/>
                <w:lang w:val="en-US" w:eastAsia="en-US" w:bidi="ar-SA"/>
              </w:rPr>
              <w:t>按照《危险化学品生产企业安全生产许可证实施办法》（国家安全生产监督管理总局令第41号）第三条的要求，未取得安全生产许可证的企业，不得从事危险化学品的生产活动。</w:t>
            </w:r>
          </w:p>
        </w:tc>
        <w:tc>
          <w:tcPr>
            <w:tcW w:w="957" w:type="dxa"/>
            <w:vAlign w:val="top"/>
          </w:tcPr>
          <w:p>
            <w:pPr>
              <w:rPr>
                <w:rFonts w:ascii="Arial"/>
                <w:sz w:val="21"/>
              </w:rPr>
            </w:pPr>
          </w:p>
        </w:tc>
        <w:tc>
          <w:tcPr>
            <w:tcW w:w="1091" w:type="dxa"/>
            <w:vAlign w:val="top"/>
          </w:tcPr>
          <w:p>
            <w:pPr>
              <w:spacing w:line="452" w:lineRule="auto"/>
              <w:rPr>
                <w:rFonts w:ascii="Arial"/>
                <w:sz w:val="21"/>
              </w:rPr>
            </w:pPr>
          </w:p>
          <w:p>
            <w:pPr>
              <w:pStyle w:val="6"/>
              <w:spacing w:before="52" w:line="242" w:lineRule="auto"/>
              <w:ind w:left="514"/>
            </w:pPr>
            <w:r>
              <w:t>√</w:t>
            </w:r>
          </w:p>
        </w:tc>
        <w:tc>
          <w:tcPr>
            <w:tcW w:w="861" w:type="dxa"/>
            <w:vAlign w:val="top"/>
          </w:tcPr>
          <w:p>
            <w:pPr>
              <w:rPr>
                <w:rFonts w:ascii="Arial"/>
                <w:sz w:val="21"/>
              </w:rPr>
            </w:pP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542" w:type="dxa"/>
            <w:vMerge w:val="continue"/>
            <w:tcBorders>
              <w:top w:val="nil"/>
            </w:tcBorders>
            <w:vAlign w:val="top"/>
          </w:tcPr>
          <w:p>
            <w:pPr>
              <w:rPr>
                <w:rFonts w:ascii="Arial"/>
                <w:sz w:val="21"/>
              </w:rPr>
            </w:pPr>
          </w:p>
        </w:tc>
        <w:tc>
          <w:tcPr>
            <w:tcW w:w="489" w:type="dxa"/>
            <w:vAlign w:val="top"/>
          </w:tcPr>
          <w:p>
            <w:pPr>
              <w:pStyle w:val="6"/>
              <w:spacing w:before="166" w:line="185" w:lineRule="auto"/>
              <w:ind w:left="170"/>
            </w:pPr>
            <w:r>
              <w:rPr>
                <w:spacing w:val="-3"/>
              </w:rPr>
              <w:t>52</w:t>
            </w:r>
          </w:p>
        </w:tc>
        <w:tc>
          <w:tcPr>
            <w:tcW w:w="974" w:type="dxa"/>
            <w:vAlign w:val="top"/>
          </w:tcPr>
          <w:p>
            <w:pPr>
              <w:pStyle w:val="6"/>
              <w:spacing w:before="165" w:line="186" w:lineRule="auto"/>
              <w:ind w:left="256"/>
            </w:pPr>
            <w:r>
              <w:rPr>
                <w:spacing w:val="-1"/>
              </w:rPr>
              <w:t>10.3.1</w:t>
            </w:r>
          </w:p>
        </w:tc>
        <w:tc>
          <w:tcPr>
            <w:tcW w:w="3566" w:type="dxa"/>
            <w:vAlign w:val="top"/>
          </w:tcPr>
          <w:p>
            <w:pPr>
              <w:pStyle w:val="6"/>
              <w:spacing w:before="40" w:line="208" w:lineRule="auto"/>
              <w:ind w:right="20"/>
            </w:pPr>
            <w:r>
              <w:rPr>
                <w:spacing w:val="6"/>
              </w:rPr>
              <w:t>中控室内电气火灾监控设备显示故障报警，未及</w:t>
            </w:r>
            <w:r>
              <w:rPr>
                <w:spacing w:val="-1"/>
              </w:rPr>
              <w:t>时处理。</w:t>
            </w:r>
          </w:p>
        </w:tc>
        <w:tc>
          <w:tcPr>
            <w:tcW w:w="4751" w:type="dxa"/>
            <w:vAlign w:val="top"/>
          </w:tcPr>
          <w:p>
            <w:pPr>
              <w:pStyle w:val="6"/>
              <w:spacing w:before="140" w:line="223" w:lineRule="auto"/>
            </w:pPr>
            <w:r>
              <w:rPr>
                <w:spacing w:val="3"/>
              </w:rPr>
              <w:t>及时处理故障报警。</w:t>
            </w:r>
          </w:p>
        </w:tc>
        <w:tc>
          <w:tcPr>
            <w:tcW w:w="957" w:type="dxa"/>
            <w:vAlign w:val="top"/>
          </w:tcPr>
          <w:p>
            <w:pPr>
              <w:rPr>
                <w:rFonts w:ascii="Arial"/>
                <w:sz w:val="21"/>
              </w:rPr>
            </w:pPr>
          </w:p>
        </w:tc>
        <w:tc>
          <w:tcPr>
            <w:tcW w:w="1091" w:type="dxa"/>
            <w:vAlign w:val="top"/>
          </w:tcPr>
          <w:p>
            <w:pPr>
              <w:rPr>
                <w:rFonts w:ascii="Arial"/>
                <w:sz w:val="21"/>
              </w:rPr>
            </w:pPr>
          </w:p>
        </w:tc>
        <w:tc>
          <w:tcPr>
            <w:tcW w:w="861" w:type="dxa"/>
            <w:vAlign w:val="top"/>
          </w:tcPr>
          <w:p>
            <w:pPr>
              <w:pStyle w:val="6"/>
              <w:spacing w:before="140" w:line="242" w:lineRule="auto"/>
              <w:ind w:left="401"/>
            </w:pPr>
            <w:r>
              <w:t>√</w:t>
            </w:r>
          </w:p>
        </w:tc>
        <w:tc>
          <w:tcPr>
            <w:tcW w:w="145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542" w:type="dxa"/>
            <w:vAlign w:val="top"/>
          </w:tcPr>
          <w:p>
            <w:pPr>
              <w:pStyle w:val="6"/>
              <w:spacing w:before="35" w:line="187" w:lineRule="auto"/>
              <w:ind w:left="109"/>
            </w:pPr>
            <w:r>
              <w:rPr>
                <w:spacing w:val="1"/>
                <w14:textOutline w14:w="2960" w14:cap="sq" w14:cmpd="sng">
                  <w14:solidFill>
                    <w14:srgbClr w14:val="000000"/>
                  </w14:solidFill>
                  <w14:prstDash w14:val="solid"/>
                  <w14:bevel/>
                </w14:textOutline>
              </w:rPr>
              <w:t>合计</w:t>
            </w:r>
          </w:p>
        </w:tc>
        <w:tc>
          <w:tcPr>
            <w:tcW w:w="489" w:type="dxa"/>
            <w:vAlign w:val="top"/>
          </w:tcPr>
          <w:p>
            <w:pPr>
              <w:pStyle w:val="6"/>
              <w:spacing w:before="61" w:line="157" w:lineRule="auto"/>
              <w:ind w:left="170"/>
            </w:pPr>
            <w:r>
              <w:rPr>
                <w:spacing w:val="-3"/>
              </w:rPr>
              <w:t>52</w:t>
            </w:r>
          </w:p>
        </w:tc>
        <w:tc>
          <w:tcPr>
            <w:tcW w:w="974" w:type="dxa"/>
            <w:vAlign w:val="top"/>
          </w:tcPr>
          <w:p>
            <w:pPr>
              <w:pStyle w:val="6"/>
              <w:spacing w:before="35" w:line="187" w:lineRule="auto"/>
              <w:ind w:left="450"/>
            </w:pPr>
            <w:r>
              <w:t>/</w:t>
            </w:r>
          </w:p>
        </w:tc>
        <w:tc>
          <w:tcPr>
            <w:tcW w:w="3566" w:type="dxa"/>
            <w:vAlign w:val="top"/>
          </w:tcPr>
          <w:p>
            <w:pPr>
              <w:pStyle w:val="6"/>
              <w:spacing w:before="35" w:line="187" w:lineRule="auto"/>
              <w:ind w:left="1746"/>
            </w:pPr>
            <w:r>
              <w:t>/</w:t>
            </w:r>
          </w:p>
        </w:tc>
        <w:tc>
          <w:tcPr>
            <w:tcW w:w="4751" w:type="dxa"/>
            <w:vAlign w:val="top"/>
          </w:tcPr>
          <w:p>
            <w:pPr>
              <w:pStyle w:val="6"/>
              <w:spacing w:before="35" w:line="187" w:lineRule="auto"/>
              <w:ind w:left="2342"/>
            </w:pPr>
            <w:r>
              <w:t>/</w:t>
            </w:r>
          </w:p>
        </w:tc>
        <w:tc>
          <w:tcPr>
            <w:tcW w:w="957" w:type="dxa"/>
            <w:vAlign w:val="top"/>
          </w:tcPr>
          <w:p>
            <w:pPr>
              <w:pStyle w:val="6"/>
              <w:spacing w:before="57" w:line="140" w:lineRule="exact"/>
              <w:ind w:left="417"/>
              <w:rPr>
                <w:sz w:val="17"/>
                <w:szCs w:val="17"/>
              </w:rPr>
            </w:pPr>
            <w:r>
              <w:rPr>
                <w:spacing w:val="-9"/>
                <w:position w:val="-2"/>
                <w:sz w:val="17"/>
                <w:szCs w:val="17"/>
              </w:rPr>
              <w:t>10</w:t>
            </w:r>
          </w:p>
        </w:tc>
        <w:tc>
          <w:tcPr>
            <w:tcW w:w="1091" w:type="dxa"/>
            <w:vAlign w:val="top"/>
          </w:tcPr>
          <w:p>
            <w:pPr>
              <w:pStyle w:val="6"/>
              <w:spacing w:before="57" w:line="140" w:lineRule="exact"/>
              <w:ind w:left="474"/>
              <w:rPr>
                <w:sz w:val="17"/>
                <w:szCs w:val="17"/>
              </w:rPr>
            </w:pPr>
            <w:r>
              <w:rPr>
                <w:spacing w:val="-4"/>
                <w:position w:val="-2"/>
                <w:sz w:val="17"/>
                <w:szCs w:val="17"/>
              </w:rPr>
              <w:t>29</w:t>
            </w:r>
          </w:p>
        </w:tc>
        <w:tc>
          <w:tcPr>
            <w:tcW w:w="861" w:type="dxa"/>
            <w:vAlign w:val="top"/>
          </w:tcPr>
          <w:p>
            <w:pPr>
              <w:pStyle w:val="6"/>
              <w:spacing w:before="57" w:line="140" w:lineRule="exact"/>
              <w:ind w:left="371"/>
              <w:rPr>
                <w:sz w:val="17"/>
                <w:szCs w:val="17"/>
              </w:rPr>
            </w:pPr>
            <w:r>
              <w:rPr>
                <w:spacing w:val="-9"/>
                <w:position w:val="-2"/>
                <w:sz w:val="17"/>
                <w:szCs w:val="17"/>
              </w:rPr>
              <w:t>14</w:t>
            </w:r>
          </w:p>
        </w:tc>
        <w:tc>
          <w:tcPr>
            <w:tcW w:w="1451" w:type="dxa"/>
            <w:vAlign w:val="top"/>
          </w:tcPr>
          <w:p>
            <w:pPr>
              <w:pStyle w:val="6"/>
              <w:spacing w:before="57" w:line="140" w:lineRule="exact"/>
              <w:ind w:left="696"/>
              <w:rPr>
                <w:sz w:val="17"/>
                <w:szCs w:val="17"/>
              </w:rPr>
            </w:pPr>
            <w:r>
              <w:rPr>
                <w:position w:val="-2"/>
                <w:sz w:val="17"/>
                <w:szCs w:val="17"/>
              </w:rPr>
              <w:t>3</w:t>
            </w:r>
          </w:p>
        </w:tc>
      </w:tr>
    </w:tbl>
    <w:p>
      <w:pPr>
        <w:rPr>
          <w:rFonts w:ascii="Arial"/>
          <w:sz w:val="21"/>
        </w:rPr>
      </w:pPr>
      <w:bookmarkStart w:id="0" w:name="_GoBack"/>
      <w:bookmarkEnd w:id="0"/>
    </w:p>
    <w:sectPr>
      <w:pgSz w:w="16834" w:h="11909"/>
      <w:pgMar w:top="1012" w:right="1127" w:bottom="0" w:left="101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M1MzQ5YjJjYTY4ZmZjN2I1YmFhNzM4MjFjYTdlY2IifQ=="/>
  </w:docVars>
  <w:rsids>
    <w:rsidRoot w:val="00000000"/>
    <w:rsid w:val="02352F93"/>
    <w:rsid w:val="027F2919"/>
    <w:rsid w:val="14ED3D4F"/>
    <w:rsid w:val="16E25989"/>
    <w:rsid w:val="1D29447E"/>
    <w:rsid w:val="1DAE4AC1"/>
    <w:rsid w:val="1E5F09FB"/>
    <w:rsid w:val="203A205E"/>
    <w:rsid w:val="2853158E"/>
    <w:rsid w:val="2E422F06"/>
    <w:rsid w:val="3DFA34BC"/>
    <w:rsid w:val="41ED656A"/>
    <w:rsid w:val="44D501D8"/>
    <w:rsid w:val="45DB181E"/>
    <w:rsid w:val="4EF52D1A"/>
    <w:rsid w:val="52316C72"/>
    <w:rsid w:val="58F46A27"/>
    <w:rsid w:val="5A4C4641"/>
    <w:rsid w:val="66AD5D4A"/>
    <w:rsid w:val="69D73D89"/>
    <w:rsid w:val="6CD04C5E"/>
    <w:rsid w:val="6EDA5558"/>
    <w:rsid w:val="74EB1DB0"/>
    <w:rsid w:val="7C8178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139</TotalTime>
  <ScaleCrop>false</ScaleCrop>
  <LinksUpToDate>false</LinksUpToDate>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2024-03-28T10:36:00Z</dcterms:created>
  <dc:creator>雨林木风</dc:creator>
  <cp:lastModifiedBy>火龙果</cp:lastModifiedBy>
  <dcterms:modified xsi:type="dcterms:W3CDTF">2024-04-01T09:10:41Z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2024-03-29T11:43:34Z</vt:filetime>
  </property>
  <property fmtid="{D5CDD505-2E9C-101B-9397-08002B2CF9AE}" pid="4" name="KSOProductBuildVer">
    <vt:lpwstr>2052-12.1.0.16412</vt:lpwstr>
  </property>
  <property fmtid="{D5CDD505-2E9C-101B-9397-08002B2CF9AE}" pid="5" name="ICV">
    <vt:lpwstr>AC947A7763B445F49D67D73E3B14FE83_12</vt:lpwstr>
  </property>
</Properties>
</file>