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EBACB">
      <w:pPr>
        <w:pStyle w:val="5"/>
        <w:keepNext w:val="0"/>
        <w:keepLines w:val="0"/>
        <w:widowControl/>
        <w:suppressLineNumbers w:val="0"/>
        <w:spacing w:before="0" w:beforeAutospacing="1" w:after="0" w:afterAutospacing="0" w:line="386" w:lineRule="atLeast"/>
        <w:ind w:left="0" w:right="0"/>
        <w:jc w:val="center"/>
        <w:rPr>
          <w:b w:val="0"/>
          <w:bCs w:val="0"/>
          <w:i w:val="0"/>
          <w:iCs w:val="0"/>
          <w:spacing w:val="0"/>
          <w:sz w:val="44"/>
          <w:szCs w:val="44"/>
        </w:rPr>
      </w:pPr>
      <w:r>
        <w:rPr>
          <w:b w:val="0"/>
          <w:bCs w:val="0"/>
          <w:i w:val="0"/>
          <w:iCs w:val="0"/>
          <w:color w:val="000000"/>
          <w:spacing w:val="0"/>
          <w:sz w:val="44"/>
          <w:szCs w:val="44"/>
          <w:lang w:eastAsia="zh-CN"/>
        </w:rPr>
        <w:t>杭锦旗人民政府关于印发杭锦旗“十四五”残疾人事业发展规划的通知</w:t>
      </w:r>
    </w:p>
    <w:p w14:paraId="07DC0AE5">
      <w:pPr>
        <w:pStyle w:val="5"/>
        <w:keepNext w:val="0"/>
        <w:keepLines w:val="0"/>
        <w:widowControl/>
        <w:suppressLineNumbers w:val="0"/>
        <w:spacing w:before="0" w:beforeAutospacing="1" w:after="0" w:afterAutospacing="0" w:line="386" w:lineRule="atLeast"/>
        <w:ind w:left="0" w:right="0"/>
        <w:jc w:val="both"/>
        <w:rPr>
          <w:spacing w:val="0"/>
        </w:rPr>
      </w:pPr>
      <w:r>
        <w:rPr>
          <w:b w:val="0"/>
          <w:bCs w:val="0"/>
          <w:i w:val="0"/>
          <w:iCs w:val="0"/>
          <w:color w:val="000000"/>
          <w:spacing w:val="0"/>
          <w:sz w:val="18"/>
          <w:szCs w:val="18"/>
          <w:lang w:eastAsia="zh-CN"/>
        </w:rPr>
        <w:t>　　为进一步保障和改善残疾人民生，持续推进残疾人事业高质量发展，根据国务院、自治区、市《“十四五”残疾人事业发展规划》和《杭锦旗国民经济和社会发展第十四个五年规划和</w:t>
      </w:r>
      <w:r>
        <w:rPr>
          <w:rFonts w:ascii="Calibri" w:hAnsi="Calibri" w:cs="Calibri"/>
          <w:b w:val="0"/>
          <w:bCs w:val="0"/>
          <w:i w:val="0"/>
          <w:iCs w:val="0"/>
          <w:color w:val="000000"/>
          <w:spacing w:val="0"/>
          <w:sz w:val="18"/>
          <w:szCs w:val="18"/>
          <w:lang w:val="en-US"/>
        </w:rPr>
        <w:t>2035</w:t>
      </w:r>
      <w:r>
        <w:rPr>
          <w:b w:val="0"/>
          <w:bCs w:val="0"/>
          <w:i w:val="0"/>
          <w:iCs w:val="0"/>
          <w:color w:val="000000"/>
          <w:spacing w:val="0"/>
          <w:sz w:val="18"/>
          <w:szCs w:val="18"/>
          <w:lang w:eastAsia="zh-CN"/>
        </w:rPr>
        <w:t>年远景目标纲要》，制定本规划。</w:t>
      </w:r>
    </w:p>
    <w:p w14:paraId="54283DB3">
      <w:pPr>
        <w:pStyle w:val="5"/>
        <w:keepNext w:val="0"/>
        <w:keepLines w:val="0"/>
        <w:widowControl/>
        <w:suppressLineNumbers w:val="0"/>
        <w:spacing w:before="0" w:beforeAutospacing="1" w:after="0" w:afterAutospacing="0" w:line="386" w:lineRule="atLeast"/>
        <w:ind w:left="0" w:right="0"/>
        <w:jc w:val="both"/>
        <w:rPr>
          <w:b w:val="0"/>
          <w:bCs w:val="0"/>
          <w:i w:val="0"/>
          <w:iCs w:val="0"/>
          <w:spacing w:val="0"/>
        </w:rPr>
      </w:pPr>
      <w:r>
        <w:rPr>
          <w:b w:val="0"/>
          <w:bCs w:val="0"/>
          <w:i w:val="0"/>
          <w:iCs w:val="0"/>
          <w:color w:val="000000"/>
          <w:spacing w:val="0"/>
          <w:sz w:val="18"/>
          <w:szCs w:val="18"/>
          <w:lang w:eastAsia="zh-CN"/>
        </w:rPr>
        <w:t>　　一、编制背景</w:t>
      </w:r>
    </w:p>
    <w:p w14:paraId="5C6C2499">
      <w:pPr>
        <w:pStyle w:val="5"/>
        <w:keepNext w:val="0"/>
        <w:keepLines w:val="0"/>
        <w:widowControl/>
        <w:suppressLineNumbers w:val="0"/>
        <w:spacing w:before="0" w:beforeAutospacing="1" w:after="0" w:afterAutospacing="0" w:line="386" w:lineRule="atLeast"/>
        <w:ind w:left="0" w:right="0"/>
        <w:jc w:val="both"/>
        <w:rPr>
          <w:spacing w:val="0"/>
        </w:rPr>
      </w:pPr>
      <w:r>
        <w:rPr>
          <w:b w:val="0"/>
          <w:bCs w:val="0"/>
          <w:i w:val="0"/>
          <w:iCs w:val="0"/>
          <w:color w:val="000000"/>
          <w:spacing w:val="0"/>
          <w:sz w:val="18"/>
          <w:szCs w:val="18"/>
          <w:lang w:eastAsia="zh-CN"/>
        </w:rPr>
        <w:t>　　党中央、国务院高度重视残疾人事业发展，对残疾人格外关心、格外关注。自治区党委、人民政府，市委、市人民政府和旗委、旗人民政府坚持以人民为中心的发展思想，着力提升残疾人基本公共服务水平，全面加强残疾人民生保障。“十三五”期间，杭锦旗残疾人事业取得显著成就，“全面建成小康社会，残疾人一个也不能少”的目标如期实现，我旗残疾人事业“十三五”发展规划的目标任务圆满完成。残疾人民生得到明显保障，投资</w:t>
      </w:r>
      <w:r>
        <w:rPr>
          <w:rFonts w:hint="default" w:ascii="Calibri" w:hAnsi="Calibri" w:cs="Calibri"/>
          <w:b w:val="0"/>
          <w:bCs w:val="0"/>
          <w:i w:val="0"/>
          <w:iCs w:val="0"/>
          <w:color w:val="000000"/>
          <w:spacing w:val="0"/>
          <w:sz w:val="18"/>
          <w:szCs w:val="18"/>
          <w:lang w:val="en-US"/>
        </w:rPr>
        <w:t>58.8</w:t>
      </w:r>
      <w:r>
        <w:rPr>
          <w:b w:val="0"/>
          <w:bCs w:val="0"/>
          <w:i w:val="0"/>
          <w:iCs w:val="0"/>
          <w:color w:val="000000"/>
          <w:spacing w:val="0"/>
          <w:sz w:val="18"/>
          <w:szCs w:val="18"/>
          <w:lang w:eastAsia="zh-CN"/>
        </w:rPr>
        <w:t>万元为</w:t>
      </w:r>
      <w:r>
        <w:rPr>
          <w:rFonts w:hint="default" w:ascii="Calibri" w:hAnsi="Calibri" w:cs="Calibri"/>
          <w:b w:val="0"/>
          <w:bCs w:val="0"/>
          <w:i w:val="0"/>
          <w:iCs w:val="0"/>
          <w:color w:val="000000"/>
          <w:spacing w:val="0"/>
          <w:sz w:val="18"/>
          <w:szCs w:val="18"/>
          <w:lang w:val="en-US"/>
        </w:rPr>
        <w:t>168</w:t>
      </w:r>
      <w:r>
        <w:rPr>
          <w:b w:val="0"/>
          <w:bCs w:val="0"/>
          <w:i w:val="0"/>
          <w:iCs w:val="0"/>
          <w:color w:val="000000"/>
          <w:spacing w:val="0"/>
          <w:sz w:val="18"/>
          <w:szCs w:val="18"/>
          <w:lang w:eastAsia="zh-CN"/>
        </w:rPr>
        <w:t>户残疾人家庭实施无障碍改造；落实</w:t>
      </w:r>
      <w:r>
        <w:rPr>
          <w:rFonts w:hint="default" w:ascii="Calibri" w:hAnsi="Calibri" w:cs="Calibri"/>
          <w:b w:val="0"/>
          <w:bCs w:val="0"/>
          <w:i w:val="0"/>
          <w:iCs w:val="0"/>
          <w:color w:val="000000"/>
          <w:spacing w:val="0"/>
          <w:sz w:val="18"/>
          <w:szCs w:val="18"/>
          <w:lang w:val="en-US"/>
        </w:rPr>
        <w:t>3698</w:t>
      </w:r>
      <w:r>
        <w:rPr>
          <w:b w:val="0"/>
          <w:bCs w:val="0"/>
          <w:i w:val="0"/>
          <w:iCs w:val="0"/>
          <w:color w:val="000000"/>
          <w:spacing w:val="0"/>
          <w:sz w:val="18"/>
          <w:szCs w:val="18"/>
          <w:lang w:eastAsia="zh-CN"/>
        </w:rPr>
        <w:t>名重度残疾人和精神智力三、四级残疾人生活补贴及护理补贴；为</w:t>
      </w:r>
      <w:r>
        <w:rPr>
          <w:rFonts w:hint="default" w:ascii="Calibri" w:hAnsi="Calibri" w:cs="Calibri"/>
          <w:b w:val="0"/>
          <w:bCs w:val="0"/>
          <w:i w:val="0"/>
          <w:iCs w:val="0"/>
          <w:color w:val="000000"/>
          <w:spacing w:val="0"/>
          <w:sz w:val="18"/>
          <w:szCs w:val="18"/>
          <w:lang w:val="en-US"/>
        </w:rPr>
        <w:t>4624</w:t>
      </w:r>
      <w:r>
        <w:rPr>
          <w:b w:val="0"/>
          <w:bCs w:val="0"/>
          <w:i w:val="0"/>
          <w:iCs w:val="0"/>
          <w:color w:val="000000"/>
          <w:spacing w:val="0"/>
          <w:sz w:val="18"/>
          <w:szCs w:val="18"/>
          <w:lang w:eastAsia="zh-CN"/>
        </w:rPr>
        <w:t>名重度残疾人代缴基本医疗保险</w:t>
      </w:r>
      <w:r>
        <w:rPr>
          <w:rFonts w:hint="default" w:ascii="Calibri" w:hAnsi="Calibri" w:cs="Calibri"/>
          <w:b w:val="0"/>
          <w:bCs w:val="0"/>
          <w:i w:val="0"/>
          <w:iCs w:val="0"/>
          <w:color w:val="000000"/>
          <w:spacing w:val="0"/>
          <w:sz w:val="18"/>
          <w:szCs w:val="18"/>
          <w:lang w:val="en-US"/>
        </w:rPr>
        <w:t>120.47</w:t>
      </w:r>
      <w:r>
        <w:rPr>
          <w:b w:val="0"/>
          <w:bCs w:val="0"/>
          <w:i w:val="0"/>
          <w:iCs w:val="0"/>
          <w:color w:val="000000"/>
          <w:spacing w:val="0"/>
          <w:sz w:val="18"/>
          <w:szCs w:val="18"/>
          <w:lang w:eastAsia="zh-CN"/>
        </w:rPr>
        <w:t>万元，为</w:t>
      </w:r>
      <w:r>
        <w:rPr>
          <w:rFonts w:hint="default" w:ascii="Calibri" w:hAnsi="Calibri" w:cs="Calibri"/>
          <w:b w:val="0"/>
          <w:bCs w:val="0"/>
          <w:i w:val="0"/>
          <w:iCs w:val="0"/>
          <w:color w:val="000000"/>
          <w:spacing w:val="0"/>
          <w:sz w:val="18"/>
          <w:szCs w:val="18"/>
          <w:lang w:val="en-US"/>
        </w:rPr>
        <w:t>6624</w:t>
      </w:r>
      <w:r>
        <w:rPr>
          <w:b w:val="0"/>
          <w:bCs w:val="0"/>
          <w:i w:val="0"/>
          <w:iCs w:val="0"/>
          <w:color w:val="000000"/>
          <w:spacing w:val="0"/>
          <w:sz w:val="18"/>
          <w:szCs w:val="18"/>
          <w:lang w:eastAsia="zh-CN"/>
        </w:rPr>
        <w:t>名残疾人购买意外伤害保险</w:t>
      </w:r>
      <w:r>
        <w:rPr>
          <w:rFonts w:hint="default" w:ascii="Calibri" w:hAnsi="Calibri" w:cs="Calibri"/>
          <w:b w:val="0"/>
          <w:bCs w:val="0"/>
          <w:i w:val="0"/>
          <w:iCs w:val="0"/>
          <w:color w:val="000000"/>
          <w:spacing w:val="0"/>
          <w:sz w:val="18"/>
          <w:szCs w:val="18"/>
          <w:lang w:val="en-US"/>
        </w:rPr>
        <w:t>16.56</w:t>
      </w:r>
      <w:r>
        <w:rPr>
          <w:b w:val="0"/>
          <w:bCs w:val="0"/>
          <w:i w:val="0"/>
          <w:iCs w:val="0"/>
          <w:color w:val="000000"/>
          <w:spacing w:val="0"/>
          <w:sz w:val="18"/>
          <w:szCs w:val="18"/>
          <w:lang w:eastAsia="zh-CN"/>
        </w:rPr>
        <w:t>万元；累计走访慰问困难残疾人家庭</w:t>
      </w:r>
      <w:r>
        <w:rPr>
          <w:rFonts w:hint="default" w:ascii="Calibri" w:hAnsi="Calibri" w:cs="Calibri"/>
          <w:b w:val="0"/>
          <w:bCs w:val="0"/>
          <w:i w:val="0"/>
          <w:iCs w:val="0"/>
          <w:color w:val="000000"/>
          <w:spacing w:val="0"/>
          <w:sz w:val="18"/>
          <w:szCs w:val="18"/>
          <w:lang w:val="en-US"/>
        </w:rPr>
        <w:t>635</w:t>
      </w:r>
      <w:r>
        <w:rPr>
          <w:b w:val="0"/>
          <w:bCs w:val="0"/>
          <w:i w:val="0"/>
          <w:iCs w:val="0"/>
          <w:color w:val="000000"/>
          <w:spacing w:val="0"/>
          <w:sz w:val="18"/>
          <w:szCs w:val="18"/>
          <w:lang w:eastAsia="zh-CN"/>
        </w:rPr>
        <w:t>户，发放慰问金</w:t>
      </w:r>
      <w:r>
        <w:rPr>
          <w:rFonts w:hint="default" w:ascii="Calibri" w:hAnsi="Calibri" w:cs="Calibri"/>
          <w:b w:val="0"/>
          <w:bCs w:val="0"/>
          <w:i w:val="0"/>
          <w:iCs w:val="0"/>
          <w:color w:val="000000"/>
          <w:spacing w:val="0"/>
          <w:sz w:val="18"/>
          <w:szCs w:val="18"/>
          <w:lang w:val="en-US"/>
        </w:rPr>
        <w:t>33</w:t>
      </w:r>
      <w:r>
        <w:rPr>
          <w:b w:val="0"/>
          <w:bCs w:val="0"/>
          <w:i w:val="0"/>
          <w:iCs w:val="0"/>
          <w:color w:val="000000"/>
          <w:spacing w:val="0"/>
          <w:sz w:val="18"/>
          <w:szCs w:val="18"/>
          <w:lang w:eastAsia="zh-CN"/>
        </w:rPr>
        <w:t>万余元。残疾人康复服务明显加强，争取残疾儿童康复补贴专项资金</w:t>
      </w:r>
      <w:r>
        <w:rPr>
          <w:rFonts w:hint="default" w:ascii="Calibri" w:hAnsi="Calibri" w:cs="Calibri"/>
          <w:b w:val="0"/>
          <w:bCs w:val="0"/>
          <w:i w:val="0"/>
          <w:iCs w:val="0"/>
          <w:color w:val="000000"/>
          <w:spacing w:val="0"/>
          <w:sz w:val="18"/>
          <w:szCs w:val="18"/>
          <w:lang w:val="en-US"/>
        </w:rPr>
        <w:t>69.63</w:t>
      </w:r>
      <w:r>
        <w:rPr>
          <w:b w:val="0"/>
          <w:bCs w:val="0"/>
          <w:i w:val="0"/>
          <w:iCs w:val="0"/>
          <w:color w:val="000000"/>
          <w:spacing w:val="0"/>
          <w:sz w:val="18"/>
          <w:szCs w:val="18"/>
          <w:lang w:eastAsia="zh-CN"/>
        </w:rPr>
        <w:t>万元，补贴残疾儿童</w:t>
      </w:r>
      <w:r>
        <w:rPr>
          <w:rFonts w:hint="default" w:ascii="Calibri" w:hAnsi="Calibri" w:cs="Calibri"/>
          <w:b w:val="0"/>
          <w:bCs w:val="0"/>
          <w:i w:val="0"/>
          <w:iCs w:val="0"/>
          <w:color w:val="000000"/>
          <w:spacing w:val="0"/>
          <w:sz w:val="18"/>
          <w:szCs w:val="18"/>
          <w:lang w:val="en-US"/>
        </w:rPr>
        <w:t>68</w:t>
      </w:r>
      <w:r>
        <w:rPr>
          <w:b w:val="0"/>
          <w:bCs w:val="0"/>
          <w:i w:val="0"/>
          <w:iCs w:val="0"/>
          <w:color w:val="000000"/>
          <w:spacing w:val="0"/>
          <w:sz w:val="18"/>
          <w:szCs w:val="18"/>
          <w:lang w:eastAsia="zh-CN"/>
        </w:rPr>
        <w:t>名；受理白内障患者复明手术补助</w:t>
      </w:r>
      <w:r>
        <w:rPr>
          <w:rFonts w:hint="default" w:ascii="Calibri" w:hAnsi="Calibri" w:cs="Calibri"/>
          <w:b w:val="0"/>
          <w:bCs w:val="0"/>
          <w:i w:val="0"/>
          <w:iCs w:val="0"/>
          <w:color w:val="000000"/>
          <w:spacing w:val="0"/>
          <w:sz w:val="18"/>
          <w:szCs w:val="18"/>
          <w:lang w:val="en-US"/>
        </w:rPr>
        <w:t>524</w:t>
      </w:r>
      <w:r>
        <w:rPr>
          <w:b w:val="0"/>
          <w:bCs w:val="0"/>
          <w:i w:val="0"/>
          <w:iCs w:val="0"/>
          <w:color w:val="000000"/>
          <w:spacing w:val="0"/>
          <w:sz w:val="18"/>
          <w:szCs w:val="18"/>
          <w:lang w:eastAsia="zh-CN"/>
        </w:rPr>
        <w:t>人；发放残疾人各类辅助器具</w:t>
      </w:r>
      <w:r>
        <w:rPr>
          <w:rFonts w:hint="default" w:ascii="Calibri" w:hAnsi="Calibri" w:cs="Calibri"/>
          <w:b w:val="0"/>
          <w:bCs w:val="0"/>
          <w:i w:val="0"/>
          <w:iCs w:val="0"/>
          <w:color w:val="000000"/>
          <w:spacing w:val="0"/>
          <w:sz w:val="18"/>
          <w:szCs w:val="18"/>
          <w:lang w:val="en-US"/>
        </w:rPr>
        <w:t>815</w:t>
      </w:r>
      <w:r>
        <w:rPr>
          <w:b w:val="0"/>
          <w:bCs w:val="0"/>
          <w:i w:val="0"/>
          <w:iCs w:val="0"/>
          <w:color w:val="000000"/>
          <w:spacing w:val="0"/>
          <w:sz w:val="18"/>
          <w:szCs w:val="18"/>
          <w:lang w:eastAsia="zh-CN"/>
        </w:rPr>
        <w:t>件，辅具适配服务率达到</w:t>
      </w:r>
      <w:r>
        <w:rPr>
          <w:rFonts w:hint="default" w:ascii="Calibri" w:hAnsi="Calibri" w:cs="Calibri"/>
          <w:b w:val="0"/>
          <w:bCs w:val="0"/>
          <w:i w:val="0"/>
          <w:iCs w:val="0"/>
          <w:color w:val="000000"/>
          <w:spacing w:val="0"/>
          <w:sz w:val="18"/>
          <w:szCs w:val="18"/>
          <w:lang w:val="en-US"/>
        </w:rPr>
        <w:t>95%</w:t>
      </w:r>
      <w:r>
        <w:rPr>
          <w:b w:val="0"/>
          <w:bCs w:val="0"/>
          <w:i w:val="0"/>
          <w:iCs w:val="0"/>
          <w:color w:val="000000"/>
          <w:spacing w:val="0"/>
          <w:sz w:val="18"/>
          <w:szCs w:val="18"/>
          <w:lang w:eastAsia="zh-CN"/>
        </w:rPr>
        <w:t>，康复服务率达到</w:t>
      </w:r>
      <w:r>
        <w:rPr>
          <w:rFonts w:hint="default" w:ascii="Calibri" w:hAnsi="Calibri" w:cs="Calibri"/>
          <w:b w:val="0"/>
          <w:bCs w:val="0"/>
          <w:i w:val="0"/>
          <w:iCs w:val="0"/>
          <w:color w:val="000000"/>
          <w:spacing w:val="0"/>
          <w:sz w:val="18"/>
          <w:szCs w:val="18"/>
          <w:lang w:val="en-US"/>
        </w:rPr>
        <w:t>90%</w:t>
      </w:r>
      <w:r>
        <w:rPr>
          <w:b w:val="0"/>
          <w:bCs w:val="0"/>
          <w:i w:val="0"/>
          <w:iCs w:val="0"/>
          <w:color w:val="000000"/>
          <w:spacing w:val="0"/>
          <w:sz w:val="18"/>
          <w:szCs w:val="18"/>
          <w:lang w:eastAsia="zh-CN"/>
        </w:rPr>
        <w:t>。适龄残疾青少年教育明显提高，五年内随班就读</w:t>
      </w:r>
      <w:r>
        <w:rPr>
          <w:rFonts w:hint="default" w:ascii="Calibri" w:hAnsi="Calibri" w:cs="Calibri"/>
          <w:b w:val="0"/>
          <w:bCs w:val="0"/>
          <w:i w:val="0"/>
          <w:iCs w:val="0"/>
          <w:color w:val="000000"/>
          <w:spacing w:val="0"/>
          <w:sz w:val="18"/>
          <w:szCs w:val="18"/>
          <w:lang w:val="en-US"/>
        </w:rPr>
        <w:t>219</w:t>
      </w:r>
      <w:r>
        <w:rPr>
          <w:b w:val="0"/>
          <w:bCs w:val="0"/>
          <w:i w:val="0"/>
          <w:iCs w:val="0"/>
          <w:color w:val="000000"/>
          <w:spacing w:val="0"/>
          <w:sz w:val="18"/>
          <w:szCs w:val="18"/>
          <w:lang w:eastAsia="zh-CN"/>
        </w:rPr>
        <w:t>人，送教上门</w:t>
      </w:r>
      <w:r>
        <w:rPr>
          <w:rFonts w:hint="default" w:ascii="Calibri" w:hAnsi="Calibri" w:cs="Calibri"/>
          <w:b w:val="0"/>
          <w:bCs w:val="0"/>
          <w:i w:val="0"/>
          <w:iCs w:val="0"/>
          <w:color w:val="000000"/>
          <w:spacing w:val="0"/>
          <w:sz w:val="18"/>
          <w:szCs w:val="18"/>
          <w:lang w:val="en-US"/>
        </w:rPr>
        <w:t>32</w:t>
      </w:r>
      <w:r>
        <w:rPr>
          <w:b w:val="0"/>
          <w:bCs w:val="0"/>
          <w:i w:val="0"/>
          <w:iCs w:val="0"/>
          <w:color w:val="000000"/>
          <w:spacing w:val="0"/>
          <w:sz w:val="18"/>
          <w:szCs w:val="18"/>
          <w:lang w:eastAsia="zh-CN"/>
        </w:rPr>
        <w:t>人，特殊学校</w:t>
      </w:r>
      <w:r>
        <w:rPr>
          <w:rFonts w:hint="default" w:ascii="Calibri" w:hAnsi="Calibri" w:cs="Calibri"/>
          <w:b w:val="0"/>
          <w:bCs w:val="0"/>
          <w:i w:val="0"/>
          <w:iCs w:val="0"/>
          <w:color w:val="000000"/>
          <w:spacing w:val="0"/>
          <w:sz w:val="18"/>
          <w:szCs w:val="18"/>
          <w:lang w:val="en-US"/>
        </w:rPr>
        <w:t>21</w:t>
      </w:r>
      <w:r>
        <w:rPr>
          <w:b w:val="0"/>
          <w:bCs w:val="0"/>
          <w:i w:val="0"/>
          <w:iCs w:val="0"/>
          <w:color w:val="000000"/>
          <w:spacing w:val="0"/>
          <w:sz w:val="18"/>
          <w:szCs w:val="18"/>
          <w:lang w:eastAsia="zh-CN"/>
        </w:rPr>
        <w:t>人，缓免学</w:t>
      </w:r>
      <w:r>
        <w:rPr>
          <w:rFonts w:hint="default" w:ascii="Calibri" w:hAnsi="Calibri" w:cs="Calibri"/>
          <w:b w:val="0"/>
          <w:bCs w:val="0"/>
          <w:i w:val="0"/>
          <w:iCs w:val="0"/>
          <w:color w:val="000000"/>
          <w:spacing w:val="0"/>
          <w:sz w:val="18"/>
          <w:szCs w:val="18"/>
          <w:lang w:val="en-US"/>
        </w:rPr>
        <w:t>4</w:t>
      </w:r>
      <w:r>
        <w:rPr>
          <w:b w:val="0"/>
          <w:bCs w:val="0"/>
          <w:i w:val="0"/>
          <w:iCs w:val="0"/>
          <w:color w:val="000000"/>
          <w:spacing w:val="0"/>
          <w:sz w:val="18"/>
          <w:szCs w:val="18"/>
          <w:lang w:eastAsia="zh-CN"/>
        </w:rPr>
        <w:t>人，残疾儿童接受义务教育比例达到</w:t>
      </w:r>
      <w:r>
        <w:rPr>
          <w:rFonts w:hint="default" w:ascii="Calibri" w:hAnsi="Calibri" w:cs="Calibri"/>
          <w:b w:val="0"/>
          <w:bCs w:val="0"/>
          <w:i w:val="0"/>
          <w:iCs w:val="0"/>
          <w:color w:val="000000"/>
          <w:spacing w:val="0"/>
          <w:sz w:val="18"/>
          <w:szCs w:val="18"/>
          <w:lang w:val="en-US"/>
        </w:rPr>
        <w:t>95%</w:t>
      </w:r>
      <w:r>
        <w:rPr>
          <w:b w:val="0"/>
          <w:bCs w:val="0"/>
          <w:i w:val="0"/>
          <w:iCs w:val="0"/>
          <w:color w:val="000000"/>
          <w:spacing w:val="0"/>
          <w:sz w:val="18"/>
          <w:szCs w:val="18"/>
          <w:lang w:eastAsia="zh-CN"/>
        </w:rPr>
        <w:t>以上。残疾人就业创业服务得到明显改善，五年内举办残疾人实用技术、职业技能培训班</w:t>
      </w:r>
      <w:r>
        <w:rPr>
          <w:rFonts w:hint="default" w:ascii="Calibri" w:hAnsi="Calibri" w:cs="Calibri"/>
          <w:b w:val="0"/>
          <w:bCs w:val="0"/>
          <w:i w:val="0"/>
          <w:iCs w:val="0"/>
          <w:color w:val="000000"/>
          <w:spacing w:val="0"/>
          <w:sz w:val="18"/>
          <w:szCs w:val="18"/>
          <w:lang w:val="en-US"/>
        </w:rPr>
        <w:t>24</w:t>
      </w:r>
      <w:r>
        <w:rPr>
          <w:b w:val="0"/>
          <w:bCs w:val="0"/>
          <w:i w:val="0"/>
          <w:iCs w:val="0"/>
          <w:color w:val="000000"/>
          <w:spacing w:val="0"/>
          <w:sz w:val="18"/>
          <w:szCs w:val="18"/>
          <w:lang w:eastAsia="zh-CN"/>
        </w:rPr>
        <w:t>期，培训残疾人</w:t>
      </w:r>
      <w:r>
        <w:rPr>
          <w:rFonts w:hint="default" w:ascii="Calibri" w:hAnsi="Calibri" w:cs="Calibri"/>
          <w:b w:val="0"/>
          <w:bCs w:val="0"/>
          <w:i w:val="0"/>
          <w:iCs w:val="0"/>
          <w:color w:val="000000"/>
          <w:spacing w:val="0"/>
          <w:sz w:val="18"/>
          <w:szCs w:val="18"/>
          <w:lang w:val="en-US"/>
        </w:rPr>
        <w:t>1113</w:t>
      </w:r>
      <w:r>
        <w:rPr>
          <w:b w:val="0"/>
          <w:bCs w:val="0"/>
          <w:i w:val="0"/>
          <w:iCs w:val="0"/>
          <w:color w:val="000000"/>
          <w:spacing w:val="0"/>
          <w:sz w:val="18"/>
          <w:szCs w:val="18"/>
          <w:lang w:eastAsia="zh-CN"/>
        </w:rPr>
        <w:t>人次，新增残疾人就业</w:t>
      </w:r>
      <w:r>
        <w:rPr>
          <w:rFonts w:hint="default" w:ascii="Calibri" w:hAnsi="Calibri" w:cs="Calibri"/>
          <w:b w:val="0"/>
          <w:bCs w:val="0"/>
          <w:i w:val="0"/>
          <w:iCs w:val="0"/>
          <w:color w:val="000000"/>
          <w:spacing w:val="0"/>
          <w:sz w:val="18"/>
          <w:szCs w:val="18"/>
          <w:lang w:val="en-US"/>
        </w:rPr>
        <w:t>400</w:t>
      </w:r>
      <w:r>
        <w:rPr>
          <w:b w:val="0"/>
          <w:bCs w:val="0"/>
          <w:i w:val="0"/>
          <w:iCs w:val="0"/>
          <w:color w:val="000000"/>
          <w:spacing w:val="0"/>
          <w:sz w:val="18"/>
          <w:szCs w:val="18"/>
          <w:lang w:eastAsia="zh-CN"/>
        </w:rPr>
        <w:t>人，给予</w:t>
      </w:r>
      <w:r>
        <w:rPr>
          <w:rFonts w:hint="default" w:ascii="Calibri" w:hAnsi="Calibri" w:cs="Calibri"/>
          <w:b w:val="0"/>
          <w:bCs w:val="0"/>
          <w:i w:val="0"/>
          <w:iCs w:val="0"/>
          <w:color w:val="000000"/>
          <w:spacing w:val="0"/>
          <w:sz w:val="18"/>
          <w:szCs w:val="18"/>
          <w:lang w:val="en-US"/>
        </w:rPr>
        <w:t>101</w:t>
      </w:r>
      <w:r>
        <w:rPr>
          <w:b w:val="0"/>
          <w:bCs w:val="0"/>
          <w:i w:val="0"/>
          <w:iCs w:val="0"/>
          <w:color w:val="000000"/>
          <w:spacing w:val="0"/>
          <w:sz w:val="18"/>
          <w:szCs w:val="18"/>
          <w:lang w:eastAsia="zh-CN"/>
        </w:rPr>
        <w:t>家残疾人个体创业户扶持资金</w:t>
      </w:r>
      <w:r>
        <w:rPr>
          <w:rFonts w:hint="default" w:ascii="Calibri" w:hAnsi="Calibri" w:cs="Calibri"/>
          <w:b w:val="0"/>
          <w:bCs w:val="0"/>
          <w:i w:val="0"/>
          <w:iCs w:val="0"/>
          <w:color w:val="000000"/>
          <w:spacing w:val="0"/>
          <w:sz w:val="18"/>
          <w:szCs w:val="18"/>
          <w:lang w:val="en-US"/>
        </w:rPr>
        <w:t>101</w:t>
      </w:r>
      <w:r>
        <w:rPr>
          <w:b w:val="0"/>
          <w:bCs w:val="0"/>
          <w:i w:val="0"/>
          <w:iCs w:val="0"/>
          <w:color w:val="000000"/>
          <w:spacing w:val="0"/>
          <w:sz w:val="18"/>
          <w:szCs w:val="18"/>
          <w:lang w:eastAsia="zh-CN"/>
        </w:rPr>
        <w:t>万元，</w:t>
      </w:r>
      <w:r>
        <w:rPr>
          <w:rFonts w:hint="default" w:ascii="Calibri" w:hAnsi="Calibri" w:cs="Calibri"/>
          <w:b w:val="0"/>
          <w:bCs w:val="0"/>
          <w:i w:val="0"/>
          <w:iCs w:val="0"/>
          <w:color w:val="000000"/>
          <w:spacing w:val="0"/>
          <w:sz w:val="18"/>
          <w:szCs w:val="18"/>
          <w:lang w:val="en-US"/>
        </w:rPr>
        <w:t>3</w:t>
      </w:r>
      <w:r>
        <w:rPr>
          <w:b w:val="0"/>
          <w:bCs w:val="0"/>
          <w:i w:val="0"/>
          <w:iCs w:val="0"/>
          <w:color w:val="000000"/>
          <w:spacing w:val="0"/>
          <w:sz w:val="18"/>
          <w:szCs w:val="18"/>
          <w:lang w:eastAsia="zh-CN"/>
        </w:rPr>
        <w:t>家残疾人个体创业示范户扶持资金</w:t>
      </w:r>
      <w:r>
        <w:rPr>
          <w:rFonts w:hint="default" w:ascii="Calibri" w:hAnsi="Calibri" w:cs="Calibri"/>
          <w:b w:val="0"/>
          <w:bCs w:val="0"/>
          <w:i w:val="0"/>
          <w:iCs w:val="0"/>
          <w:color w:val="000000"/>
          <w:spacing w:val="0"/>
          <w:sz w:val="18"/>
          <w:szCs w:val="18"/>
          <w:lang w:val="en-US"/>
        </w:rPr>
        <w:t>30</w:t>
      </w:r>
      <w:r>
        <w:rPr>
          <w:b w:val="0"/>
          <w:bCs w:val="0"/>
          <w:i w:val="0"/>
          <w:iCs w:val="0"/>
          <w:color w:val="000000"/>
          <w:spacing w:val="0"/>
          <w:sz w:val="18"/>
          <w:szCs w:val="18"/>
          <w:lang w:eastAsia="zh-CN"/>
        </w:rPr>
        <w:t>万元。残疾人脱贫攻坚取得全面胜利，</w:t>
      </w:r>
      <w:r>
        <w:rPr>
          <w:rFonts w:hint="default" w:ascii="Calibri" w:hAnsi="Calibri" w:cs="Calibri"/>
          <w:b w:val="0"/>
          <w:bCs w:val="0"/>
          <w:i w:val="0"/>
          <w:iCs w:val="0"/>
          <w:color w:val="000000"/>
          <w:spacing w:val="0"/>
          <w:sz w:val="18"/>
          <w:szCs w:val="18"/>
          <w:lang w:val="en-US"/>
        </w:rPr>
        <w:t>52</w:t>
      </w:r>
      <w:r>
        <w:rPr>
          <w:b w:val="0"/>
          <w:bCs w:val="0"/>
          <w:i w:val="0"/>
          <w:iCs w:val="0"/>
          <w:color w:val="000000"/>
          <w:spacing w:val="0"/>
          <w:sz w:val="18"/>
          <w:szCs w:val="18"/>
          <w:lang w:eastAsia="zh-CN"/>
        </w:rPr>
        <w:t>名建档立卡持证残疾人全部脱贫。残疾人文化体育活动有序推进，举办残疾人趣味运动会</w:t>
      </w:r>
      <w:r>
        <w:rPr>
          <w:rFonts w:hint="default" w:ascii="Calibri" w:hAnsi="Calibri" w:cs="Calibri"/>
          <w:b w:val="0"/>
          <w:bCs w:val="0"/>
          <w:i w:val="0"/>
          <w:iCs w:val="0"/>
          <w:color w:val="000000"/>
          <w:spacing w:val="0"/>
          <w:sz w:val="18"/>
          <w:szCs w:val="18"/>
          <w:lang w:val="en-US"/>
        </w:rPr>
        <w:t>4</w:t>
      </w:r>
      <w:r>
        <w:rPr>
          <w:b w:val="0"/>
          <w:bCs w:val="0"/>
          <w:i w:val="0"/>
          <w:iCs w:val="0"/>
          <w:color w:val="000000"/>
          <w:spacing w:val="0"/>
          <w:sz w:val="18"/>
          <w:szCs w:val="18"/>
          <w:lang w:eastAsia="zh-CN"/>
        </w:rPr>
        <w:t>次，累计参加全国、全区、全市残疾人运动会、文艺比赛等</w:t>
      </w:r>
      <w:r>
        <w:rPr>
          <w:rFonts w:hint="default" w:ascii="Calibri" w:hAnsi="Calibri" w:cs="Calibri"/>
          <w:b w:val="0"/>
          <w:bCs w:val="0"/>
          <w:i w:val="0"/>
          <w:iCs w:val="0"/>
          <w:color w:val="000000"/>
          <w:spacing w:val="0"/>
          <w:sz w:val="18"/>
          <w:szCs w:val="18"/>
          <w:lang w:val="en-US"/>
        </w:rPr>
        <w:t>33</w:t>
      </w:r>
      <w:r>
        <w:rPr>
          <w:b w:val="0"/>
          <w:bCs w:val="0"/>
          <w:i w:val="0"/>
          <w:iCs w:val="0"/>
          <w:color w:val="000000"/>
          <w:spacing w:val="0"/>
          <w:sz w:val="18"/>
          <w:szCs w:val="18"/>
          <w:lang w:eastAsia="zh-CN"/>
        </w:rPr>
        <w:t>人次，均取得较好成绩。扶残助残社会氛围日益浓厚，理解、尊重、关心、关爱、关注残疾人事业的文明社会氛围已基本形成。残疾人工作领导体制进一步强化，各相关单位充分发挥作用，社会扶残助残活力得到较好激发，残疾人获得感、幸福感、安全感持续提升，残疾人平等参与社会生活更加广泛。这些成就的取得，有效改善了残疾人民生，进一步增强了残疾人事业可持续发展能力。</w:t>
      </w:r>
    </w:p>
    <w:p w14:paraId="012B5524">
      <w:pPr>
        <w:pStyle w:val="5"/>
        <w:keepNext w:val="0"/>
        <w:keepLines w:val="0"/>
        <w:widowControl/>
        <w:suppressLineNumbers w:val="0"/>
        <w:spacing w:before="0" w:beforeAutospacing="1" w:after="0" w:afterAutospacing="0" w:line="386" w:lineRule="atLeast"/>
        <w:ind w:left="0" w:right="0"/>
        <w:jc w:val="both"/>
        <w:rPr>
          <w:spacing w:val="0"/>
        </w:rPr>
      </w:pPr>
      <w:r>
        <w:rPr>
          <w:b w:val="0"/>
          <w:bCs w:val="0"/>
          <w:i w:val="0"/>
          <w:iCs w:val="0"/>
          <w:color w:val="000000"/>
          <w:spacing w:val="0"/>
          <w:sz w:val="18"/>
          <w:szCs w:val="18"/>
          <w:lang w:eastAsia="zh-CN"/>
        </w:rPr>
        <w:t>　　全旗现有残疾人</w:t>
      </w:r>
      <w:r>
        <w:rPr>
          <w:rFonts w:hint="default" w:ascii="Calibri" w:hAnsi="Calibri" w:cs="Calibri"/>
          <w:b w:val="0"/>
          <w:bCs w:val="0"/>
          <w:i w:val="0"/>
          <w:iCs w:val="0"/>
          <w:color w:val="000000"/>
          <w:spacing w:val="0"/>
          <w:sz w:val="18"/>
          <w:szCs w:val="18"/>
          <w:lang w:val="en-US"/>
        </w:rPr>
        <w:t>5042</w:t>
      </w:r>
      <w:r>
        <w:rPr>
          <w:b w:val="0"/>
          <w:bCs w:val="0"/>
          <w:i w:val="0"/>
          <w:iCs w:val="0"/>
          <w:color w:val="000000"/>
          <w:spacing w:val="0"/>
          <w:sz w:val="18"/>
          <w:szCs w:val="18"/>
          <w:lang w:eastAsia="zh-CN"/>
        </w:rPr>
        <w:t>人，其中视力残疾</w:t>
      </w:r>
      <w:r>
        <w:rPr>
          <w:rFonts w:hint="default" w:ascii="Calibri" w:hAnsi="Calibri" w:cs="Calibri"/>
          <w:b w:val="0"/>
          <w:bCs w:val="0"/>
          <w:i w:val="0"/>
          <w:iCs w:val="0"/>
          <w:color w:val="000000"/>
          <w:spacing w:val="0"/>
          <w:sz w:val="18"/>
          <w:szCs w:val="18"/>
          <w:lang w:val="en-US"/>
        </w:rPr>
        <w:t>468</w:t>
      </w:r>
      <w:r>
        <w:rPr>
          <w:b w:val="0"/>
          <w:bCs w:val="0"/>
          <w:i w:val="0"/>
          <w:iCs w:val="0"/>
          <w:color w:val="000000"/>
          <w:spacing w:val="0"/>
          <w:sz w:val="18"/>
          <w:szCs w:val="18"/>
          <w:lang w:eastAsia="zh-CN"/>
        </w:rPr>
        <w:t>人，听力残疾</w:t>
      </w:r>
      <w:r>
        <w:rPr>
          <w:rFonts w:hint="default" w:ascii="Calibri" w:hAnsi="Calibri" w:cs="Calibri"/>
          <w:b w:val="0"/>
          <w:bCs w:val="0"/>
          <w:i w:val="0"/>
          <w:iCs w:val="0"/>
          <w:color w:val="000000"/>
          <w:spacing w:val="0"/>
          <w:sz w:val="18"/>
          <w:szCs w:val="18"/>
          <w:lang w:val="en-US"/>
        </w:rPr>
        <w:t>474</w:t>
      </w:r>
      <w:r>
        <w:rPr>
          <w:b w:val="0"/>
          <w:bCs w:val="0"/>
          <w:i w:val="0"/>
          <w:iCs w:val="0"/>
          <w:color w:val="000000"/>
          <w:spacing w:val="0"/>
          <w:sz w:val="18"/>
          <w:szCs w:val="18"/>
          <w:lang w:eastAsia="zh-CN"/>
        </w:rPr>
        <w:t>人，言语残疾</w:t>
      </w:r>
      <w:r>
        <w:rPr>
          <w:rFonts w:hint="default" w:ascii="Calibri" w:hAnsi="Calibri" w:cs="Calibri"/>
          <w:b w:val="0"/>
          <w:bCs w:val="0"/>
          <w:i w:val="0"/>
          <w:iCs w:val="0"/>
          <w:color w:val="000000"/>
          <w:spacing w:val="0"/>
          <w:sz w:val="18"/>
          <w:szCs w:val="18"/>
          <w:lang w:val="en-US"/>
        </w:rPr>
        <w:t>180</w:t>
      </w:r>
      <w:r>
        <w:rPr>
          <w:b w:val="0"/>
          <w:bCs w:val="0"/>
          <w:i w:val="0"/>
          <w:iCs w:val="0"/>
          <w:color w:val="000000"/>
          <w:spacing w:val="0"/>
          <w:sz w:val="18"/>
          <w:szCs w:val="18"/>
          <w:lang w:eastAsia="zh-CN"/>
        </w:rPr>
        <w:t>人，肢体残疾</w:t>
      </w:r>
      <w:r>
        <w:rPr>
          <w:rFonts w:hint="default" w:ascii="Calibri" w:hAnsi="Calibri" w:cs="Calibri"/>
          <w:b w:val="0"/>
          <w:bCs w:val="0"/>
          <w:i w:val="0"/>
          <w:iCs w:val="0"/>
          <w:color w:val="000000"/>
          <w:spacing w:val="0"/>
          <w:sz w:val="18"/>
          <w:szCs w:val="18"/>
          <w:lang w:val="en-US"/>
        </w:rPr>
        <w:t>2286</w:t>
      </w:r>
      <w:r>
        <w:rPr>
          <w:b w:val="0"/>
          <w:bCs w:val="0"/>
          <w:i w:val="0"/>
          <w:iCs w:val="0"/>
          <w:color w:val="000000"/>
          <w:spacing w:val="0"/>
          <w:sz w:val="18"/>
          <w:szCs w:val="18"/>
          <w:lang w:eastAsia="zh-CN"/>
        </w:rPr>
        <w:t>人，智力残疾</w:t>
      </w:r>
      <w:r>
        <w:rPr>
          <w:rFonts w:hint="default" w:ascii="Calibri" w:hAnsi="Calibri" w:cs="Calibri"/>
          <w:b w:val="0"/>
          <w:bCs w:val="0"/>
          <w:i w:val="0"/>
          <w:iCs w:val="0"/>
          <w:color w:val="000000"/>
          <w:spacing w:val="0"/>
          <w:sz w:val="18"/>
          <w:szCs w:val="18"/>
          <w:lang w:val="en-US"/>
        </w:rPr>
        <w:t>809</w:t>
      </w:r>
      <w:r>
        <w:rPr>
          <w:b w:val="0"/>
          <w:bCs w:val="0"/>
          <w:i w:val="0"/>
          <w:iCs w:val="0"/>
          <w:color w:val="000000"/>
          <w:spacing w:val="0"/>
          <w:sz w:val="18"/>
          <w:szCs w:val="18"/>
          <w:lang w:eastAsia="zh-CN"/>
        </w:rPr>
        <w:t>人，精神残疾</w:t>
      </w:r>
      <w:r>
        <w:rPr>
          <w:rFonts w:hint="default" w:ascii="Calibri" w:hAnsi="Calibri" w:cs="Calibri"/>
          <w:b w:val="0"/>
          <w:bCs w:val="0"/>
          <w:i w:val="0"/>
          <w:iCs w:val="0"/>
          <w:color w:val="000000"/>
          <w:spacing w:val="0"/>
          <w:sz w:val="18"/>
          <w:szCs w:val="18"/>
          <w:lang w:val="en-US"/>
        </w:rPr>
        <w:t>581</w:t>
      </w:r>
      <w:r>
        <w:rPr>
          <w:b w:val="0"/>
          <w:bCs w:val="0"/>
          <w:i w:val="0"/>
          <w:iCs w:val="0"/>
          <w:color w:val="000000"/>
          <w:spacing w:val="0"/>
          <w:sz w:val="18"/>
          <w:szCs w:val="18"/>
          <w:lang w:eastAsia="zh-CN"/>
        </w:rPr>
        <w:t>人，多重残疾</w:t>
      </w:r>
      <w:r>
        <w:rPr>
          <w:rFonts w:hint="default" w:ascii="Calibri" w:hAnsi="Calibri" w:cs="Calibri"/>
          <w:b w:val="0"/>
          <w:bCs w:val="0"/>
          <w:i w:val="0"/>
          <w:iCs w:val="0"/>
          <w:color w:val="000000"/>
          <w:spacing w:val="0"/>
          <w:sz w:val="18"/>
          <w:szCs w:val="18"/>
          <w:lang w:val="en-US"/>
        </w:rPr>
        <w:t>244</w:t>
      </w:r>
      <w:r>
        <w:rPr>
          <w:b w:val="0"/>
          <w:bCs w:val="0"/>
          <w:i w:val="0"/>
          <w:iCs w:val="0"/>
          <w:color w:val="000000"/>
          <w:spacing w:val="0"/>
          <w:sz w:val="18"/>
          <w:szCs w:val="18"/>
          <w:lang w:eastAsia="zh-CN"/>
        </w:rPr>
        <w:t>人。从残疾类别来看，肢体残疾居多，智力残疾、精神残疾位列二三，造成残疾的主要原因是事故的发生和心脑血管等疾病导致的功能障碍。“十四五”时期，由于人口老龄化加快，事故、疾病频发，失能、半失能情况仍可能多发、高发，同时还将面临一系列突出问题：一是残疾人事业发展不平衡不充分的问题还比较突出，残疾人的就业创业能力有限，收入来源单一，生活水平仍低于社会平均水平；二是残疾人服务能力相对薄弱，从事残疾人服务工作人员老龄化相对严重，康复服务机构专业人才紧缺。三是残疾人基本公共服务体系发展还不平衡不充分，供给内容和供给水平与残疾人日益增长的类别化、精细化的服务需求还不相适应。</w:t>
      </w:r>
    </w:p>
    <w:p w14:paraId="42D12CB2">
      <w:pPr>
        <w:pStyle w:val="5"/>
        <w:keepNext w:val="0"/>
        <w:keepLines w:val="0"/>
        <w:widowControl/>
        <w:suppressLineNumbers w:val="0"/>
        <w:spacing w:before="0" w:beforeAutospacing="1" w:after="0" w:afterAutospacing="0" w:line="386" w:lineRule="atLeast"/>
        <w:ind w:left="0" w:right="0"/>
        <w:jc w:val="both"/>
        <w:rPr>
          <w:b w:val="0"/>
          <w:bCs w:val="0"/>
          <w:i w:val="0"/>
          <w:iCs w:val="0"/>
          <w:spacing w:val="0"/>
        </w:rPr>
      </w:pPr>
      <w:r>
        <w:rPr>
          <w:b w:val="0"/>
          <w:bCs w:val="0"/>
          <w:i w:val="0"/>
          <w:iCs w:val="0"/>
          <w:color w:val="000000"/>
          <w:spacing w:val="0"/>
          <w:sz w:val="18"/>
          <w:szCs w:val="18"/>
          <w:lang w:eastAsia="zh-CN"/>
        </w:rPr>
        <w:t>　　习近平总书记强调“残疾人事业一定要继续推动，要促进残疾人全面发展和共同富裕，在全面建设社会主义现代化国家新征程中，决不能让残疾人掉队”，给我们提出了新的要求和目标。“十四五”时期是我国开启全面建设社会主义现代化国家新征程的关键时期，残疾人事业发展即迎来新的历史机遇，也面临着巨大的挑战。全旗残疾人事业必须积极适应新形势新要求，认真总结新时代残疾人事业发展的优势与短板，增强机遇意识和风险意识，提升兜底保障能力，为残疾人平等参与社会生活、实现个人全面发展创造更好条件，不断满足残疾人对美好生活的向往和需求，团结带领广大残疾人铸牢中华民族共同体意识，凝心聚力、努力奋斗，共建共享实力杭锦、绿色杭锦、靓丽杭锦、宜居杭锦、幸福杭锦、活力杭锦。</w:t>
      </w:r>
    </w:p>
    <w:p w14:paraId="14451417">
      <w:pPr>
        <w:pStyle w:val="5"/>
        <w:keepNext w:val="0"/>
        <w:keepLines w:val="0"/>
        <w:widowControl/>
        <w:suppressLineNumbers w:val="0"/>
        <w:spacing w:before="0" w:beforeAutospacing="1" w:after="0" w:afterAutospacing="0" w:line="386" w:lineRule="atLeast"/>
        <w:ind w:left="0" w:right="0"/>
        <w:jc w:val="both"/>
        <w:rPr>
          <w:b w:val="0"/>
          <w:bCs w:val="0"/>
          <w:i w:val="0"/>
          <w:iCs w:val="0"/>
          <w:spacing w:val="0"/>
        </w:rPr>
      </w:pPr>
      <w:r>
        <w:rPr>
          <w:b w:val="0"/>
          <w:bCs w:val="0"/>
          <w:i w:val="0"/>
          <w:iCs w:val="0"/>
          <w:color w:val="000000"/>
          <w:spacing w:val="0"/>
          <w:sz w:val="18"/>
          <w:szCs w:val="18"/>
          <w:lang w:eastAsia="zh-CN"/>
        </w:rPr>
        <w:t>　　二、总体要求</w:t>
      </w:r>
    </w:p>
    <w:p w14:paraId="59AFFDF8">
      <w:pPr>
        <w:pStyle w:val="5"/>
        <w:keepNext w:val="0"/>
        <w:keepLines w:val="0"/>
        <w:widowControl/>
        <w:suppressLineNumbers w:val="0"/>
        <w:spacing w:before="0" w:beforeAutospacing="1" w:after="0" w:afterAutospacing="0" w:line="386" w:lineRule="atLeast"/>
        <w:ind w:left="0" w:right="0"/>
        <w:jc w:val="both"/>
        <w:rPr>
          <w:b w:val="0"/>
          <w:bCs w:val="0"/>
          <w:i w:val="0"/>
          <w:iCs w:val="0"/>
          <w:spacing w:val="0"/>
        </w:rPr>
      </w:pPr>
      <w:r>
        <w:rPr>
          <w:b w:val="0"/>
          <w:bCs w:val="0"/>
          <w:i w:val="0"/>
          <w:iCs w:val="0"/>
          <w:color w:val="000000"/>
          <w:spacing w:val="0"/>
          <w:sz w:val="18"/>
          <w:szCs w:val="18"/>
          <w:lang w:eastAsia="zh-CN"/>
        </w:rPr>
        <w:t>　　（一）指导思想</w:t>
      </w:r>
    </w:p>
    <w:p w14:paraId="2085A264">
      <w:pPr>
        <w:pStyle w:val="5"/>
        <w:keepNext w:val="0"/>
        <w:keepLines w:val="0"/>
        <w:widowControl/>
        <w:suppressLineNumbers w:val="0"/>
        <w:spacing w:before="0" w:beforeAutospacing="1" w:after="0" w:afterAutospacing="0" w:line="386" w:lineRule="atLeast"/>
        <w:ind w:left="0" w:right="0"/>
        <w:jc w:val="both"/>
        <w:rPr>
          <w:b w:val="0"/>
          <w:bCs w:val="0"/>
          <w:i w:val="0"/>
          <w:iCs w:val="0"/>
          <w:spacing w:val="0"/>
        </w:rPr>
      </w:pPr>
      <w:r>
        <w:rPr>
          <w:b w:val="0"/>
          <w:bCs w:val="0"/>
          <w:i w:val="0"/>
          <w:iCs w:val="0"/>
          <w:color w:val="000000"/>
          <w:spacing w:val="0"/>
          <w:sz w:val="18"/>
          <w:szCs w:val="18"/>
          <w:lang w:eastAsia="zh-CN"/>
        </w:rPr>
        <w:t>　　坚持以习近平新时代中国特色社会主义思想为指导，全面贯彻党的十九大和十九届历次全会精神，深入贯彻落实习近平总书记关于残疾人事业的重要指示批示和对内蒙古系列重要讲话精神，按照中央、自治区、市决策部署，以推动残疾人事业高质量发展为主题，以巩固拓展残疾人脱贫攻坚成果、促进残疾人全面发展和共同富裕为主线，立足新发展阶段，贯彻新发展理念，进一步提升残疾人生活品质，促进残疾人融合发展、全面发展和共同富裕，让残疾人生活的更加殷实、更有尊严，推动全旗残疾人事业再上新台阶。</w:t>
      </w:r>
    </w:p>
    <w:p w14:paraId="0BC8E0E0">
      <w:pPr>
        <w:pStyle w:val="5"/>
        <w:keepNext w:val="0"/>
        <w:keepLines w:val="0"/>
        <w:widowControl/>
        <w:suppressLineNumbers w:val="0"/>
        <w:spacing w:before="0" w:beforeAutospacing="1" w:after="0" w:afterAutospacing="0" w:line="386" w:lineRule="atLeast"/>
        <w:ind w:left="0" w:right="0"/>
        <w:jc w:val="both"/>
        <w:rPr>
          <w:b w:val="0"/>
          <w:bCs w:val="0"/>
          <w:i w:val="0"/>
          <w:iCs w:val="0"/>
          <w:spacing w:val="0"/>
        </w:rPr>
      </w:pPr>
      <w:r>
        <w:rPr>
          <w:b w:val="0"/>
          <w:bCs w:val="0"/>
          <w:i w:val="0"/>
          <w:iCs w:val="0"/>
          <w:color w:val="000000"/>
          <w:spacing w:val="0"/>
          <w:sz w:val="18"/>
          <w:szCs w:val="18"/>
          <w:lang w:eastAsia="zh-CN"/>
        </w:rPr>
        <w:t>　　（二）基本原则</w:t>
      </w:r>
    </w:p>
    <w:p w14:paraId="20C38574">
      <w:pPr>
        <w:pStyle w:val="5"/>
        <w:keepNext w:val="0"/>
        <w:keepLines w:val="0"/>
        <w:widowControl/>
        <w:suppressLineNumbers w:val="0"/>
        <w:spacing w:before="0" w:beforeAutospacing="1" w:after="0" w:afterAutospacing="0" w:line="386" w:lineRule="atLeast"/>
        <w:ind w:left="0" w:right="0"/>
        <w:jc w:val="both"/>
        <w:rPr>
          <w:b w:val="0"/>
          <w:bCs w:val="0"/>
          <w:i w:val="0"/>
          <w:iCs w:val="0"/>
          <w:spacing w:val="0"/>
        </w:rPr>
      </w:pPr>
      <w:r>
        <w:rPr>
          <w:b w:val="0"/>
          <w:bCs w:val="0"/>
          <w:i w:val="0"/>
          <w:iCs w:val="0"/>
          <w:color w:val="000000"/>
          <w:spacing w:val="0"/>
          <w:sz w:val="18"/>
          <w:szCs w:val="18"/>
          <w:lang w:eastAsia="zh-CN"/>
        </w:rPr>
        <w:t>　　坚持党的领导。完善党委领导、政府负责的残疾人工作领导体制，为残疾人事业发展提供坚强的政治保障、组织保障。</w:t>
      </w:r>
    </w:p>
    <w:p w14:paraId="2C95619B">
      <w:pPr>
        <w:pStyle w:val="5"/>
        <w:keepNext w:val="0"/>
        <w:keepLines w:val="0"/>
        <w:widowControl/>
        <w:suppressLineNumbers w:val="0"/>
        <w:spacing w:before="0" w:beforeAutospacing="1" w:after="0" w:afterAutospacing="0" w:line="386" w:lineRule="atLeast"/>
        <w:ind w:left="0" w:right="0"/>
        <w:jc w:val="both"/>
        <w:rPr>
          <w:b w:val="0"/>
          <w:bCs w:val="0"/>
          <w:i w:val="0"/>
          <w:iCs w:val="0"/>
          <w:spacing w:val="0"/>
        </w:rPr>
      </w:pPr>
      <w:r>
        <w:rPr>
          <w:b w:val="0"/>
          <w:bCs w:val="0"/>
          <w:i w:val="0"/>
          <w:iCs w:val="0"/>
          <w:color w:val="000000"/>
          <w:spacing w:val="0"/>
          <w:sz w:val="18"/>
          <w:szCs w:val="18"/>
          <w:lang w:eastAsia="zh-CN"/>
        </w:rPr>
        <w:t>　　坚持以人为本。格外关注残疾人的物质文化和精神需要，切实保障残疾人的经济、政治和文化权益，让经济社会发展的成果惠及到每个残疾人。</w:t>
      </w:r>
    </w:p>
    <w:p w14:paraId="43B4979E">
      <w:pPr>
        <w:pStyle w:val="5"/>
        <w:keepNext w:val="0"/>
        <w:keepLines w:val="0"/>
        <w:widowControl/>
        <w:suppressLineNumbers w:val="0"/>
        <w:spacing w:before="0" w:beforeAutospacing="1" w:after="0" w:afterAutospacing="0" w:line="386" w:lineRule="atLeast"/>
        <w:ind w:left="0" w:right="0"/>
        <w:jc w:val="both"/>
        <w:rPr>
          <w:b w:val="0"/>
          <w:bCs w:val="0"/>
          <w:i w:val="0"/>
          <w:iCs w:val="0"/>
          <w:spacing w:val="0"/>
        </w:rPr>
      </w:pPr>
      <w:r>
        <w:rPr>
          <w:b w:val="0"/>
          <w:bCs w:val="0"/>
          <w:i w:val="0"/>
          <w:iCs w:val="0"/>
          <w:color w:val="000000"/>
          <w:spacing w:val="0"/>
          <w:sz w:val="18"/>
          <w:szCs w:val="18"/>
          <w:lang w:eastAsia="zh-CN"/>
        </w:rPr>
        <w:t>　　坚持依法发展。深入贯彻落实残疾人权益保障的法律法规，进一步完善扶残助残政策体系，推动残疾人权益全面落实，提高残疾人事业法治化水平。</w:t>
      </w:r>
    </w:p>
    <w:p w14:paraId="49BD289F">
      <w:pPr>
        <w:pStyle w:val="5"/>
        <w:keepNext w:val="0"/>
        <w:keepLines w:val="0"/>
        <w:widowControl/>
        <w:suppressLineNumbers w:val="0"/>
        <w:spacing w:before="0" w:beforeAutospacing="1" w:after="0" w:afterAutospacing="0" w:line="386" w:lineRule="atLeast"/>
        <w:ind w:left="0" w:right="0"/>
        <w:jc w:val="both"/>
        <w:rPr>
          <w:b w:val="0"/>
          <w:bCs w:val="0"/>
          <w:i w:val="0"/>
          <w:iCs w:val="0"/>
          <w:spacing w:val="0"/>
        </w:rPr>
      </w:pPr>
      <w:r>
        <w:rPr>
          <w:b w:val="0"/>
          <w:bCs w:val="0"/>
          <w:i w:val="0"/>
          <w:iCs w:val="0"/>
          <w:color w:val="000000"/>
          <w:spacing w:val="0"/>
          <w:sz w:val="18"/>
          <w:szCs w:val="18"/>
          <w:lang w:eastAsia="zh-CN"/>
        </w:rPr>
        <w:t>　　坚持底线保障。健全和完善残疾人社会福利制度和关爱服务体系，织密扎牢残疾人民生保障安全网，堵漏洞、补短板、强弱项，改善残疾人生活品质，促进残疾人共享经济社会发展成果。</w:t>
      </w:r>
    </w:p>
    <w:p w14:paraId="09B74AEB">
      <w:pPr>
        <w:pStyle w:val="5"/>
        <w:keepNext w:val="0"/>
        <w:keepLines w:val="0"/>
        <w:widowControl/>
        <w:suppressLineNumbers w:val="0"/>
        <w:spacing w:before="0" w:beforeAutospacing="1" w:after="0" w:afterAutospacing="0" w:line="386" w:lineRule="atLeast"/>
        <w:ind w:left="0" w:right="0"/>
        <w:jc w:val="both"/>
        <w:rPr>
          <w:b w:val="0"/>
          <w:bCs w:val="0"/>
          <w:i w:val="0"/>
          <w:iCs w:val="0"/>
          <w:spacing w:val="0"/>
        </w:rPr>
      </w:pPr>
      <w:r>
        <w:rPr>
          <w:b w:val="0"/>
          <w:bCs w:val="0"/>
          <w:i w:val="0"/>
          <w:iCs w:val="0"/>
          <w:color w:val="000000"/>
          <w:spacing w:val="0"/>
          <w:sz w:val="18"/>
          <w:szCs w:val="18"/>
          <w:lang w:eastAsia="zh-CN"/>
        </w:rPr>
        <w:t>　　坚持统筹协调。发挥政府主导作用和社会力量、市场主体协同作用，鼓励社会力量参与，提升和优化残疾人服务供给，满足残疾人多样化、多层次需求。</w:t>
      </w:r>
    </w:p>
    <w:p w14:paraId="2CBFC60A">
      <w:pPr>
        <w:pStyle w:val="5"/>
        <w:keepNext w:val="0"/>
        <w:keepLines w:val="0"/>
        <w:widowControl/>
        <w:suppressLineNumbers w:val="0"/>
        <w:spacing w:before="0" w:beforeAutospacing="1" w:after="0" w:afterAutospacing="0" w:line="386" w:lineRule="atLeast"/>
        <w:ind w:left="0" w:right="0"/>
        <w:jc w:val="both"/>
        <w:rPr>
          <w:b w:val="0"/>
          <w:bCs w:val="0"/>
          <w:i w:val="0"/>
          <w:iCs w:val="0"/>
          <w:spacing w:val="0"/>
        </w:rPr>
      </w:pPr>
      <w:r>
        <w:rPr>
          <w:b w:val="0"/>
          <w:bCs w:val="0"/>
          <w:i w:val="0"/>
          <w:iCs w:val="0"/>
          <w:color w:val="000000"/>
          <w:spacing w:val="0"/>
          <w:sz w:val="18"/>
          <w:szCs w:val="18"/>
          <w:lang w:eastAsia="zh-CN"/>
        </w:rPr>
        <w:t>　　（三）主要目标</w:t>
      </w:r>
    </w:p>
    <w:p w14:paraId="24C05F74">
      <w:pPr>
        <w:pStyle w:val="5"/>
        <w:keepNext w:val="0"/>
        <w:keepLines w:val="0"/>
        <w:widowControl/>
        <w:suppressLineNumbers w:val="0"/>
        <w:spacing w:before="0" w:beforeAutospacing="1" w:after="0" w:afterAutospacing="0" w:line="386" w:lineRule="atLeast"/>
        <w:ind w:left="0" w:right="0"/>
        <w:jc w:val="both"/>
        <w:rPr>
          <w:spacing w:val="0"/>
        </w:rPr>
      </w:pPr>
      <w:r>
        <w:rPr>
          <w:b w:val="0"/>
          <w:bCs w:val="0"/>
          <w:i w:val="0"/>
          <w:iCs w:val="0"/>
          <w:color w:val="000000"/>
          <w:spacing w:val="0"/>
          <w:sz w:val="18"/>
          <w:szCs w:val="18"/>
          <w:lang w:eastAsia="zh-CN"/>
        </w:rPr>
        <w:t>　　到</w:t>
      </w:r>
      <w:r>
        <w:rPr>
          <w:rFonts w:hint="default" w:ascii="Calibri" w:hAnsi="Calibri" w:cs="Calibri"/>
          <w:b w:val="0"/>
          <w:bCs w:val="0"/>
          <w:i w:val="0"/>
          <w:iCs w:val="0"/>
          <w:color w:val="000000"/>
          <w:spacing w:val="0"/>
          <w:sz w:val="18"/>
          <w:szCs w:val="18"/>
          <w:lang w:val="en-US"/>
        </w:rPr>
        <w:t>2025</w:t>
      </w:r>
      <w:r>
        <w:rPr>
          <w:b w:val="0"/>
          <w:bCs w:val="0"/>
          <w:i w:val="0"/>
          <w:iCs w:val="0"/>
          <w:color w:val="000000"/>
          <w:spacing w:val="0"/>
          <w:sz w:val="18"/>
          <w:szCs w:val="18"/>
          <w:lang w:eastAsia="zh-CN"/>
        </w:rPr>
        <w:t>年，残疾人脱贫攻坚成果巩固拓展，生活品质得到新改善，民生福祉达到新水平。多层次的残疾人社会保障制度基本建立，残疾人基本民生得到稳定保障，重度残疾人得到更好照护。多形式的残疾人就业支持体系基本形成，残疾人实现较为充分较高质量的就业。均等化的残疾人基本公共服务体系更加完备，残疾人思想道德素养、科学文化素质和身心健康水平明显提高。无障碍环境持续优化，残疾人在政治、经济、文化、社会、家庭生活等各方面平等权利得到更好实现。残疾人事业基础保障条件明显改善，质量效益不断提升。</w:t>
      </w:r>
    </w:p>
    <w:p w14:paraId="37E91F92">
      <w:pPr>
        <w:pStyle w:val="5"/>
        <w:keepNext w:val="0"/>
        <w:keepLines w:val="0"/>
        <w:widowControl/>
        <w:suppressLineNumbers w:val="0"/>
        <w:spacing w:before="0" w:beforeAutospacing="1" w:after="0" w:afterAutospacing="0" w:line="386" w:lineRule="atLeast"/>
        <w:ind w:left="0" w:right="0"/>
        <w:jc w:val="both"/>
        <w:rPr>
          <w:spacing w:val="0"/>
        </w:rPr>
      </w:pPr>
      <w:r>
        <w:rPr>
          <w:b w:val="0"/>
          <w:bCs w:val="0"/>
          <w:i w:val="0"/>
          <w:iCs w:val="0"/>
          <w:color w:val="000000"/>
          <w:spacing w:val="0"/>
          <w:sz w:val="18"/>
          <w:szCs w:val="18"/>
          <w:lang w:eastAsia="zh-CN"/>
        </w:rPr>
        <w:t>　　到</w:t>
      </w:r>
      <w:r>
        <w:rPr>
          <w:rFonts w:hint="default" w:ascii="Calibri" w:hAnsi="Calibri" w:cs="Calibri"/>
          <w:b w:val="0"/>
          <w:bCs w:val="0"/>
          <w:i w:val="0"/>
          <w:iCs w:val="0"/>
          <w:color w:val="000000"/>
          <w:spacing w:val="0"/>
          <w:sz w:val="18"/>
          <w:szCs w:val="18"/>
          <w:lang w:val="en-US"/>
        </w:rPr>
        <w:t>2035</w:t>
      </w:r>
      <w:r>
        <w:rPr>
          <w:b w:val="0"/>
          <w:bCs w:val="0"/>
          <w:i w:val="0"/>
          <w:iCs w:val="0"/>
          <w:color w:val="000000"/>
          <w:spacing w:val="0"/>
          <w:sz w:val="18"/>
          <w:szCs w:val="18"/>
          <w:lang w:eastAsia="zh-CN"/>
        </w:rPr>
        <w:t>年，残疾人事业与经济社会协调发展，与国家基本实现现代化目标相适应。残疾人物质生活更为宽裕，精神生活更为丰富，与社会平均水平的差距显著缩小。平等包容的社会氛围更加浓厚，残疾人充分享有平等参与、公平发展的权利，残疾人的全面发展和共同富裕取得更为明显的实质性进展。</w:t>
      </w:r>
    </w:p>
    <w:p w14:paraId="52C4A099">
      <w:pPr>
        <w:pStyle w:val="5"/>
        <w:keepNext w:val="0"/>
        <w:keepLines w:val="0"/>
        <w:widowControl/>
        <w:suppressLineNumbers w:val="0"/>
        <w:spacing w:before="0" w:beforeAutospacing="1" w:after="0" w:afterAutospacing="0" w:line="386" w:lineRule="atLeast"/>
        <w:ind w:left="0" w:right="0"/>
        <w:jc w:val="both"/>
        <w:rPr>
          <w:spacing w:val="0"/>
        </w:rPr>
      </w:pPr>
      <w:r>
        <w:rPr>
          <w:b w:val="0"/>
          <w:bCs w:val="0"/>
          <w:i w:val="0"/>
          <w:iCs w:val="0"/>
          <w:color w:val="000000"/>
          <w:spacing w:val="0"/>
          <w:sz w:val="18"/>
          <w:szCs w:val="18"/>
          <w:lang w:eastAsia="zh-CN"/>
        </w:rPr>
        <w:t>　　专栏</w:t>
      </w:r>
      <w:r>
        <w:rPr>
          <w:rFonts w:hint="default" w:ascii="Calibri" w:hAnsi="Calibri" w:cs="Calibri"/>
          <w:b w:val="0"/>
          <w:bCs w:val="0"/>
          <w:i w:val="0"/>
          <w:iCs w:val="0"/>
          <w:color w:val="000000"/>
          <w:spacing w:val="0"/>
          <w:sz w:val="18"/>
          <w:szCs w:val="18"/>
          <w:lang w:val="en-US"/>
        </w:rPr>
        <w:t>1  </w:t>
      </w:r>
      <w:r>
        <w:rPr>
          <w:b w:val="0"/>
          <w:bCs w:val="0"/>
          <w:i w:val="0"/>
          <w:iCs w:val="0"/>
          <w:color w:val="000000"/>
          <w:spacing w:val="0"/>
          <w:sz w:val="18"/>
          <w:szCs w:val="18"/>
          <w:lang w:eastAsia="zh-CN"/>
        </w:rPr>
        <w:t>“十四五”残疾人事业发展主要指标</w:t>
      </w:r>
    </w:p>
    <w:p w14:paraId="397F846D">
      <w:pPr>
        <w:pStyle w:val="5"/>
        <w:keepNext w:val="0"/>
        <w:keepLines w:val="0"/>
        <w:widowControl/>
        <w:suppressLineNumbers w:val="0"/>
        <w:spacing w:before="0" w:beforeAutospacing="1" w:after="0" w:afterAutospacing="0" w:line="386" w:lineRule="atLeast"/>
        <w:ind w:left="0" w:right="0"/>
        <w:jc w:val="both"/>
        <w:rPr>
          <w:b w:val="0"/>
          <w:bCs w:val="0"/>
          <w:i w:val="0"/>
          <w:iCs w:val="0"/>
          <w:spacing w:val="0"/>
        </w:rPr>
      </w:pPr>
      <w:r>
        <w:rPr>
          <w:b w:val="0"/>
          <w:bCs w:val="0"/>
          <w:i w:val="0"/>
          <w:iCs w:val="0"/>
          <w:color w:val="000000"/>
          <w:spacing w:val="0"/>
          <w:sz w:val="18"/>
          <w:szCs w:val="18"/>
          <w:lang w:eastAsia="zh-CN"/>
        </w:rPr>
        <w:t>　　</w:t>
      </w:r>
    </w:p>
    <w:tbl>
      <w:tblPr>
        <w:tblStyle w:val="3"/>
        <w:tblW w:w="1038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0" w:type="dxa"/>
          <w:left w:w="30" w:type="dxa"/>
          <w:bottom w:w="30" w:type="dxa"/>
          <w:right w:w="30" w:type="dxa"/>
        </w:tblCellMar>
      </w:tblPr>
      <w:tblGrid>
        <w:gridCol w:w="6649"/>
        <w:gridCol w:w="1735"/>
        <w:gridCol w:w="1996"/>
      </w:tblGrid>
      <w:tr w14:paraId="7990E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0" w:type="dxa"/>
            <w:left w:w="30" w:type="dxa"/>
            <w:bottom w:w="30" w:type="dxa"/>
            <w:right w:w="30" w:type="dxa"/>
          </w:tblCellMar>
        </w:tblPrEx>
        <w:trPr>
          <w:tblCellSpacing w:w="0" w:type="dxa"/>
          <w:jc w:val="center"/>
        </w:trPr>
        <w:tc>
          <w:tcPr>
            <w:tcW w:w="6495" w:type="dxa"/>
            <w:tcBorders>
              <w:top w:val="single" w:color="000000" w:sz="8" w:space="0"/>
              <w:left w:val="single" w:color="000000" w:sz="8" w:space="0"/>
              <w:bottom w:val="single" w:color="000000" w:sz="8" w:space="0"/>
              <w:right w:val="single" w:color="000000" w:sz="8" w:space="0"/>
            </w:tcBorders>
            <w:shd w:val="clear" w:color="auto" w:fill="auto"/>
            <w:tcMar>
              <w:top w:w="28" w:type="dxa"/>
              <w:left w:w="108" w:type="dxa"/>
              <w:bottom w:w="28" w:type="dxa"/>
              <w:right w:w="108" w:type="dxa"/>
            </w:tcMar>
            <w:vAlign w:val="center"/>
          </w:tcPr>
          <w:p w14:paraId="75499856">
            <w:pPr>
              <w:pStyle w:val="2"/>
              <w:keepNext w:val="0"/>
              <w:keepLines w:val="0"/>
              <w:widowControl/>
              <w:suppressLineNumbers w:val="0"/>
            </w:pPr>
            <w:r>
              <w:rPr>
                <w:rFonts w:ascii="Arial" w:hAnsi="Arial" w:cs="Arial"/>
                <w:sz w:val="24"/>
                <w:szCs w:val="24"/>
              </w:rPr>
              <w:t>指标</w:t>
            </w:r>
          </w:p>
        </w:tc>
        <w:tc>
          <w:tcPr>
            <w:tcW w:w="1695" w:type="dxa"/>
            <w:tcBorders>
              <w:top w:val="single" w:color="000000" w:sz="8" w:space="0"/>
              <w:left w:val="nil"/>
              <w:bottom w:val="single" w:color="000000" w:sz="8" w:space="0"/>
              <w:right w:val="single" w:color="000000" w:sz="8" w:space="0"/>
            </w:tcBorders>
            <w:shd w:val="clear" w:color="auto" w:fill="auto"/>
            <w:tcMar>
              <w:top w:w="28" w:type="dxa"/>
              <w:left w:w="0" w:type="dxa"/>
              <w:bottom w:w="28" w:type="dxa"/>
              <w:right w:w="108" w:type="dxa"/>
            </w:tcMar>
            <w:vAlign w:val="center"/>
          </w:tcPr>
          <w:p w14:paraId="50A6E0CA">
            <w:pPr>
              <w:pStyle w:val="2"/>
              <w:keepNext w:val="0"/>
              <w:keepLines w:val="0"/>
              <w:widowControl/>
              <w:suppressLineNumbers w:val="0"/>
            </w:pPr>
            <w:r>
              <w:rPr>
                <w:rFonts w:hint="default" w:ascii="Arial" w:hAnsi="Arial" w:cs="Arial"/>
                <w:sz w:val="24"/>
                <w:szCs w:val="24"/>
              </w:rPr>
              <w:t>　　　　</w:t>
            </w:r>
            <w:r>
              <w:rPr>
                <w:rFonts w:hint="default" w:ascii="Times New Roman" w:hAnsi="Times New Roman" w:cs="Times New Roman"/>
                <w:sz w:val="24"/>
                <w:szCs w:val="24"/>
                <w:lang w:val="en-US"/>
              </w:rPr>
              <w:t>2025</w:t>
            </w:r>
            <w:r>
              <w:rPr>
                <w:rFonts w:hint="eastAsia" w:ascii="宋体" w:hAnsi="宋体" w:eastAsia="宋体" w:cs="宋体"/>
                <w:sz w:val="24"/>
                <w:szCs w:val="24"/>
              </w:rPr>
              <w:t>年</w:t>
            </w:r>
          </w:p>
        </w:tc>
        <w:tc>
          <w:tcPr>
            <w:tcW w:w="1950" w:type="dxa"/>
            <w:tcBorders>
              <w:top w:val="single" w:color="000000" w:sz="8" w:space="0"/>
              <w:left w:val="nil"/>
              <w:bottom w:val="single" w:color="000000" w:sz="8" w:space="0"/>
              <w:right w:val="single" w:color="000000" w:sz="8" w:space="0"/>
            </w:tcBorders>
            <w:shd w:val="clear" w:color="auto" w:fill="auto"/>
            <w:tcMar>
              <w:top w:w="28" w:type="dxa"/>
              <w:left w:w="0" w:type="dxa"/>
              <w:bottom w:w="28" w:type="dxa"/>
              <w:right w:w="108" w:type="dxa"/>
            </w:tcMar>
            <w:vAlign w:val="center"/>
          </w:tcPr>
          <w:p w14:paraId="4DC79C2B">
            <w:pPr>
              <w:pStyle w:val="2"/>
              <w:keepNext w:val="0"/>
              <w:keepLines w:val="0"/>
              <w:widowControl/>
              <w:suppressLineNumbers w:val="0"/>
            </w:pPr>
            <w:r>
              <w:rPr>
                <w:rFonts w:hint="default" w:ascii="Arial" w:hAnsi="Arial" w:cs="Arial"/>
                <w:sz w:val="24"/>
                <w:szCs w:val="24"/>
              </w:rPr>
              <w:t>　　　　属性</w:t>
            </w:r>
          </w:p>
        </w:tc>
      </w:tr>
      <w:tr w14:paraId="4E37D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tblCellSpacing w:w="0" w:type="dxa"/>
          <w:jc w:val="center"/>
        </w:trPr>
        <w:tc>
          <w:tcPr>
            <w:tcW w:w="6495" w:type="dxa"/>
            <w:tcBorders>
              <w:top w:val="nil"/>
              <w:left w:val="single" w:color="000000" w:sz="8" w:space="0"/>
              <w:bottom w:val="single" w:color="000000" w:sz="8" w:space="0"/>
              <w:right w:val="single" w:color="000000" w:sz="8" w:space="0"/>
            </w:tcBorders>
            <w:shd w:val="clear" w:color="auto" w:fill="auto"/>
            <w:tcMar>
              <w:top w:w="0" w:type="dxa"/>
              <w:left w:w="108" w:type="dxa"/>
              <w:bottom w:w="28" w:type="dxa"/>
              <w:right w:w="108" w:type="dxa"/>
            </w:tcMar>
            <w:vAlign w:val="center"/>
          </w:tcPr>
          <w:p w14:paraId="681C55F3">
            <w:pPr>
              <w:pStyle w:val="2"/>
              <w:keepNext w:val="0"/>
              <w:keepLines w:val="0"/>
              <w:widowControl/>
              <w:suppressLineNumbers w:val="0"/>
            </w:pPr>
            <w:r>
              <w:rPr>
                <w:rFonts w:hint="default" w:ascii="Arial" w:hAnsi="Arial" w:cs="Arial"/>
                <w:sz w:val="24"/>
                <w:szCs w:val="24"/>
              </w:rPr>
              <w:t>　　　　</w:t>
            </w:r>
            <w:r>
              <w:rPr>
                <w:rFonts w:hint="default" w:ascii="Times New Roman" w:hAnsi="Times New Roman" w:cs="Times New Roman"/>
                <w:sz w:val="24"/>
                <w:szCs w:val="24"/>
                <w:lang w:val="en-US"/>
              </w:rPr>
              <w:t>1.</w:t>
            </w:r>
            <w:r>
              <w:rPr>
                <w:rFonts w:hint="eastAsia" w:ascii="宋体" w:hAnsi="宋体" w:eastAsia="宋体" w:cs="宋体"/>
                <w:sz w:val="24"/>
                <w:szCs w:val="24"/>
              </w:rPr>
              <w:t>残疾人家庭人均年收入增速（</w:t>
            </w:r>
            <w:r>
              <w:rPr>
                <w:rFonts w:hint="default" w:ascii="Times New Roman" w:hAnsi="Times New Roman" w:cs="Times New Roman"/>
                <w:sz w:val="24"/>
                <w:szCs w:val="24"/>
                <w:lang w:val="en-US"/>
              </w:rPr>
              <w:t>%</w:t>
            </w:r>
            <w:r>
              <w:rPr>
                <w:rFonts w:hint="eastAsia" w:ascii="宋体" w:hAnsi="宋体" w:eastAsia="宋体" w:cs="宋体"/>
                <w:sz w:val="24"/>
                <w:szCs w:val="24"/>
              </w:rPr>
              <w:t>）</w:t>
            </w:r>
          </w:p>
        </w:tc>
        <w:tc>
          <w:tcPr>
            <w:tcW w:w="1695" w:type="dxa"/>
            <w:tcBorders>
              <w:top w:val="nil"/>
              <w:left w:val="nil"/>
              <w:bottom w:val="single" w:color="000000" w:sz="8" w:space="0"/>
              <w:right w:val="single" w:color="000000" w:sz="8" w:space="0"/>
            </w:tcBorders>
            <w:shd w:val="clear" w:color="auto" w:fill="auto"/>
            <w:tcMar>
              <w:top w:w="0" w:type="dxa"/>
              <w:left w:w="0" w:type="dxa"/>
              <w:bottom w:w="28" w:type="dxa"/>
              <w:right w:w="108" w:type="dxa"/>
            </w:tcMar>
            <w:vAlign w:val="center"/>
          </w:tcPr>
          <w:p w14:paraId="40229D0F">
            <w:pPr>
              <w:pStyle w:val="2"/>
              <w:keepNext w:val="0"/>
              <w:keepLines w:val="0"/>
              <w:widowControl/>
              <w:suppressLineNumbers w:val="0"/>
            </w:pPr>
            <w:r>
              <w:rPr>
                <w:rFonts w:hint="default" w:ascii="Arial" w:hAnsi="Arial" w:cs="Arial"/>
                <w:sz w:val="24"/>
                <w:szCs w:val="24"/>
              </w:rPr>
              <w:t>　　　　</w:t>
            </w:r>
            <w:r>
              <w:rPr>
                <w:rFonts w:hint="default" w:ascii="Times New Roman" w:hAnsi="Times New Roman" w:cs="Times New Roman"/>
                <w:sz w:val="24"/>
                <w:szCs w:val="24"/>
                <w:lang w:val="en-US"/>
              </w:rPr>
              <w:t>&gt;7.5</w:t>
            </w:r>
          </w:p>
        </w:tc>
        <w:tc>
          <w:tcPr>
            <w:tcW w:w="1950" w:type="dxa"/>
            <w:tcBorders>
              <w:top w:val="nil"/>
              <w:left w:val="nil"/>
              <w:bottom w:val="single" w:color="000000" w:sz="8" w:space="0"/>
              <w:right w:val="single" w:color="000000" w:sz="8" w:space="0"/>
            </w:tcBorders>
            <w:shd w:val="clear" w:color="auto" w:fill="auto"/>
            <w:tcMar>
              <w:top w:w="0" w:type="dxa"/>
              <w:left w:w="0" w:type="dxa"/>
              <w:bottom w:w="28" w:type="dxa"/>
              <w:right w:w="108" w:type="dxa"/>
            </w:tcMar>
            <w:vAlign w:val="center"/>
          </w:tcPr>
          <w:p w14:paraId="7F76540D">
            <w:pPr>
              <w:pStyle w:val="2"/>
              <w:keepNext w:val="0"/>
              <w:keepLines w:val="0"/>
              <w:widowControl/>
              <w:suppressLineNumbers w:val="0"/>
            </w:pPr>
            <w:r>
              <w:rPr>
                <w:rFonts w:hint="default" w:ascii="Arial" w:hAnsi="Arial" w:cs="Arial"/>
                <w:sz w:val="24"/>
                <w:szCs w:val="24"/>
              </w:rPr>
              <w:t>　　　　预期性</w:t>
            </w:r>
          </w:p>
        </w:tc>
      </w:tr>
      <w:tr w14:paraId="7CF5C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tblCellSpacing w:w="0" w:type="dxa"/>
          <w:jc w:val="center"/>
        </w:trPr>
        <w:tc>
          <w:tcPr>
            <w:tcW w:w="6495" w:type="dxa"/>
            <w:tcBorders>
              <w:top w:val="nil"/>
              <w:left w:val="single" w:color="000000" w:sz="8" w:space="0"/>
              <w:bottom w:val="single" w:color="000000" w:sz="8" w:space="0"/>
              <w:right w:val="single" w:color="000000" w:sz="8" w:space="0"/>
            </w:tcBorders>
            <w:shd w:val="clear" w:color="auto" w:fill="auto"/>
            <w:tcMar>
              <w:top w:w="0" w:type="dxa"/>
              <w:left w:w="108" w:type="dxa"/>
              <w:bottom w:w="28" w:type="dxa"/>
              <w:right w:w="108" w:type="dxa"/>
            </w:tcMar>
            <w:vAlign w:val="center"/>
          </w:tcPr>
          <w:p w14:paraId="2992C837">
            <w:pPr>
              <w:pStyle w:val="2"/>
              <w:keepNext w:val="0"/>
              <w:keepLines w:val="0"/>
              <w:widowControl/>
              <w:suppressLineNumbers w:val="0"/>
            </w:pPr>
            <w:r>
              <w:rPr>
                <w:rFonts w:hint="default" w:ascii="Arial" w:hAnsi="Arial" w:cs="Arial"/>
                <w:sz w:val="24"/>
                <w:szCs w:val="24"/>
              </w:rPr>
              <w:t>　　　　</w:t>
            </w:r>
            <w:r>
              <w:rPr>
                <w:rFonts w:hint="default" w:ascii="Times New Roman" w:hAnsi="Times New Roman" w:cs="Times New Roman"/>
                <w:sz w:val="24"/>
                <w:szCs w:val="24"/>
                <w:lang w:val="en-US"/>
              </w:rPr>
              <w:t>2.</w:t>
            </w:r>
            <w:r>
              <w:rPr>
                <w:rFonts w:hint="eastAsia" w:ascii="宋体" w:hAnsi="宋体" w:eastAsia="宋体" w:cs="宋体"/>
                <w:sz w:val="24"/>
                <w:szCs w:val="24"/>
              </w:rPr>
              <w:t>城乡残疾人职业技能培训人数（人）</w:t>
            </w:r>
          </w:p>
        </w:tc>
        <w:tc>
          <w:tcPr>
            <w:tcW w:w="1695" w:type="dxa"/>
            <w:tcBorders>
              <w:top w:val="nil"/>
              <w:left w:val="nil"/>
              <w:bottom w:val="single" w:color="000000" w:sz="8" w:space="0"/>
              <w:right w:val="single" w:color="000000" w:sz="8" w:space="0"/>
            </w:tcBorders>
            <w:shd w:val="clear" w:color="auto" w:fill="auto"/>
            <w:tcMar>
              <w:top w:w="0" w:type="dxa"/>
              <w:left w:w="0" w:type="dxa"/>
              <w:bottom w:w="28" w:type="dxa"/>
              <w:right w:w="108" w:type="dxa"/>
            </w:tcMar>
            <w:vAlign w:val="center"/>
          </w:tcPr>
          <w:p w14:paraId="25D86778">
            <w:pPr>
              <w:pStyle w:val="2"/>
              <w:keepNext w:val="0"/>
              <w:keepLines w:val="0"/>
              <w:widowControl/>
              <w:suppressLineNumbers w:val="0"/>
            </w:pPr>
            <w:r>
              <w:rPr>
                <w:rFonts w:hint="default" w:ascii="Arial" w:hAnsi="Arial" w:cs="Arial"/>
                <w:sz w:val="24"/>
                <w:szCs w:val="24"/>
              </w:rPr>
              <w:t>　　　　</w:t>
            </w:r>
            <w:r>
              <w:rPr>
                <w:rFonts w:hint="default" w:ascii="Times New Roman" w:hAnsi="Times New Roman" w:cs="Times New Roman"/>
                <w:sz w:val="24"/>
                <w:szCs w:val="24"/>
                <w:lang w:val="en-US"/>
              </w:rPr>
              <w:t>&gt;300</w:t>
            </w:r>
          </w:p>
        </w:tc>
        <w:tc>
          <w:tcPr>
            <w:tcW w:w="1950" w:type="dxa"/>
            <w:tcBorders>
              <w:top w:val="nil"/>
              <w:left w:val="nil"/>
              <w:bottom w:val="single" w:color="000000" w:sz="8" w:space="0"/>
              <w:right w:val="single" w:color="000000" w:sz="8" w:space="0"/>
            </w:tcBorders>
            <w:shd w:val="clear" w:color="auto" w:fill="auto"/>
            <w:tcMar>
              <w:top w:w="0" w:type="dxa"/>
              <w:left w:w="0" w:type="dxa"/>
              <w:bottom w:w="28" w:type="dxa"/>
              <w:right w:w="108" w:type="dxa"/>
            </w:tcMar>
            <w:vAlign w:val="center"/>
          </w:tcPr>
          <w:p w14:paraId="2068D09A">
            <w:pPr>
              <w:pStyle w:val="2"/>
              <w:keepNext w:val="0"/>
              <w:keepLines w:val="0"/>
              <w:widowControl/>
              <w:suppressLineNumbers w:val="0"/>
            </w:pPr>
            <w:r>
              <w:rPr>
                <w:rFonts w:hint="default" w:ascii="Arial" w:hAnsi="Arial" w:cs="Arial"/>
                <w:sz w:val="24"/>
                <w:szCs w:val="24"/>
              </w:rPr>
              <w:t>　　　　预期性</w:t>
            </w:r>
          </w:p>
        </w:tc>
      </w:tr>
      <w:tr w14:paraId="329DB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tblCellSpacing w:w="0" w:type="dxa"/>
          <w:jc w:val="center"/>
        </w:trPr>
        <w:tc>
          <w:tcPr>
            <w:tcW w:w="6495" w:type="dxa"/>
            <w:tcBorders>
              <w:top w:val="nil"/>
              <w:left w:val="single" w:color="000000" w:sz="8" w:space="0"/>
              <w:bottom w:val="single" w:color="000000" w:sz="8" w:space="0"/>
              <w:right w:val="single" w:color="000000" w:sz="8" w:space="0"/>
            </w:tcBorders>
            <w:shd w:val="clear" w:color="auto" w:fill="auto"/>
            <w:tcMar>
              <w:top w:w="0" w:type="dxa"/>
              <w:left w:w="108" w:type="dxa"/>
              <w:bottom w:w="28" w:type="dxa"/>
              <w:right w:w="108" w:type="dxa"/>
            </w:tcMar>
            <w:vAlign w:val="center"/>
          </w:tcPr>
          <w:p w14:paraId="64155DE9">
            <w:pPr>
              <w:pStyle w:val="2"/>
              <w:keepNext w:val="0"/>
              <w:keepLines w:val="0"/>
              <w:widowControl/>
              <w:suppressLineNumbers w:val="0"/>
            </w:pPr>
            <w:r>
              <w:rPr>
                <w:rFonts w:hint="default" w:ascii="Arial" w:hAnsi="Arial" w:cs="Arial"/>
                <w:sz w:val="24"/>
                <w:szCs w:val="24"/>
              </w:rPr>
              <w:t>　　　　</w:t>
            </w:r>
            <w:r>
              <w:rPr>
                <w:rFonts w:hint="default" w:ascii="Times New Roman" w:hAnsi="Times New Roman" w:cs="Times New Roman"/>
                <w:sz w:val="24"/>
                <w:szCs w:val="24"/>
                <w:lang w:val="en-US"/>
              </w:rPr>
              <w:t>3.</w:t>
            </w:r>
            <w:r>
              <w:rPr>
                <w:rFonts w:hint="eastAsia" w:ascii="宋体" w:hAnsi="宋体" w:eastAsia="宋体" w:cs="宋体"/>
                <w:sz w:val="24"/>
                <w:szCs w:val="24"/>
              </w:rPr>
              <w:t>符合条件的残疾人纳入最低生活保障比例（</w:t>
            </w:r>
            <w:r>
              <w:rPr>
                <w:rFonts w:hint="default" w:ascii="Times New Roman" w:hAnsi="Times New Roman" w:cs="Times New Roman"/>
                <w:sz w:val="24"/>
                <w:szCs w:val="24"/>
                <w:lang w:val="en-US"/>
              </w:rPr>
              <w:t>%</w:t>
            </w:r>
            <w:r>
              <w:rPr>
                <w:rFonts w:hint="eastAsia" w:ascii="宋体" w:hAnsi="宋体" w:eastAsia="宋体" w:cs="宋体"/>
                <w:sz w:val="24"/>
                <w:szCs w:val="24"/>
              </w:rPr>
              <w:t>）</w:t>
            </w:r>
          </w:p>
        </w:tc>
        <w:tc>
          <w:tcPr>
            <w:tcW w:w="1695" w:type="dxa"/>
            <w:tcBorders>
              <w:top w:val="nil"/>
              <w:left w:val="nil"/>
              <w:bottom w:val="single" w:color="000000" w:sz="8" w:space="0"/>
              <w:right w:val="single" w:color="000000" w:sz="8" w:space="0"/>
            </w:tcBorders>
            <w:shd w:val="clear" w:color="auto" w:fill="auto"/>
            <w:tcMar>
              <w:top w:w="0" w:type="dxa"/>
              <w:left w:w="0" w:type="dxa"/>
              <w:bottom w:w="28" w:type="dxa"/>
              <w:right w:w="108" w:type="dxa"/>
            </w:tcMar>
            <w:vAlign w:val="center"/>
          </w:tcPr>
          <w:p w14:paraId="3847BEFD">
            <w:pPr>
              <w:pStyle w:val="2"/>
              <w:keepNext w:val="0"/>
              <w:keepLines w:val="0"/>
              <w:widowControl/>
              <w:suppressLineNumbers w:val="0"/>
            </w:pPr>
            <w:r>
              <w:rPr>
                <w:rFonts w:hint="default" w:ascii="Arial" w:hAnsi="Arial" w:cs="Arial"/>
                <w:sz w:val="24"/>
                <w:szCs w:val="24"/>
              </w:rPr>
              <w:t>　　　　</w:t>
            </w:r>
            <w:r>
              <w:rPr>
                <w:rFonts w:hint="default" w:ascii="Times New Roman" w:hAnsi="Times New Roman" w:cs="Times New Roman"/>
                <w:sz w:val="24"/>
                <w:szCs w:val="24"/>
                <w:lang w:val="en-US"/>
              </w:rPr>
              <w:t>100</w:t>
            </w:r>
          </w:p>
        </w:tc>
        <w:tc>
          <w:tcPr>
            <w:tcW w:w="1950" w:type="dxa"/>
            <w:tcBorders>
              <w:top w:val="nil"/>
              <w:left w:val="nil"/>
              <w:bottom w:val="single" w:color="000000" w:sz="8" w:space="0"/>
              <w:right w:val="single" w:color="000000" w:sz="8" w:space="0"/>
            </w:tcBorders>
            <w:shd w:val="clear" w:color="auto" w:fill="auto"/>
            <w:tcMar>
              <w:top w:w="0" w:type="dxa"/>
              <w:left w:w="0" w:type="dxa"/>
              <w:bottom w:w="28" w:type="dxa"/>
              <w:right w:w="108" w:type="dxa"/>
            </w:tcMar>
            <w:vAlign w:val="center"/>
          </w:tcPr>
          <w:p w14:paraId="5A5AF385">
            <w:pPr>
              <w:pStyle w:val="2"/>
              <w:keepNext w:val="0"/>
              <w:keepLines w:val="0"/>
              <w:widowControl/>
              <w:suppressLineNumbers w:val="0"/>
            </w:pPr>
            <w:r>
              <w:rPr>
                <w:rFonts w:hint="default" w:ascii="Arial" w:hAnsi="Arial" w:cs="Arial"/>
                <w:sz w:val="24"/>
                <w:szCs w:val="24"/>
              </w:rPr>
              <w:t>　　　　约束性</w:t>
            </w:r>
          </w:p>
        </w:tc>
      </w:tr>
      <w:tr w14:paraId="0D663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tblCellSpacing w:w="0" w:type="dxa"/>
          <w:jc w:val="center"/>
        </w:trPr>
        <w:tc>
          <w:tcPr>
            <w:tcW w:w="6495" w:type="dxa"/>
            <w:tcBorders>
              <w:top w:val="nil"/>
              <w:left w:val="single" w:color="000000" w:sz="8" w:space="0"/>
              <w:bottom w:val="single" w:color="000000" w:sz="8" w:space="0"/>
              <w:right w:val="single" w:color="000000" w:sz="8" w:space="0"/>
            </w:tcBorders>
            <w:shd w:val="clear" w:color="auto" w:fill="auto"/>
            <w:tcMar>
              <w:top w:w="0" w:type="dxa"/>
              <w:left w:w="108" w:type="dxa"/>
              <w:bottom w:w="28" w:type="dxa"/>
              <w:right w:w="108" w:type="dxa"/>
            </w:tcMar>
            <w:vAlign w:val="center"/>
          </w:tcPr>
          <w:p w14:paraId="0D797056">
            <w:pPr>
              <w:pStyle w:val="2"/>
              <w:keepNext w:val="0"/>
              <w:keepLines w:val="0"/>
              <w:widowControl/>
              <w:suppressLineNumbers w:val="0"/>
            </w:pPr>
            <w:r>
              <w:rPr>
                <w:rFonts w:hint="default" w:ascii="Arial" w:hAnsi="Arial" w:cs="Arial"/>
                <w:sz w:val="24"/>
                <w:szCs w:val="24"/>
              </w:rPr>
              <w:t>　　　　</w:t>
            </w:r>
            <w:r>
              <w:rPr>
                <w:rFonts w:hint="default" w:ascii="Times New Roman" w:hAnsi="Times New Roman" w:cs="Times New Roman"/>
                <w:sz w:val="24"/>
                <w:szCs w:val="24"/>
                <w:lang w:val="en-US"/>
              </w:rPr>
              <w:t>4.</w:t>
            </w:r>
            <w:r>
              <w:rPr>
                <w:rFonts w:hint="eastAsia" w:ascii="宋体" w:hAnsi="宋体" w:eastAsia="宋体" w:cs="宋体"/>
                <w:sz w:val="24"/>
                <w:szCs w:val="24"/>
              </w:rPr>
              <w:t>困难残疾人生活补贴覆盖率（</w:t>
            </w:r>
            <w:r>
              <w:rPr>
                <w:rFonts w:hint="default" w:ascii="Times New Roman" w:hAnsi="Times New Roman" w:cs="Times New Roman"/>
                <w:sz w:val="24"/>
                <w:szCs w:val="24"/>
                <w:lang w:val="en-US"/>
              </w:rPr>
              <w:t>%</w:t>
            </w:r>
            <w:r>
              <w:rPr>
                <w:rFonts w:hint="eastAsia" w:ascii="宋体" w:hAnsi="宋体" w:eastAsia="宋体" w:cs="宋体"/>
                <w:sz w:val="24"/>
                <w:szCs w:val="24"/>
              </w:rPr>
              <w:t>）</w:t>
            </w:r>
          </w:p>
        </w:tc>
        <w:tc>
          <w:tcPr>
            <w:tcW w:w="1695" w:type="dxa"/>
            <w:tcBorders>
              <w:top w:val="nil"/>
              <w:left w:val="nil"/>
              <w:bottom w:val="single" w:color="000000" w:sz="8" w:space="0"/>
              <w:right w:val="single" w:color="000000" w:sz="8" w:space="0"/>
            </w:tcBorders>
            <w:shd w:val="clear" w:color="auto" w:fill="auto"/>
            <w:tcMar>
              <w:top w:w="0" w:type="dxa"/>
              <w:left w:w="0" w:type="dxa"/>
              <w:bottom w:w="28" w:type="dxa"/>
              <w:right w:w="108" w:type="dxa"/>
            </w:tcMar>
            <w:vAlign w:val="center"/>
          </w:tcPr>
          <w:p w14:paraId="476BC360">
            <w:pPr>
              <w:pStyle w:val="2"/>
              <w:keepNext w:val="0"/>
              <w:keepLines w:val="0"/>
              <w:widowControl/>
              <w:suppressLineNumbers w:val="0"/>
            </w:pPr>
            <w:r>
              <w:rPr>
                <w:rFonts w:hint="default" w:ascii="Arial" w:hAnsi="Arial" w:cs="Arial"/>
                <w:sz w:val="24"/>
                <w:szCs w:val="24"/>
              </w:rPr>
              <w:t>　　　　</w:t>
            </w:r>
            <w:r>
              <w:rPr>
                <w:rFonts w:hint="default" w:ascii="Times New Roman" w:hAnsi="Times New Roman" w:cs="Times New Roman"/>
                <w:sz w:val="24"/>
                <w:szCs w:val="24"/>
                <w:lang w:val="en-US"/>
              </w:rPr>
              <w:t>100</w:t>
            </w:r>
          </w:p>
        </w:tc>
        <w:tc>
          <w:tcPr>
            <w:tcW w:w="1950" w:type="dxa"/>
            <w:tcBorders>
              <w:top w:val="nil"/>
              <w:left w:val="nil"/>
              <w:bottom w:val="single" w:color="000000" w:sz="8" w:space="0"/>
              <w:right w:val="single" w:color="000000" w:sz="8" w:space="0"/>
            </w:tcBorders>
            <w:shd w:val="clear" w:color="auto" w:fill="auto"/>
            <w:tcMar>
              <w:top w:w="0" w:type="dxa"/>
              <w:left w:w="0" w:type="dxa"/>
              <w:bottom w:w="28" w:type="dxa"/>
              <w:right w:w="108" w:type="dxa"/>
            </w:tcMar>
            <w:vAlign w:val="center"/>
          </w:tcPr>
          <w:p w14:paraId="0751D58D">
            <w:pPr>
              <w:pStyle w:val="2"/>
              <w:keepNext w:val="0"/>
              <w:keepLines w:val="0"/>
              <w:widowControl/>
              <w:suppressLineNumbers w:val="0"/>
            </w:pPr>
            <w:r>
              <w:rPr>
                <w:rFonts w:hint="default" w:ascii="Arial" w:hAnsi="Arial" w:cs="Arial"/>
                <w:sz w:val="24"/>
                <w:szCs w:val="24"/>
              </w:rPr>
              <w:t>　　　　约束性</w:t>
            </w:r>
          </w:p>
        </w:tc>
      </w:tr>
      <w:tr w14:paraId="6935A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tblCellSpacing w:w="0" w:type="dxa"/>
          <w:jc w:val="center"/>
        </w:trPr>
        <w:tc>
          <w:tcPr>
            <w:tcW w:w="6495" w:type="dxa"/>
            <w:tcBorders>
              <w:top w:val="nil"/>
              <w:left w:val="single" w:color="000000" w:sz="8" w:space="0"/>
              <w:bottom w:val="single" w:color="000000" w:sz="8" w:space="0"/>
              <w:right w:val="single" w:color="000000" w:sz="8" w:space="0"/>
            </w:tcBorders>
            <w:shd w:val="clear" w:color="auto" w:fill="auto"/>
            <w:tcMar>
              <w:top w:w="0" w:type="dxa"/>
              <w:left w:w="108" w:type="dxa"/>
              <w:bottom w:w="28" w:type="dxa"/>
              <w:right w:w="108" w:type="dxa"/>
            </w:tcMar>
            <w:vAlign w:val="center"/>
          </w:tcPr>
          <w:p w14:paraId="6DFC6F9F">
            <w:pPr>
              <w:pStyle w:val="2"/>
              <w:keepNext w:val="0"/>
              <w:keepLines w:val="0"/>
              <w:widowControl/>
              <w:suppressLineNumbers w:val="0"/>
            </w:pPr>
            <w:r>
              <w:rPr>
                <w:rFonts w:hint="default" w:ascii="Arial" w:hAnsi="Arial" w:cs="Arial"/>
                <w:sz w:val="24"/>
                <w:szCs w:val="24"/>
              </w:rPr>
              <w:t>　　　　</w:t>
            </w:r>
            <w:r>
              <w:rPr>
                <w:rFonts w:hint="default" w:ascii="Times New Roman" w:hAnsi="Times New Roman" w:cs="Times New Roman"/>
                <w:sz w:val="24"/>
                <w:szCs w:val="24"/>
                <w:lang w:val="en-US"/>
              </w:rPr>
              <w:t>5.</w:t>
            </w:r>
            <w:r>
              <w:rPr>
                <w:rFonts w:hint="eastAsia" w:ascii="宋体" w:hAnsi="宋体" w:eastAsia="宋体" w:cs="宋体"/>
                <w:sz w:val="24"/>
                <w:szCs w:val="24"/>
              </w:rPr>
              <w:t>重度残疾人护理补贴覆盖率（</w:t>
            </w:r>
            <w:r>
              <w:rPr>
                <w:rFonts w:hint="default" w:ascii="Times New Roman" w:hAnsi="Times New Roman" w:cs="Times New Roman"/>
                <w:sz w:val="24"/>
                <w:szCs w:val="24"/>
                <w:lang w:val="en-US"/>
              </w:rPr>
              <w:t>%</w:t>
            </w:r>
            <w:r>
              <w:rPr>
                <w:rFonts w:hint="eastAsia" w:ascii="宋体" w:hAnsi="宋体" w:eastAsia="宋体" w:cs="宋体"/>
                <w:sz w:val="24"/>
                <w:szCs w:val="24"/>
              </w:rPr>
              <w:t>）</w:t>
            </w:r>
          </w:p>
        </w:tc>
        <w:tc>
          <w:tcPr>
            <w:tcW w:w="1695" w:type="dxa"/>
            <w:tcBorders>
              <w:top w:val="nil"/>
              <w:left w:val="nil"/>
              <w:bottom w:val="single" w:color="000000" w:sz="8" w:space="0"/>
              <w:right w:val="single" w:color="000000" w:sz="8" w:space="0"/>
            </w:tcBorders>
            <w:shd w:val="clear" w:color="auto" w:fill="auto"/>
            <w:tcMar>
              <w:top w:w="0" w:type="dxa"/>
              <w:left w:w="0" w:type="dxa"/>
              <w:bottom w:w="28" w:type="dxa"/>
              <w:right w:w="108" w:type="dxa"/>
            </w:tcMar>
            <w:vAlign w:val="center"/>
          </w:tcPr>
          <w:p w14:paraId="3212A219">
            <w:pPr>
              <w:pStyle w:val="2"/>
              <w:keepNext w:val="0"/>
              <w:keepLines w:val="0"/>
              <w:widowControl/>
              <w:suppressLineNumbers w:val="0"/>
            </w:pPr>
            <w:r>
              <w:rPr>
                <w:rFonts w:hint="default" w:ascii="Arial" w:hAnsi="Arial" w:cs="Arial"/>
                <w:sz w:val="24"/>
                <w:szCs w:val="24"/>
              </w:rPr>
              <w:t>　　　　</w:t>
            </w:r>
            <w:r>
              <w:rPr>
                <w:rFonts w:hint="default" w:ascii="Times New Roman" w:hAnsi="Times New Roman" w:cs="Times New Roman"/>
                <w:sz w:val="24"/>
                <w:szCs w:val="24"/>
                <w:lang w:val="en-US"/>
              </w:rPr>
              <w:t>100</w:t>
            </w:r>
          </w:p>
        </w:tc>
        <w:tc>
          <w:tcPr>
            <w:tcW w:w="1950" w:type="dxa"/>
            <w:tcBorders>
              <w:top w:val="nil"/>
              <w:left w:val="nil"/>
              <w:bottom w:val="single" w:color="000000" w:sz="8" w:space="0"/>
              <w:right w:val="single" w:color="000000" w:sz="8" w:space="0"/>
            </w:tcBorders>
            <w:shd w:val="clear" w:color="auto" w:fill="auto"/>
            <w:tcMar>
              <w:top w:w="0" w:type="dxa"/>
              <w:left w:w="0" w:type="dxa"/>
              <w:bottom w:w="28" w:type="dxa"/>
              <w:right w:w="108" w:type="dxa"/>
            </w:tcMar>
            <w:vAlign w:val="center"/>
          </w:tcPr>
          <w:p w14:paraId="7D6402DC">
            <w:pPr>
              <w:pStyle w:val="2"/>
              <w:keepNext w:val="0"/>
              <w:keepLines w:val="0"/>
              <w:widowControl/>
              <w:suppressLineNumbers w:val="0"/>
            </w:pPr>
            <w:r>
              <w:rPr>
                <w:rFonts w:hint="default" w:ascii="Arial" w:hAnsi="Arial" w:cs="Arial"/>
                <w:sz w:val="24"/>
                <w:szCs w:val="24"/>
              </w:rPr>
              <w:t>　　　　约束性</w:t>
            </w:r>
          </w:p>
        </w:tc>
      </w:tr>
      <w:tr w14:paraId="5EE0B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tblCellSpacing w:w="0" w:type="dxa"/>
          <w:jc w:val="center"/>
        </w:trPr>
        <w:tc>
          <w:tcPr>
            <w:tcW w:w="6495" w:type="dxa"/>
            <w:tcBorders>
              <w:top w:val="nil"/>
              <w:left w:val="single" w:color="000000" w:sz="8" w:space="0"/>
              <w:bottom w:val="single" w:color="000000" w:sz="8" w:space="0"/>
              <w:right w:val="single" w:color="000000" w:sz="8" w:space="0"/>
            </w:tcBorders>
            <w:shd w:val="clear" w:color="auto" w:fill="auto"/>
            <w:tcMar>
              <w:top w:w="0" w:type="dxa"/>
              <w:left w:w="108" w:type="dxa"/>
              <w:bottom w:w="28" w:type="dxa"/>
              <w:right w:w="108" w:type="dxa"/>
            </w:tcMar>
            <w:vAlign w:val="center"/>
          </w:tcPr>
          <w:p w14:paraId="1F53AE1D">
            <w:pPr>
              <w:pStyle w:val="2"/>
              <w:keepNext w:val="0"/>
              <w:keepLines w:val="0"/>
              <w:widowControl/>
              <w:suppressLineNumbers w:val="0"/>
            </w:pPr>
            <w:r>
              <w:rPr>
                <w:rFonts w:hint="default" w:ascii="Arial" w:hAnsi="Arial" w:cs="Arial"/>
                <w:sz w:val="24"/>
                <w:szCs w:val="24"/>
              </w:rPr>
              <w:t>　　　　</w:t>
            </w:r>
            <w:r>
              <w:rPr>
                <w:rFonts w:hint="default" w:ascii="Times New Roman" w:hAnsi="Times New Roman" w:cs="Times New Roman"/>
                <w:sz w:val="24"/>
                <w:szCs w:val="24"/>
                <w:lang w:val="en-US"/>
              </w:rPr>
              <w:t>6.</w:t>
            </w:r>
            <w:r>
              <w:rPr>
                <w:rFonts w:hint="eastAsia" w:ascii="宋体" w:hAnsi="宋体" w:eastAsia="宋体" w:cs="宋体"/>
                <w:sz w:val="24"/>
                <w:szCs w:val="24"/>
              </w:rPr>
              <w:t>残疾人基本养老保险参保率（</w:t>
            </w:r>
            <w:r>
              <w:rPr>
                <w:rFonts w:hint="default" w:ascii="Times New Roman" w:hAnsi="Times New Roman" w:cs="Times New Roman"/>
                <w:sz w:val="24"/>
                <w:szCs w:val="24"/>
                <w:lang w:val="en-US"/>
              </w:rPr>
              <w:t>%</w:t>
            </w:r>
            <w:r>
              <w:rPr>
                <w:rFonts w:hint="eastAsia" w:ascii="宋体" w:hAnsi="宋体" w:eastAsia="宋体" w:cs="宋体"/>
                <w:sz w:val="24"/>
                <w:szCs w:val="24"/>
              </w:rPr>
              <w:t>）</w:t>
            </w:r>
          </w:p>
        </w:tc>
        <w:tc>
          <w:tcPr>
            <w:tcW w:w="1695" w:type="dxa"/>
            <w:tcBorders>
              <w:top w:val="nil"/>
              <w:left w:val="nil"/>
              <w:bottom w:val="single" w:color="000000" w:sz="8" w:space="0"/>
              <w:right w:val="single" w:color="000000" w:sz="8" w:space="0"/>
            </w:tcBorders>
            <w:shd w:val="clear" w:color="auto" w:fill="auto"/>
            <w:tcMar>
              <w:top w:w="0" w:type="dxa"/>
              <w:left w:w="0" w:type="dxa"/>
              <w:bottom w:w="28" w:type="dxa"/>
              <w:right w:w="108" w:type="dxa"/>
            </w:tcMar>
            <w:vAlign w:val="center"/>
          </w:tcPr>
          <w:p w14:paraId="05BB526B">
            <w:pPr>
              <w:pStyle w:val="2"/>
              <w:keepNext w:val="0"/>
              <w:keepLines w:val="0"/>
              <w:widowControl/>
              <w:suppressLineNumbers w:val="0"/>
            </w:pPr>
            <w:r>
              <w:rPr>
                <w:rFonts w:hint="default" w:ascii="Arial" w:hAnsi="Arial" w:cs="Arial"/>
                <w:sz w:val="24"/>
                <w:szCs w:val="24"/>
              </w:rPr>
              <w:t>　　　　</w:t>
            </w:r>
            <w:r>
              <w:rPr>
                <w:rFonts w:hint="default" w:ascii="Times New Roman" w:hAnsi="Times New Roman" w:cs="Times New Roman"/>
                <w:sz w:val="24"/>
                <w:szCs w:val="24"/>
                <w:lang w:val="en-US"/>
              </w:rPr>
              <w:t>&gt;90</w:t>
            </w:r>
          </w:p>
        </w:tc>
        <w:tc>
          <w:tcPr>
            <w:tcW w:w="1950" w:type="dxa"/>
            <w:tcBorders>
              <w:top w:val="nil"/>
              <w:left w:val="nil"/>
              <w:bottom w:val="single" w:color="000000" w:sz="8" w:space="0"/>
              <w:right w:val="single" w:color="000000" w:sz="8" w:space="0"/>
            </w:tcBorders>
            <w:shd w:val="clear" w:color="auto" w:fill="auto"/>
            <w:tcMar>
              <w:top w:w="0" w:type="dxa"/>
              <w:left w:w="0" w:type="dxa"/>
              <w:bottom w:w="28" w:type="dxa"/>
              <w:right w:w="108" w:type="dxa"/>
            </w:tcMar>
            <w:vAlign w:val="center"/>
          </w:tcPr>
          <w:p w14:paraId="05738C35">
            <w:pPr>
              <w:pStyle w:val="2"/>
              <w:keepNext w:val="0"/>
              <w:keepLines w:val="0"/>
              <w:widowControl/>
              <w:suppressLineNumbers w:val="0"/>
            </w:pPr>
            <w:r>
              <w:rPr>
                <w:rFonts w:hint="default" w:ascii="Arial" w:hAnsi="Arial" w:cs="Arial"/>
                <w:sz w:val="24"/>
                <w:szCs w:val="24"/>
              </w:rPr>
              <w:t>　　　　预期性</w:t>
            </w:r>
          </w:p>
        </w:tc>
      </w:tr>
      <w:tr w14:paraId="209C3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tblCellSpacing w:w="0" w:type="dxa"/>
          <w:jc w:val="center"/>
        </w:trPr>
        <w:tc>
          <w:tcPr>
            <w:tcW w:w="6495" w:type="dxa"/>
            <w:tcBorders>
              <w:top w:val="nil"/>
              <w:left w:val="single" w:color="000000" w:sz="8" w:space="0"/>
              <w:bottom w:val="single" w:color="000000" w:sz="8" w:space="0"/>
              <w:right w:val="single" w:color="000000" w:sz="8" w:space="0"/>
            </w:tcBorders>
            <w:shd w:val="clear" w:color="auto" w:fill="auto"/>
            <w:tcMar>
              <w:top w:w="0" w:type="dxa"/>
              <w:left w:w="108" w:type="dxa"/>
              <w:bottom w:w="28" w:type="dxa"/>
              <w:right w:w="108" w:type="dxa"/>
            </w:tcMar>
            <w:vAlign w:val="center"/>
          </w:tcPr>
          <w:p w14:paraId="6A29FF28">
            <w:pPr>
              <w:pStyle w:val="2"/>
              <w:keepNext w:val="0"/>
              <w:keepLines w:val="0"/>
              <w:widowControl/>
              <w:suppressLineNumbers w:val="0"/>
            </w:pPr>
            <w:r>
              <w:rPr>
                <w:rFonts w:hint="default" w:ascii="Arial" w:hAnsi="Arial" w:cs="Arial"/>
                <w:sz w:val="24"/>
                <w:szCs w:val="24"/>
              </w:rPr>
              <w:t>　　　　</w:t>
            </w:r>
            <w:r>
              <w:rPr>
                <w:rFonts w:hint="default" w:ascii="Times New Roman" w:hAnsi="Times New Roman" w:cs="Times New Roman"/>
                <w:sz w:val="24"/>
                <w:szCs w:val="24"/>
                <w:lang w:val="en-US"/>
              </w:rPr>
              <w:t>7.</w:t>
            </w:r>
            <w:r>
              <w:rPr>
                <w:rFonts w:hint="eastAsia" w:ascii="宋体" w:hAnsi="宋体" w:eastAsia="宋体" w:cs="宋体"/>
                <w:sz w:val="24"/>
                <w:szCs w:val="24"/>
              </w:rPr>
              <w:t>残疾人基本医疗保险参保率（</w:t>
            </w:r>
            <w:r>
              <w:rPr>
                <w:rFonts w:hint="default" w:ascii="Times New Roman" w:hAnsi="Times New Roman" w:cs="Times New Roman"/>
                <w:sz w:val="24"/>
                <w:szCs w:val="24"/>
                <w:lang w:val="en-US"/>
              </w:rPr>
              <w:t>%</w:t>
            </w:r>
            <w:r>
              <w:rPr>
                <w:rFonts w:hint="eastAsia" w:ascii="宋体" w:hAnsi="宋体" w:eastAsia="宋体" w:cs="宋体"/>
                <w:sz w:val="24"/>
                <w:szCs w:val="24"/>
              </w:rPr>
              <w:t>）</w:t>
            </w:r>
          </w:p>
        </w:tc>
        <w:tc>
          <w:tcPr>
            <w:tcW w:w="1695" w:type="dxa"/>
            <w:tcBorders>
              <w:top w:val="nil"/>
              <w:left w:val="nil"/>
              <w:bottom w:val="single" w:color="000000" w:sz="8" w:space="0"/>
              <w:right w:val="single" w:color="000000" w:sz="8" w:space="0"/>
            </w:tcBorders>
            <w:shd w:val="clear" w:color="auto" w:fill="auto"/>
            <w:tcMar>
              <w:top w:w="0" w:type="dxa"/>
              <w:left w:w="0" w:type="dxa"/>
              <w:bottom w:w="28" w:type="dxa"/>
              <w:right w:w="108" w:type="dxa"/>
            </w:tcMar>
            <w:vAlign w:val="center"/>
          </w:tcPr>
          <w:p w14:paraId="723D3163">
            <w:pPr>
              <w:pStyle w:val="2"/>
              <w:keepNext w:val="0"/>
              <w:keepLines w:val="0"/>
              <w:widowControl/>
              <w:suppressLineNumbers w:val="0"/>
            </w:pPr>
            <w:r>
              <w:rPr>
                <w:rFonts w:hint="default" w:ascii="Arial" w:hAnsi="Arial" w:cs="Arial"/>
                <w:sz w:val="24"/>
                <w:szCs w:val="24"/>
              </w:rPr>
              <w:t>　　　　</w:t>
            </w:r>
            <w:r>
              <w:rPr>
                <w:rFonts w:hint="default" w:ascii="Times New Roman" w:hAnsi="Times New Roman" w:cs="Times New Roman"/>
                <w:sz w:val="24"/>
                <w:szCs w:val="24"/>
                <w:lang w:val="en-US"/>
              </w:rPr>
              <w:t>&gt;90</w:t>
            </w:r>
          </w:p>
        </w:tc>
        <w:tc>
          <w:tcPr>
            <w:tcW w:w="1950" w:type="dxa"/>
            <w:tcBorders>
              <w:top w:val="nil"/>
              <w:left w:val="nil"/>
              <w:bottom w:val="single" w:color="000000" w:sz="8" w:space="0"/>
              <w:right w:val="single" w:color="000000" w:sz="8" w:space="0"/>
            </w:tcBorders>
            <w:shd w:val="clear" w:color="auto" w:fill="auto"/>
            <w:tcMar>
              <w:top w:w="0" w:type="dxa"/>
              <w:left w:w="0" w:type="dxa"/>
              <w:bottom w:w="28" w:type="dxa"/>
              <w:right w:w="108" w:type="dxa"/>
            </w:tcMar>
            <w:vAlign w:val="center"/>
          </w:tcPr>
          <w:p w14:paraId="4AD2E7E9">
            <w:pPr>
              <w:pStyle w:val="2"/>
              <w:keepNext w:val="0"/>
              <w:keepLines w:val="0"/>
              <w:widowControl/>
              <w:suppressLineNumbers w:val="0"/>
            </w:pPr>
            <w:r>
              <w:rPr>
                <w:rFonts w:hint="default" w:ascii="Arial" w:hAnsi="Arial" w:cs="Arial"/>
                <w:sz w:val="24"/>
                <w:szCs w:val="24"/>
              </w:rPr>
              <w:t>　　　　预期性</w:t>
            </w:r>
          </w:p>
        </w:tc>
      </w:tr>
      <w:tr w14:paraId="4DB41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tblCellSpacing w:w="0" w:type="dxa"/>
          <w:jc w:val="center"/>
        </w:trPr>
        <w:tc>
          <w:tcPr>
            <w:tcW w:w="6495" w:type="dxa"/>
            <w:tcBorders>
              <w:top w:val="nil"/>
              <w:left w:val="single" w:color="000000" w:sz="8" w:space="0"/>
              <w:bottom w:val="single" w:color="000000" w:sz="8" w:space="0"/>
              <w:right w:val="single" w:color="000000" w:sz="8" w:space="0"/>
            </w:tcBorders>
            <w:shd w:val="clear" w:color="auto" w:fill="auto"/>
            <w:tcMar>
              <w:top w:w="0" w:type="dxa"/>
              <w:left w:w="108" w:type="dxa"/>
              <w:bottom w:w="28" w:type="dxa"/>
              <w:right w:w="108" w:type="dxa"/>
            </w:tcMar>
            <w:vAlign w:val="center"/>
          </w:tcPr>
          <w:p w14:paraId="1B485B89">
            <w:pPr>
              <w:pStyle w:val="2"/>
              <w:keepNext w:val="0"/>
              <w:keepLines w:val="0"/>
              <w:widowControl/>
              <w:suppressLineNumbers w:val="0"/>
            </w:pPr>
            <w:r>
              <w:rPr>
                <w:rFonts w:hint="default" w:ascii="Arial" w:hAnsi="Arial" w:cs="Arial"/>
                <w:sz w:val="24"/>
                <w:szCs w:val="24"/>
              </w:rPr>
              <w:t>　　　　</w:t>
            </w:r>
            <w:r>
              <w:rPr>
                <w:rFonts w:hint="default" w:ascii="Times New Roman" w:hAnsi="Times New Roman" w:cs="Times New Roman"/>
                <w:sz w:val="24"/>
                <w:szCs w:val="24"/>
                <w:lang w:val="en-US"/>
              </w:rPr>
              <w:t>8.</w:t>
            </w:r>
            <w:r>
              <w:rPr>
                <w:rFonts w:hint="eastAsia" w:ascii="宋体" w:hAnsi="宋体" w:eastAsia="宋体" w:cs="宋体"/>
                <w:sz w:val="24"/>
                <w:szCs w:val="24"/>
              </w:rPr>
              <w:t>残疾儿童少年义务教育入学率（</w:t>
            </w:r>
            <w:r>
              <w:rPr>
                <w:rFonts w:hint="default" w:ascii="Times New Roman" w:hAnsi="Times New Roman" w:cs="Times New Roman"/>
                <w:sz w:val="24"/>
                <w:szCs w:val="24"/>
                <w:lang w:val="en-US"/>
              </w:rPr>
              <w:t>%</w:t>
            </w:r>
            <w:r>
              <w:rPr>
                <w:rFonts w:hint="eastAsia" w:ascii="宋体" w:hAnsi="宋体" w:eastAsia="宋体" w:cs="宋体"/>
                <w:sz w:val="24"/>
                <w:szCs w:val="24"/>
              </w:rPr>
              <w:t>）</w:t>
            </w:r>
          </w:p>
        </w:tc>
        <w:tc>
          <w:tcPr>
            <w:tcW w:w="1695" w:type="dxa"/>
            <w:tcBorders>
              <w:top w:val="nil"/>
              <w:left w:val="nil"/>
              <w:bottom w:val="single" w:color="000000" w:sz="8" w:space="0"/>
              <w:right w:val="single" w:color="000000" w:sz="8" w:space="0"/>
            </w:tcBorders>
            <w:shd w:val="clear" w:color="auto" w:fill="auto"/>
            <w:tcMar>
              <w:top w:w="0" w:type="dxa"/>
              <w:left w:w="0" w:type="dxa"/>
              <w:bottom w:w="28" w:type="dxa"/>
              <w:right w:w="108" w:type="dxa"/>
            </w:tcMar>
            <w:vAlign w:val="center"/>
          </w:tcPr>
          <w:p w14:paraId="550427BE">
            <w:pPr>
              <w:pStyle w:val="2"/>
              <w:keepNext w:val="0"/>
              <w:keepLines w:val="0"/>
              <w:widowControl/>
              <w:suppressLineNumbers w:val="0"/>
            </w:pPr>
            <w:r>
              <w:rPr>
                <w:rFonts w:hint="default" w:ascii="Arial" w:hAnsi="Arial" w:cs="Arial"/>
                <w:sz w:val="24"/>
                <w:szCs w:val="24"/>
              </w:rPr>
              <w:t>　　　　</w:t>
            </w:r>
            <w:r>
              <w:rPr>
                <w:rFonts w:hint="default" w:ascii="Times New Roman" w:hAnsi="Times New Roman" w:cs="Times New Roman"/>
                <w:sz w:val="24"/>
                <w:szCs w:val="24"/>
                <w:lang w:val="en-US"/>
              </w:rPr>
              <w:t>&gt;97</w:t>
            </w:r>
          </w:p>
        </w:tc>
        <w:tc>
          <w:tcPr>
            <w:tcW w:w="1950" w:type="dxa"/>
            <w:tcBorders>
              <w:top w:val="nil"/>
              <w:left w:val="nil"/>
              <w:bottom w:val="single" w:color="000000" w:sz="8" w:space="0"/>
              <w:right w:val="single" w:color="000000" w:sz="8" w:space="0"/>
            </w:tcBorders>
            <w:shd w:val="clear" w:color="auto" w:fill="auto"/>
            <w:tcMar>
              <w:top w:w="0" w:type="dxa"/>
              <w:left w:w="0" w:type="dxa"/>
              <w:bottom w:w="28" w:type="dxa"/>
              <w:right w:w="108" w:type="dxa"/>
            </w:tcMar>
            <w:vAlign w:val="center"/>
          </w:tcPr>
          <w:p w14:paraId="5CFB5CE4">
            <w:pPr>
              <w:pStyle w:val="2"/>
              <w:keepNext w:val="0"/>
              <w:keepLines w:val="0"/>
              <w:widowControl/>
              <w:suppressLineNumbers w:val="0"/>
            </w:pPr>
            <w:r>
              <w:rPr>
                <w:rFonts w:hint="default" w:ascii="Arial" w:hAnsi="Arial" w:cs="Arial"/>
                <w:sz w:val="24"/>
                <w:szCs w:val="24"/>
              </w:rPr>
              <w:t>　　　　预期性</w:t>
            </w:r>
          </w:p>
        </w:tc>
      </w:tr>
      <w:tr w14:paraId="1D7A1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tblCellSpacing w:w="0" w:type="dxa"/>
          <w:jc w:val="center"/>
        </w:trPr>
        <w:tc>
          <w:tcPr>
            <w:tcW w:w="6495" w:type="dxa"/>
            <w:tcBorders>
              <w:top w:val="nil"/>
              <w:left w:val="single" w:color="000000" w:sz="8" w:space="0"/>
              <w:bottom w:val="single" w:color="000000" w:sz="8" w:space="0"/>
              <w:right w:val="single" w:color="000000" w:sz="8" w:space="0"/>
            </w:tcBorders>
            <w:shd w:val="clear" w:color="auto" w:fill="auto"/>
            <w:tcMar>
              <w:top w:w="0" w:type="dxa"/>
              <w:left w:w="108" w:type="dxa"/>
              <w:bottom w:w="28" w:type="dxa"/>
              <w:right w:w="108" w:type="dxa"/>
            </w:tcMar>
            <w:vAlign w:val="center"/>
          </w:tcPr>
          <w:p w14:paraId="4B9F4D0F">
            <w:pPr>
              <w:pStyle w:val="2"/>
              <w:keepNext w:val="0"/>
              <w:keepLines w:val="0"/>
              <w:widowControl/>
              <w:suppressLineNumbers w:val="0"/>
            </w:pPr>
            <w:r>
              <w:rPr>
                <w:rFonts w:hint="default" w:ascii="Arial" w:hAnsi="Arial" w:cs="Arial"/>
                <w:sz w:val="24"/>
                <w:szCs w:val="24"/>
              </w:rPr>
              <w:t>　　　　</w:t>
            </w:r>
            <w:r>
              <w:rPr>
                <w:rFonts w:hint="default" w:ascii="Times New Roman" w:hAnsi="Times New Roman" w:cs="Times New Roman"/>
                <w:sz w:val="24"/>
                <w:szCs w:val="24"/>
                <w:lang w:val="en-US"/>
              </w:rPr>
              <w:t>9.</w:t>
            </w:r>
            <w:r>
              <w:rPr>
                <w:rFonts w:hint="eastAsia" w:ascii="宋体" w:hAnsi="宋体" w:eastAsia="宋体" w:cs="宋体"/>
                <w:sz w:val="24"/>
                <w:szCs w:val="24"/>
              </w:rPr>
              <w:t>残疾人基本康复服务覆盖率（</w:t>
            </w:r>
            <w:r>
              <w:rPr>
                <w:rFonts w:hint="default" w:ascii="Times New Roman" w:hAnsi="Times New Roman" w:cs="Times New Roman"/>
                <w:sz w:val="24"/>
                <w:szCs w:val="24"/>
                <w:lang w:val="en-US"/>
              </w:rPr>
              <w:t>%</w:t>
            </w:r>
            <w:r>
              <w:rPr>
                <w:rFonts w:hint="eastAsia" w:ascii="宋体" w:hAnsi="宋体" w:eastAsia="宋体" w:cs="宋体"/>
                <w:sz w:val="24"/>
                <w:szCs w:val="24"/>
              </w:rPr>
              <w:t>）</w:t>
            </w:r>
          </w:p>
        </w:tc>
        <w:tc>
          <w:tcPr>
            <w:tcW w:w="1695" w:type="dxa"/>
            <w:tcBorders>
              <w:top w:val="nil"/>
              <w:left w:val="nil"/>
              <w:bottom w:val="single" w:color="000000" w:sz="8" w:space="0"/>
              <w:right w:val="single" w:color="000000" w:sz="8" w:space="0"/>
            </w:tcBorders>
            <w:shd w:val="clear" w:color="auto" w:fill="auto"/>
            <w:tcMar>
              <w:top w:w="0" w:type="dxa"/>
              <w:left w:w="0" w:type="dxa"/>
              <w:bottom w:w="28" w:type="dxa"/>
              <w:right w:w="108" w:type="dxa"/>
            </w:tcMar>
            <w:vAlign w:val="center"/>
          </w:tcPr>
          <w:p w14:paraId="2BE97A88">
            <w:pPr>
              <w:pStyle w:val="2"/>
              <w:keepNext w:val="0"/>
              <w:keepLines w:val="0"/>
              <w:widowControl/>
              <w:suppressLineNumbers w:val="0"/>
            </w:pPr>
            <w:r>
              <w:rPr>
                <w:rFonts w:hint="default" w:ascii="Arial" w:hAnsi="Arial" w:cs="Arial"/>
                <w:sz w:val="24"/>
                <w:szCs w:val="24"/>
              </w:rPr>
              <w:t>　　　　</w:t>
            </w:r>
            <w:r>
              <w:rPr>
                <w:rFonts w:hint="default" w:ascii="Times New Roman" w:hAnsi="Times New Roman" w:cs="Times New Roman"/>
                <w:sz w:val="24"/>
                <w:szCs w:val="24"/>
                <w:lang w:val="en-US"/>
              </w:rPr>
              <w:t>&gt;90</w:t>
            </w:r>
          </w:p>
        </w:tc>
        <w:tc>
          <w:tcPr>
            <w:tcW w:w="1950" w:type="dxa"/>
            <w:tcBorders>
              <w:top w:val="nil"/>
              <w:left w:val="nil"/>
              <w:bottom w:val="single" w:color="000000" w:sz="8" w:space="0"/>
              <w:right w:val="single" w:color="000000" w:sz="8" w:space="0"/>
            </w:tcBorders>
            <w:shd w:val="clear" w:color="auto" w:fill="auto"/>
            <w:tcMar>
              <w:top w:w="0" w:type="dxa"/>
              <w:left w:w="0" w:type="dxa"/>
              <w:bottom w:w="28" w:type="dxa"/>
              <w:right w:w="108" w:type="dxa"/>
            </w:tcMar>
            <w:vAlign w:val="center"/>
          </w:tcPr>
          <w:p w14:paraId="628D4D33">
            <w:pPr>
              <w:pStyle w:val="2"/>
              <w:keepNext w:val="0"/>
              <w:keepLines w:val="0"/>
              <w:widowControl/>
              <w:suppressLineNumbers w:val="0"/>
            </w:pPr>
            <w:r>
              <w:rPr>
                <w:rFonts w:hint="default" w:ascii="Arial" w:hAnsi="Arial" w:cs="Arial"/>
                <w:sz w:val="24"/>
                <w:szCs w:val="24"/>
              </w:rPr>
              <w:t>　　　　约束性</w:t>
            </w:r>
          </w:p>
        </w:tc>
      </w:tr>
      <w:tr w14:paraId="7624D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tblCellSpacing w:w="0" w:type="dxa"/>
          <w:jc w:val="center"/>
        </w:trPr>
        <w:tc>
          <w:tcPr>
            <w:tcW w:w="6495" w:type="dxa"/>
            <w:tcBorders>
              <w:top w:val="nil"/>
              <w:left w:val="single" w:color="000000" w:sz="8" w:space="0"/>
              <w:bottom w:val="single" w:color="000000" w:sz="8" w:space="0"/>
              <w:right w:val="single" w:color="000000" w:sz="8" w:space="0"/>
            </w:tcBorders>
            <w:shd w:val="clear" w:color="auto" w:fill="auto"/>
            <w:tcMar>
              <w:top w:w="0" w:type="dxa"/>
              <w:left w:w="108" w:type="dxa"/>
              <w:bottom w:w="28" w:type="dxa"/>
              <w:right w:w="108" w:type="dxa"/>
            </w:tcMar>
            <w:vAlign w:val="center"/>
          </w:tcPr>
          <w:p w14:paraId="10A8000F">
            <w:pPr>
              <w:pStyle w:val="2"/>
              <w:keepNext w:val="0"/>
              <w:keepLines w:val="0"/>
              <w:widowControl/>
              <w:suppressLineNumbers w:val="0"/>
            </w:pPr>
            <w:r>
              <w:rPr>
                <w:rFonts w:hint="default" w:ascii="Arial" w:hAnsi="Arial" w:cs="Arial"/>
                <w:sz w:val="24"/>
                <w:szCs w:val="24"/>
              </w:rPr>
              <w:t>　　　　</w:t>
            </w:r>
            <w:r>
              <w:rPr>
                <w:rFonts w:hint="default" w:ascii="Times New Roman" w:hAnsi="Times New Roman" w:cs="Times New Roman"/>
                <w:sz w:val="24"/>
                <w:szCs w:val="24"/>
                <w:lang w:val="en-US"/>
              </w:rPr>
              <w:t>10.</w:t>
            </w:r>
            <w:r>
              <w:rPr>
                <w:rFonts w:hint="eastAsia" w:ascii="宋体" w:hAnsi="宋体" w:eastAsia="宋体" w:cs="宋体"/>
                <w:sz w:val="24"/>
                <w:szCs w:val="24"/>
              </w:rPr>
              <w:t>残疾人辅助器具适配率（</w:t>
            </w:r>
            <w:r>
              <w:rPr>
                <w:rFonts w:hint="default" w:ascii="Times New Roman" w:hAnsi="Times New Roman" w:cs="Times New Roman"/>
                <w:sz w:val="24"/>
                <w:szCs w:val="24"/>
                <w:lang w:val="en-US"/>
              </w:rPr>
              <w:t>%</w:t>
            </w:r>
            <w:r>
              <w:rPr>
                <w:rFonts w:hint="eastAsia" w:ascii="宋体" w:hAnsi="宋体" w:eastAsia="宋体" w:cs="宋体"/>
                <w:sz w:val="24"/>
                <w:szCs w:val="24"/>
              </w:rPr>
              <w:t>）</w:t>
            </w:r>
          </w:p>
        </w:tc>
        <w:tc>
          <w:tcPr>
            <w:tcW w:w="1695" w:type="dxa"/>
            <w:tcBorders>
              <w:top w:val="nil"/>
              <w:left w:val="nil"/>
              <w:bottom w:val="single" w:color="000000" w:sz="8" w:space="0"/>
              <w:right w:val="single" w:color="000000" w:sz="8" w:space="0"/>
            </w:tcBorders>
            <w:shd w:val="clear" w:color="auto" w:fill="auto"/>
            <w:tcMar>
              <w:top w:w="0" w:type="dxa"/>
              <w:left w:w="0" w:type="dxa"/>
              <w:bottom w:w="28" w:type="dxa"/>
              <w:right w:w="108" w:type="dxa"/>
            </w:tcMar>
            <w:vAlign w:val="center"/>
          </w:tcPr>
          <w:p w14:paraId="1A44407A">
            <w:pPr>
              <w:pStyle w:val="2"/>
              <w:keepNext w:val="0"/>
              <w:keepLines w:val="0"/>
              <w:widowControl/>
              <w:suppressLineNumbers w:val="0"/>
            </w:pPr>
            <w:r>
              <w:rPr>
                <w:rFonts w:hint="default" w:ascii="Arial" w:hAnsi="Arial" w:cs="Arial"/>
                <w:sz w:val="24"/>
                <w:szCs w:val="24"/>
              </w:rPr>
              <w:t>　　　　</w:t>
            </w:r>
            <w:r>
              <w:rPr>
                <w:rFonts w:hint="default" w:ascii="Times New Roman" w:hAnsi="Times New Roman" w:cs="Times New Roman"/>
                <w:sz w:val="24"/>
                <w:szCs w:val="24"/>
                <w:lang w:val="en-US"/>
              </w:rPr>
              <w:t>&gt;90</w:t>
            </w:r>
          </w:p>
        </w:tc>
        <w:tc>
          <w:tcPr>
            <w:tcW w:w="1950" w:type="dxa"/>
            <w:tcBorders>
              <w:top w:val="nil"/>
              <w:left w:val="nil"/>
              <w:bottom w:val="single" w:color="000000" w:sz="8" w:space="0"/>
              <w:right w:val="single" w:color="000000" w:sz="8" w:space="0"/>
            </w:tcBorders>
            <w:shd w:val="clear" w:color="auto" w:fill="auto"/>
            <w:tcMar>
              <w:top w:w="0" w:type="dxa"/>
              <w:left w:w="0" w:type="dxa"/>
              <w:bottom w:w="28" w:type="dxa"/>
              <w:right w:w="108" w:type="dxa"/>
            </w:tcMar>
            <w:vAlign w:val="center"/>
          </w:tcPr>
          <w:p w14:paraId="174FA6F8">
            <w:pPr>
              <w:pStyle w:val="2"/>
              <w:keepNext w:val="0"/>
              <w:keepLines w:val="0"/>
              <w:widowControl/>
              <w:suppressLineNumbers w:val="0"/>
            </w:pPr>
            <w:r>
              <w:rPr>
                <w:rFonts w:hint="default" w:ascii="Arial" w:hAnsi="Arial" w:cs="Arial"/>
                <w:sz w:val="24"/>
                <w:szCs w:val="24"/>
              </w:rPr>
              <w:t>　　　　约束性</w:t>
            </w:r>
          </w:p>
        </w:tc>
      </w:tr>
      <w:tr w14:paraId="216FC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tblCellSpacing w:w="0" w:type="dxa"/>
          <w:jc w:val="center"/>
        </w:trPr>
        <w:tc>
          <w:tcPr>
            <w:tcW w:w="6495" w:type="dxa"/>
            <w:tcBorders>
              <w:top w:val="nil"/>
              <w:left w:val="single" w:color="000000" w:sz="8" w:space="0"/>
              <w:bottom w:val="single" w:color="000000" w:sz="8" w:space="0"/>
              <w:right w:val="single" w:color="000000" w:sz="8" w:space="0"/>
            </w:tcBorders>
            <w:shd w:val="clear" w:color="auto" w:fill="auto"/>
            <w:tcMar>
              <w:top w:w="0" w:type="dxa"/>
              <w:left w:w="108" w:type="dxa"/>
              <w:bottom w:w="28" w:type="dxa"/>
              <w:right w:w="108" w:type="dxa"/>
            </w:tcMar>
            <w:vAlign w:val="center"/>
          </w:tcPr>
          <w:p w14:paraId="139C66ED">
            <w:pPr>
              <w:pStyle w:val="2"/>
              <w:keepNext w:val="0"/>
              <w:keepLines w:val="0"/>
              <w:widowControl/>
              <w:suppressLineNumbers w:val="0"/>
            </w:pPr>
            <w:r>
              <w:rPr>
                <w:rFonts w:hint="default" w:ascii="Arial" w:hAnsi="Arial" w:cs="Arial"/>
                <w:sz w:val="24"/>
                <w:szCs w:val="24"/>
              </w:rPr>
              <w:t>　　　　</w:t>
            </w:r>
            <w:r>
              <w:rPr>
                <w:rFonts w:hint="default" w:ascii="Times New Roman" w:hAnsi="Times New Roman" w:cs="Times New Roman"/>
                <w:sz w:val="24"/>
                <w:szCs w:val="24"/>
                <w:lang w:val="en-US"/>
              </w:rPr>
              <w:t>11.</w:t>
            </w:r>
            <w:r>
              <w:rPr>
                <w:rFonts w:hint="eastAsia" w:ascii="宋体" w:hAnsi="宋体" w:eastAsia="宋体" w:cs="宋体"/>
                <w:sz w:val="24"/>
                <w:szCs w:val="24"/>
              </w:rPr>
              <w:t>残疾人家庭无障碍改造数（户）</w:t>
            </w:r>
          </w:p>
        </w:tc>
        <w:tc>
          <w:tcPr>
            <w:tcW w:w="1695" w:type="dxa"/>
            <w:tcBorders>
              <w:top w:val="nil"/>
              <w:left w:val="nil"/>
              <w:bottom w:val="single" w:color="000000" w:sz="8" w:space="0"/>
              <w:right w:val="single" w:color="000000" w:sz="8" w:space="0"/>
            </w:tcBorders>
            <w:shd w:val="clear" w:color="auto" w:fill="auto"/>
            <w:tcMar>
              <w:top w:w="0" w:type="dxa"/>
              <w:left w:w="0" w:type="dxa"/>
              <w:bottom w:w="28" w:type="dxa"/>
              <w:right w:w="108" w:type="dxa"/>
            </w:tcMar>
            <w:vAlign w:val="center"/>
          </w:tcPr>
          <w:p w14:paraId="28C921E6">
            <w:pPr>
              <w:pStyle w:val="2"/>
              <w:keepNext w:val="0"/>
              <w:keepLines w:val="0"/>
              <w:widowControl/>
              <w:suppressLineNumbers w:val="0"/>
            </w:pPr>
            <w:r>
              <w:rPr>
                <w:rFonts w:hint="default" w:ascii="Arial" w:hAnsi="Arial" w:cs="Arial"/>
                <w:sz w:val="24"/>
                <w:szCs w:val="24"/>
              </w:rPr>
              <w:t>　　　　</w:t>
            </w:r>
            <w:r>
              <w:rPr>
                <w:rFonts w:hint="default" w:ascii="Times New Roman" w:hAnsi="Times New Roman" w:cs="Times New Roman"/>
                <w:sz w:val="24"/>
                <w:szCs w:val="24"/>
                <w:lang w:val="en-US"/>
              </w:rPr>
              <w:t>&gt;100</w:t>
            </w:r>
          </w:p>
        </w:tc>
        <w:tc>
          <w:tcPr>
            <w:tcW w:w="1950" w:type="dxa"/>
            <w:tcBorders>
              <w:top w:val="nil"/>
              <w:left w:val="nil"/>
              <w:bottom w:val="single" w:color="000000" w:sz="8" w:space="0"/>
              <w:right w:val="single" w:color="000000" w:sz="8" w:space="0"/>
            </w:tcBorders>
            <w:shd w:val="clear" w:color="auto" w:fill="auto"/>
            <w:tcMar>
              <w:top w:w="0" w:type="dxa"/>
              <w:left w:w="0" w:type="dxa"/>
              <w:bottom w:w="28" w:type="dxa"/>
              <w:right w:w="108" w:type="dxa"/>
            </w:tcMar>
            <w:vAlign w:val="center"/>
          </w:tcPr>
          <w:p w14:paraId="2376117B">
            <w:pPr>
              <w:pStyle w:val="2"/>
              <w:keepNext w:val="0"/>
              <w:keepLines w:val="0"/>
              <w:widowControl/>
              <w:suppressLineNumbers w:val="0"/>
            </w:pPr>
            <w:r>
              <w:rPr>
                <w:rFonts w:hint="default" w:ascii="Arial" w:hAnsi="Arial" w:cs="Arial"/>
                <w:sz w:val="24"/>
                <w:szCs w:val="24"/>
              </w:rPr>
              <w:t>　　　　约束性</w:t>
            </w:r>
          </w:p>
        </w:tc>
      </w:tr>
    </w:tbl>
    <w:p w14:paraId="37454E88">
      <w:pPr>
        <w:pStyle w:val="5"/>
        <w:keepNext w:val="0"/>
        <w:keepLines w:val="0"/>
        <w:widowControl/>
        <w:suppressLineNumbers w:val="0"/>
        <w:spacing w:before="0" w:beforeAutospacing="1" w:after="0" w:afterAutospacing="0" w:line="386" w:lineRule="atLeast"/>
        <w:ind w:left="0" w:right="0"/>
        <w:jc w:val="both"/>
        <w:rPr>
          <w:b w:val="0"/>
          <w:bCs w:val="0"/>
          <w:i w:val="0"/>
          <w:iCs w:val="0"/>
          <w:spacing w:val="0"/>
        </w:rPr>
      </w:pPr>
      <w:r>
        <w:rPr>
          <w:b w:val="0"/>
          <w:bCs w:val="0"/>
          <w:i w:val="0"/>
          <w:iCs w:val="0"/>
          <w:color w:val="000000"/>
          <w:spacing w:val="0"/>
          <w:sz w:val="18"/>
          <w:szCs w:val="18"/>
          <w:lang w:eastAsia="zh-CN"/>
        </w:rPr>
        <w:t>　　三、重点任务和主要措施</w:t>
      </w:r>
    </w:p>
    <w:p w14:paraId="7514F57B">
      <w:pPr>
        <w:pStyle w:val="5"/>
        <w:keepNext w:val="0"/>
        <w:keepLines w:val="0"/>
        <w:widowControl/>
        <w:suppressLineNumbers w:val="0"/>
        <w:spacing w:before="0" w:beforeAutospacing="1" w:after="0" w:afterAutospacing="0" w:line="386" w:lineRule="atLeast"/>
        <w:ind w:left="0" w:right="0"/>
        <w:jc w:val="both"/>
        <w:rPr>
          <w:b w:val="0"/>
          <w:bCs w:val="0"/>
          <w:i w:val="0"/>
          <w:iCs w:val="0"/>
          <w:spacing w:val="0"/>
        </w:rPr>
      </w:pPr>
      <w:r>
        <w:rPr>
          <w:b w:val="0"/>
          <w:bCs w:val="0"/>
          <w:i w:val="0"/>
          <w:iCs w:val="0"/>
          <w:color w:val="000000"/>
          <w:spacing w:val="0"/>
          <w:sz w:val="18"/>
          <w:szCs w:val="18"/>
          <w:lang w:eastAsia="zh-CN"/>
        </w:rPr>
        <w:t>　　（一）健全完善稳定的残疾人社会保障机制，增强残疾人兜底保障能力</w:t>
      </w:r>
    </w:p>
    <w:p w14:paraId="2E0CCA7A">
      <w:pPr>
        <w:pStyle w:val="5"/>
        <w:keepNext w:val="0"/>
        <w:keepLines w:val="0"/>
        <w:widowControl/>
        <w:suppressLineNumbers w:val="0"/>
        <w:spacing w:before="0" w:beforeAutospacing="1" w:after="0" w:afterAutospacing="0" w:line="386" w:lineRule="atLeast"/>
        <w:ind w:left="0" w:right="0"/>
        <w:jc w:val="both"/>
        <w:rPr>
          <w:spacing w:val="0"/>
        </w:rPr>
      </w:pPr>
      <w:r>
        <w:rPr>
          <w:b w:val="0"/>
          <w:bCs w:val="0"/>
          <w:i w:val="0"/>
          <w:iCs w:val="0"/>
          <w:color w:val="000000"/>
          <w:spacing w:val="0"/>
          <w:sz w:val="18"/>
          <w:szCs w:val="18"/>
          <w:lang w:eastAsia="zh-CN"/>
        </w:rPr>
        <w:t>　　</w:t>
      </w:r>
      <w:r>
        <w:rPr>
          <w:rFonts w:hint="default" w:ascii="Calibri" w:hAnsi="Calibri" w:cs="Calibri"/>
          <w:b w:val="0"/>
          <w:bCs w:val="0"/>
          <w:i w:val="0"/>
          <w:iCs w:val="0"/>
          <w:color w:val="000000"/>
          <w:spacing w:val="0"/>
          <w:sz w:val="18"/>
          <w:szCs w:val="18"/>
          <w:lang w:val="en-US"/>
        </w:rPr>
        <w:t>1.</w:t>
      </w:r>
      <w:r>
        <w:rPr>
          <w:b w:val="0"/>
          <w:bCs w:val="0"/>
          <w:i w:val="0"/>
          <w:iCs w:val="0"/>
          <w:color w:val="000000"/>
          <w:spacing w:val="0"/>
          <w:sz w:val="18"/>
          <w:szCs w:val="18"/>
          <w:lang w:eastAsia="zh-CN"/>
        </w:rPr>
        <w:t>巩固拓展残疾人脱贫攻坚成果。健全易返贫致贫人口动态监测预警和帮扶机制，将符合条件的残疾人及时纳入易返贫致贫监测范围，对易返贫致贫残疾人及时给予有效帮扶，实现巩固拓展残疾人</w:t>
      </w:r>
      <w:r>
        <w:rPr>
          <w:rFonts w:hint="eastAsia"/>
          <w:b w:val="0"/>
          <w:bCs w:val="0"/>
          <w:i w:val="0"/>
          <w:iCs w:val="0"/>
          <w:color w:val="000000"/>
          <w:spacing w:val="0"/>
          <w:sz w:val="18"/>
          <w:szCs w:val="18"/>
          <w:lang w:eastAsia="zh-CN"/>
        </w:rPr>
        <w:t>脱贫攻坚成果同乡村振兴有效衔接</w:t>
      </w:r>
      <w:r>
        <w:rPr>
          <w:b w:val="0"/>
          <w:bCs w:val="0"/>
          <w:i w:val="0"/>
          <w:iCs w:val="0"/>
          <w:color w:val="000000"/>
          <w:spacing w:val="0"/>
          <w:sz w:val="18"/>
          <w:szCs w:val="18"/>
          <w:lang w:eastAsia="zh-CN"/>
        </w:rPr>
        <w:t>。做好易地搬迁残疾人后续帮扶工作，持续做好农村低收入残疾人家庭帮扶工作，动员社会力量参与残疾人帮扶。保障农村牧区残疾人的宅基地、牧场使用权、土地承包经营权和集体经济的收益分配权，在深化农村集体产权制度改革中帮助残疾人共享集体经济发展成果。扶持农村残疾人参与乡村富民产业，分享产业链增值收益。充分发挥基层党组织在扶残助残中的重要作用，组织协调各方面资源力量加强对残疾人的关心关爱。（旗乡村振兴局牵头，旗委组织部、旗发展和改革委员会、旗民政局、旗农牧局、旗残疾人联合会按照职能分工负责）</w:t>
      </w:r>
    </w:p>
    <w:p w14:paraId="1ACD3AB3">
      <w:pPr>
        <w:pStyle w:val="5"/>
        <w:keepNext w:val="0"/>
        <w:keepLines w:val="0"/>
        <w:widowControl/>
        <w:suppressLineNumbers w:val="0"/>
        <w:spacing w:before="0" w:beforeAutospacing="1" w:after="0" w:afterAutospacing="0" w:line="386" w:lineRule="atLeast"/>
        <w:ind w:left="0" w:right="0"/>
        <w:jc w:val="both"/>
        <w:rPr>
          <w:spacing w:val="0"/>
        </w:rPr>
      </w:pPr>
      <w:r>
        <w:rPr>
          <w:b w:val="0"/>
          <w:bCs w:val="0"/>
          <w:i w:val="0"/>
          <w:iCs w:val="0"/>
          <w:color w:val="000000"/>
          <w:spacing w:val="0"/>
          <w:sz w:val="18"/>
          <w:szCs w:val="18"/>
          <w:lang w:eastAsia="zh-CN"/>
        </w:rPr>
        <w:t>　　</w:t>
      </w:r>
      <w:r>
        <w:rPr>
          <w:rFonts w:hint="default" w:ascii="Calibri" w:hAnsi="Calibri" w:cs="Calibri"/>
          <w:b w:val="0"/>
          <w:bCs w:val="0"/>
          <w:i w:val="0"/>
          <w:iCs w:val="0"/>
          <w:color w:val="000000"/>
          <w:spacing w:val="0"/>
          <w:sz w:val="18"/>
          <w:szCs w:val="18"/>
          <w:lang w:val="en-US"/>
        </w:rPr>
        <w:t>2.</w:t>
      </w:r>
      <w:r>
        <w:rPr>
          <w:b w:val="0"/>
          <w:bCs w:val="0"/>
          <w:i w:val="0"/>
          <w:iCs w:val="0"/>
          <w:color w:val="000000"/>
          <w:spacing w:val="0"/>
          <w:sz w:val="18"/>
          <w:szCs w:val="18"/>
          <w:lang w:eastAsia="zh-CN"/>
        </w:rPr>
        <w:t>强化困难残疾人社会救助保障。健全低收入人口动态监测机制，对符合低保、特困、低保边缘家庭等易返贫致贫和因病因灾因意外事故等刚性支出较大导致基本生活出现严重困难的支出型困难残疾人家庭，依据实际需要给予相应救助。建立主动发现机制，为符合条件残疾人和残疾人家庭提供特困人员救助供养或最低生活保障。将符合条件残疾人家庭无力抚养的儿童纳入事实无人抚养儿童保障范围。健全困境儿童保障制度，加强残疾孤儿和事实无人抚养残疾儿童医疗、康复、教育等服务，加强生活无着落、走失残疾人救助安置和寻亲服务。加强医疗救助，推动残疾人医疗救助同医疗保险、大病保险互补衔接。（旗民政局、旗残疾人联合会牵头，旗教育体育局、旗公安局、旗财政局、旗人力资源和社会保障局、旗住房和城乡建设局、旗医疗保障局、鄂尔多斯银保监分局杭锦监管组按照职能分工负责）</w:t>
      </w:r>
    </w:p>
    <w:p w14:paraId="77ED878F">
      <w:pPr>
        <w:pStyle w:val="5"/>
        <w:keepNext w:val="0"/>
        <w:keepLines w:val="0"/>
        <w:widowControl/>
        <w:suppressLineNumbers w:val="0"/>
        <w:spacing w:before="0" w:beforeAutospacing="1" w:after="0" w:afterAutospacing="0" w:line="386" w:lineRule="atLeast"/>
        <w:ind w:left="0" w:right="0"/>
        <w:jc w:val="both"/>
        <w:rPr>
          <w:spacing w:val="0"/>
        </w:rPr>
      </w:pPr>
      <w:r>
        <w:rPr>
          <w:b w:val="0"/>
          <w:bCs w:val="0"/>
          <w:i w:val="0"/>
          <w:iCs w:val="0"/>
          <w:color w:val="000000"/>
          <w:spacing w:val="0"/>
          <w:sz w:val="18"/>
          <w:szCs w:val="18"/>
          <w:lang w:eastAsia="zh-CN"/>
        </w:rPr>
        <w:t>　　</w:t>
      </w:r>
      <w:r>
        <w:rPr>
          <w:rFonts w:hint="default" w:ascii="Calibri" w:hAnsi="Calibri" w:cs="Calibri"/>
          <w:b w:val="0"/>
          <w:bCs w:val="0"/>
          <w:i w:val="0"/>
          <w:iCs w:val="0"/>
          <w:color w:val="000000"/>
          <w:spacing w:val="0"/>
          <w:sz w:val="18"/>
          <w:szCs w:val="18"/>
          <w:lang w:val="en-US"/>
        </w:rPr>
        <w:t>3.</w:t>
      </w:r>
      <w:r>
        <w:rPr>
          <w:b w:val="0"/>
          <w:bCs w:val="0"/>
          <w:i w:val="0"/>
          <w:iCs w:val="0"/>
          <w:color w:val="000000"/>
          <w:spacing w:val="0"/>
          <w:sz w:val="18"/>
          <w:szCs w:val="18"/>
          <w:lang w:eastAsia="zh-CN"/>
        </w:rPr>
        <w:t>健全残疾人社会福利保障机制。将未纳入低保或特困供养范围的低收入家庭中的重病、重残人员参照“单人户”纳入低保。建立困难残疾人生活补贴、重度残疾人护理补贴标准动态调整和“一人一档”精准帮扶工作机制。力争将重度残疾人护理补贴范围向其他残疾人延伸，困难残疾人生活补贴范围向低保边缘家庭等其他困难残疾人延伸。加快发展残疾人托养和照护服务。落实托养服务机构扶持政策，加大对残疾人托养机构、辅助性就业机构及“阳光家园”“温馨家园”等日间照料机构的扶持力度，为就业年龄段智力、精神和重度肢体残疾人等提供托养服务，为符合条件重度残疾人提供集中照护服务。构建日间照料、居家服务、邻里互助等多种形式的社会化照护服务体系。公益性养老服务资源优先满足符合条件的失能、半失能和盲、聋、智力、精神等残疾老年人的需要。对符合条件残疾人家庭优先轮候、优先选房，优先安排各类保障性用房。落实低收入残疾人家庭生活用水、电、燃气、取暖优惠补贴政策和电视网络收视、电信业务资费优惠政策。落实残疾人免费乘坐市内公共交通工具和其他为残疾人提供便利服务的优惠政策。（旗民政局、旗残疾人联合会牵头，旗发展和改革委员会、旗财政局、旗住房和城乡建设局、旗交通运输局、旗</w:t>
      </w:r>
      <w:r>
        <w:rPr>
          <w:rFonts w:hint="eastAsia"/>
          <w:b w:val="0"/>
          <w:bCs w:val="0"/>
          <w:i w:val="0"/>
          <w:iCs w:val="0"/>
          <w:color w:val="000000"/>
          <w:spacing w:val="0"/>
          <w:sz w:val="18"/>
          <w:szCs w:val="18"/>
          <w:lang w:eastAsia="zh-CN"/>
        </w:rPr>
        <w:t>卫生健康委员会</w:t>
      </w:r>
      <w:r>
        <w:rPr>
          <w:b w:val="0"/>
          <w:bCs w:val="0"/>
          <w:i w:val="0"/>
          <w:iCs w:val="0"/>
          <w:color w:val="000000"/>
          <w:spacing w:val="0"/>
          <w:sz w:val="18"/>
          <w:szCs w:val="18"/>
          <w:lang w:eastAsia="zh-CN"/>
        </w:rPr>
        <w:t>、旗融媒体中心、旗大数据中心，旗电信、联通、移动公司等按照职能分工负责）</w:t>
      </w:r>
    </w:p>
    <w:p w14:paraId="3D2BA5E0">
      <w:pPr>
        <w:pStyle w:val="5"/>
        <w:keepNext w:val="0"/>
        <w:keepLines w:val="0"/>
        <w:widowControl/>
        <w:suppressLineNumbers w:val="0"/>
        <w:spacing w:before="0" w:beforeAutospacing="1" w:after="0" w:afterAutospacing="0" w:line="386" w:lineRule="atLeast"/>
        <w:ind w:left="0" w:right="0"/>
        <w:jc w:val="both"/>
        <w:rPr>
          <w:spacing w:val="0"/>
        </w:rPr>
      </w:pPr>
      <w:r>
        <w:rPr>
          <w:b w:val="0"/>
          <w:bCs w:val="0"/>
          <w:i w:val="0"/>
          <w:iCs w:val="0"/>
          <w:color w:val="000000"/>
          <w:spacing w:val="0"/>
          <w:sz w:val="18"/>
          <w:szCs w:val="18"/>
          <w:lang w:eastAsia="zh-CN"/>
        </w:rPr>
        <w:t>　　</w:t>
      </w:r>
      <w:r>
        <w:rPr>
          <w:rFonts w:hint="default" w:ascii="Calibri" w:hAnsi="Calibri" w:cs="Calibri"/>
          <w:b w:val="0"/>
          <w:bCs w:val="0"/>
          <w:i w:val="0"/>
          <w:iCs w:val="0"/>
          <w:color w:val="000000"/>
          <w:spacing w:val="0"/>
          <w:sz w:val="18"/>
          <w:szCs w:val="18"/>
          <w:lang w:val="en-US"/>
        </w:rPr>
        <w:t>4.</w:t>
      </w:r>
      <w:r>
        <w:rPr>
          <w:b w:val="0"/>
          <w:bCs w:val="0"/>
          <w:i w:val="0"/>
          <w:iCs w:val="0"/>
          <w:color w:val="000000"/>
          <w:spacing w:val="0"/>
          <w:sz w:val="18"/>
          <w:szCs w:val="18"/>
          <w:lang w:eastAsia="zh-CN"/>
        </w:rPr>
        <w:t>健全残疾人综合保险保障机制。完善重度残疾人医疗报销制度，按照市级统筹政策，逐步扩大基本医疗保险支付的医疗康复项目范围。探索残疾儿童康复救助和残疾人医疗康复项目纳入基本医保支付范围；探索将符合条件的新型残疾人康复医疗项目和治疗性康复辅助器具适配项目纳入基本医保支付范围。落实重度残疾人参加城乡居民养老保险和残疾人个体工商户、安置残疾人就业单位社会保险补贴政策，落实丧失劳动能力的残疾人参加城乡居民社会保险个人缴费资助政策，帮助残疾人按规定参加基本养老和基本医疗保险，实现应保尽保。积极落实残疾人意外伤害保险政策。支持商业保险机构对残疾人实施优惠保险费率，鼓励开发适合残疾人的补充养老、补充医疗等商业保险产品及财产信托等业务。支持就业残疾人依法参加失业保险，享受失业保险待遇。做好重性精神病药物维持治疗参保患者门诊保障工作，提高残疾人保险覆盖率和待遇水平。（旗人力资源和社会保障局、旗医疗保障局牵头，旗财政局、旗残疾人联合会、鄂尔多斯银保监分局杭锦监管组按照职能分工负责）</w:t>
      </w:r>
    </w:p>
    <w:p w14:paraId="6F9492F2">
      <w:pPr>
        <w:pStyle w:val="5"/>
        <w:keepNext w:val="0"/>
        <w:keepLines w:val="0"/>
        <w:widowControl/>
        <w:suppressLineNumbers w:val="0"/>
        <w:spacing w:before="0" w:beforeAutospacing="1" w:after="0" w:afterAutospacing="0" w:line="386" w:lineRule="atLeast"/>
        <w:ind w:left="0" w:right="0"/>
        <w:jc w:val="both"/>
        <w:rPr>
          <w:spacing w:val="0"/>
        </w:rPr>
      </w:pPr>
      <w:r>
        <w:rPr>
          <w:b w:val="0"/>
          <w:bCs w:val="0"/>
          <w:i w:val="0"/>
          <w:iCs w:val="0"/>
          <w:color w:val="000000"/>
          <w:spacing w:val="0"/>
          <w:sz w:val="18"/>
          <w:szCs w:val="18"/>
          <w:lang w:eastAsia="zh-CN"/>
        </w:rPr>
        <w:t>　　</w:t>
      </w:r>
      <w:r>
        <w:rPr>
          <w:rFonts w:hint="default" w:ascii="Calibri" w:hAnsi="Calibri" w:cs="Calibri"/>
          <w:b w:val="0"/>
          <w:bCs w:val="0"/>
          <w:i w:val="0"/>
          <w:iCs w:val="0"/>
          <w:color w:val="000000"/>
          <w:spacing w:val="0"/>
          <w:sz w:val="18"/>
          <w:szCs w:val="18"/>
          <w:lang w:val="en-US"/>
        </w:rPr>
        <w:t>5.</w:t>
      </w:r>
      <w:r>
        <w:rPr>
          <w:b w:val="0"/>
          <w:bCs w:val="0"/>
          <w:i w:val="0"/>
          <w:iCs w:val="0"/>
          <w:color w:val="000000"/>
          <w:spacing w:val="0"/>
          <w:sz w:val="18"/>
          <w:szCs w:val="18"/>
          <w:lang w:eastAsia="zh-CN"/>
        </w:rPr>
        <w:t>健全残疾军人和伤残民警抚恤优待保障机制。落实残疾军人和伤残民警抚恤优待政策，妥善解决伤病残军人生活待遇、子女入学、家属就业等现实困难，帮助残疾军人、伤残民警享有普惠性社会保障和公共服务。（旗退役军人事务局、旗公安局牵头，旗教育体育局、旗残疾人联合会等部门按照职能分工负责）</w:t>
      </w:r>
    </w:p>
    <w:p w14:paraId="189656FC">
      <w:pPr>
        <w:pStyle w:val="5"/>
        <w:keepNext w:val="0"/>
        <w:keepLines w:val="0"/>
        <w:widowControl/>
        <w:suppressLineNumbers w:val="0"/>
        <w:spacing w:before="0" w:beforeAutospacing="1" w:after="0" w:afterAutospacing="0" w:line="386" w:lineRule="atLeast"/>
        <w:ind w:left="0" w:right="0"/>
        <w:jc w:val="both"/>
        <w:rPr>
          <w:spacing w:val="0"/>
        </w:rPr>
      </w:pPr>
      <w:r>
        <w:rPr>
          <w:b w:val="0"/>
          <w:bCs w:val="0"/>
          <w:i w:val="0"/>
          <w:iCs w:val="0"/>
          <w:color w:val="000000"/>
          <w:spacing w:val="0"/>
          <w:sz w:val="18"/>
          <w:szCs w:val="18"/>
          <w:lang w:eastAsia="zh-CN"/>
        </w:rPr>
        <w:t>　　</w:t>
      </w:r>
      <w:r>
        <w:rPr>
          <w:rFonts w:hint="default" w:ascii="Calibri" w:hAnsi="Calibri" w:cs="Calibri"/>
          <w:b w:val="0"/>
          <w:bCs w:val="0"/>
          <w:i w:val="0"/>
          <w:iCs w:val="0"/>
          <w:color w:val="000000"/>
          <w:spacing w:val="0"/>
          <w:sz w:val="18"/>
          <w:szCs w:val="18"/>
          <w:lang w:val="en-US"/>
        </w:rPr>
        <w:t>6.</w:t>
      </w:r>
      <w:r>
        <w:rPr>
          <w:b w:val="0"/>
          <w:bCs w:val="0"/>
          <w:i w:val="0"/>
          <w:iCs w:val="0"/>
          <w:color w:val="000000"/>
          <w:spacing w:val="0"/>
          <w:sz w:val="18"/>
          <w:szCs w:val="18"/>
          <w:lang w:eastAsia="zh-CN"/>
        </w:rPr>
        <w:t>加强突发公共事件中对残疾人的保护。将残疾人列入突发公共事件应急方案的优先保护对象，完善残疾人应急避险工作方案，最大限度保护残疾人生命安全和身体健康。在属地疫情防控领导机构统一指挥下，协助做好康复服务机构、辅助性就业机构等重点部门和残疾儿童、精神、智力和重度残疾人等重点人群的疫情防控工作，加强残疾人重大疫情防控和疫情期间的生产生活帮扶工作，提升残疾人应急避险服务和救助水平。加强重大疫情应对及突发灾害技能知识宣传，增强残疾人的危机意识和防灾应急能力。（旗应急管理局牵头，旗民政局、旗</w:t>
      </w:r>
      <w:r>
        <w:rPr>
          <w:rFonts w:hint="eastAsia"/>
          <w:b w:val="0"/>
          <w:bCs w:val="0"/>
          <w:i w:val="0"/>
          <w:iCs w:val="0"/>
          <w:color w:val="000000"/>
          <w:spacing w:val="0"/>
          <w:sz w:val="18"/>
          <w:szCs w:val="18"/>
          <w:lang w:eastAsia="zh-CN"/>
        </w:rPr>
        <w:t>卫生健康委员会</w:t>
      </w:r>
      <w:r>
        <w:rPr>
          <w:b w:val="0"/>
          <w:bCs w:val="0"/>
          <w:i w:val="0"/>
          <w:iCs w:val="0"/>
          <w:color w:val="000000"/>
          <w:spacing w:val="0"/>
          <w:sz w:val="18"/>
          <w:szCs w:val="18"/>
          <w:lang w:eastAsia="zh-CN"/>
        </w:rPr>
        <w:t>、旗残疾人联合会按职能分工负责）</w:t>
      </w:r>
    </w:p>
    <w:p w14:paraId="3B9C5A0C">
      <w:pPr>
        <w:pStyle w:val="5"/>
        <w:keepNext w:val="0"/>
        <w:keepLines w:val="0"/>
        <w:widowControl/>
        <w:suppressLineNumbers w:val="0"/>
        <w:spacing w:before="0" w:beforeAutospacing="1" w:after="0" w:afterAutospacing="0" w:line="386" w:lineRule="atLeast"/>
        <w:ind w:left="0" w:right="0"/>
        <w:jc w:val="both"/>
        <w:rPr>
          <w:spacing w:val="0"/>
        </w:rPr>
      </w:pPr>
      <w:r>
        <w:rPr>
          <w:b w:val="0"/>
          <w:bCs w:val="0"/>
          <w:i w:val="0"/>
          <w:iCs w:val="0"/>
          <w:color w:val="000000"/>
          <w:spacing w:val="0"/>
          <w:sz w:val="18"/>
          <w:szCs w:val="18"/>
          <w:lang w:eastAsia="zh-CN"/>
        </w:rPr>
        <w:t>　　专栏</w:t>
      </w:r>
      <w:r>
        <w:rPr>
          <w:rFonts w:hint="default" w:ascii="Calibri" w:hAnsi="Calibri" w:cs="Calibri"/>
          <w:b w:val="0"/>
          <w:bCs w:val="0"/>
          <w:i w:val="0"/>
          <w:iCs w:val="0"/>
          <w:color w:val="000000"/>
          <w:spacing w:val="0"/>
          <w:sz w:val="18"/>
          <w:szCs w:val="18"/>
          <w:lang w:val="en-US"/>
        </w:rPr>
        <w:t>2  </w:t>
      </w:r>
      <w:r>
        <w:rPr>
          <w:b w:val="0"/>
          <w:bCs w:val="0"/>
          <w:i w:val="0"/>
          <w:iCs w:val="0"/>
          <w:color w:val="000000"/>
          <w:spacing w:val="0"/>
          <w:sz w:val="18"/>
          <w:szCs w:val="18"/>
          <w:lang w:eastAsia="zh-CN"/>
        </w:rPr>
        <w:t>残疾人社会保障重点项目</w:t>
      </w:r>
    </w:p>
    <w:p w14:paraId="1FDBBD7D">
      <w:pPr>
        <w:pStyle w:val="5"/>
        <w:keepNext w:val="0"/>
        <w:keepLines w:val="0"/>
        <w:widowControl/>
        <w:suppressLineNumbers w:val="0"/>
        <w:spacing w:before="0" w:beforeAutospacing="1" w:after="0" w:afterAutospacing="0" w:line="386" w:lineRule="atLeast"/>
        <w:ind w:left="0" w:right="0"/>
        <w:jc w:val="both"/>
        <w:rPr>
          <w:b w:val="0"/>
          <w:bCs w:val="0"/>
          <w:i w:val="0"/>
          <w:iCs w:val="0"/>
          <w:spacing w:val="0"/>
        </w:rPr>
      </w:pPr>
      <w:r>
        <w:rPr>
          <w:b w:val="0"/>
          <w:bCs w:val="0"/>
          <w:i w:val="0"/>
          <w:iCs w:val="0"/>
          <w:color w:val="000000"/>
          <w:spacing w:val="0"/>
          <w:sz w:val="18"/>
          <w:szCs w:val="18"/>
          <w:lang w:eastAsia="zh-CN"/>
        </w:rPr>
        <w:t>　　</w:t>
      </w:r>
    </w:p>
    <w:tbl>
      <w:tblPr>
        <w:tblStyle w:val="3"/>
        <w:tblW w:w="1038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0" w:type="dxa"/>
          <w:left w:w="30" w:type="dxa"/>
          <w:bottom w:w="30" w:type="dxa"/>
          <w:right w:w="30" w:type="dxa"/>
        </w:tblCellMar>
      </w:tblPr>
      <w:tblGrid>
        <w:gridCol w:w="10380"/>
      </w:tblGrid>
      <w:tr w14:paraId="467BD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0" w:type="dxa"/>
            <w:left w:w="30" w:type="dxa"/>
            <w:bottom w:w="30" w:type="dxa"/>
            <w:right w:w="30" w:type="dxa"/>
          </w:tblCellMar>
        </w:tblPrEx>
        <w:trPr>
          <w:tblCellSpacing w:w="0" w:type="dxa"/>
          <w:jc w:val="center"/>
        </w:trPr>
        <w:tc>
          <w:tcPr>
            <w:tcW w:w="10260" w:type="dxa"/>
            <w:tcBorders>
              <w:top w:val="single" w:color="000000" w:sz="8" w:space="0"/>
              <w:left w:val="single" w:color="000000" w:sz="8" w:space="0"/>
              <w:bottom w:val="single" w:color="000000" w:sz="8" w:space="0"/>
              <w:right w:val="single" w:color="000000" w:sz="8" w:space="0"/>
            </w:tcBorders>
            <w:shd w:val="clear" w:color="auto" w:fill="auto"/>
            <w:tcMar>
              <w:top w:w="28" w:type="dxa"/>
              <w:left w:w="108" w:type="dxa"/>
              <w:bottom w:w="28" w:type="dxa"/>
              <w:right w:w="108" w:type="dxa"/>
            </w:tcMar>
            <w:vAlign w:val="top"/>
          </w:tcPr>
          <w:p w14:paraId="502FE6E8">
            <w:pPr>
              <w:pStyle w:val="2"/>
              <w:keepNext w:val="0"/>
              <w:keepLines w:val="0"/>
              <w:widowControl/>
              <w:suppressLineNumbers w:val="0"/>
            </w:pPr>
            <w:r>
              <w:t>         </w:t>
            </w:r>
            <w:r>
              <w:rPr>
                <w:rFonts w:hint="default" w:ascii="Times New Roman" w:hAnsi="Times New Roman" w:cs="Times New Roman"/>
                <w:sz w:val="24"/>
                <w:szCs w:val="24"/>
                <w:lang w:val="en-US"/>
              </w:rPr>
              <w:t>1.</w:t>
            </w:r>
            <w:r>
              <w:rPr>
                <w:rFonts w:hint="eastAsia" w:ascii="宋体" w:hAnsi="宋体" w:eastAsia="宋体" w:cs="宋体"/>
                <w:sz w:val="24"/>
                <w:szCs w:val="24"/>
              </w:rPr>
              <w:t>社会救助保障。</w:t>
            </w:r>
            <w:r>
              <w:rPr>
                <w:rFonts w:hint="default" w:ascii="Arial" w:hAnsi="Arial" w:cs="Arial"/>
                <w:sz w:val="24"/>
                <w:szCs w:val="24"/>
              </w:rPr>
              <w:t>将依老养残、一户多残、病残一体等符合条件的城乡残疾人纳入特困人员救助供养范围，确保应养尽养。对符合低保、特困、低保边缘家庭等易返贫致贫和因病因灾因意外事故等刚性支出较大导致基本生活出现严重困难的支出型困难残疾人家庭，依据实际需要给予相应救助。</w:t>
            </w:r>
          </w:p>
          <w:p w14:paraId="210B8802">
            <w:pPr>
              <w:pStyle w:val="2"/>
              <w:keepNext w:val="0"/>
              <w:keepLines w:val="0"/>
              <w:widowControl/>
              <w:suppressLineNumbers w:val="0"/>
            </w:pPr>
            <w:r>
              <w:rPr>
                <w:rFonts w:hint="default" w:ascii="Arial" w:hAnsi="Arial" w:cs="Arial"/>
                <w:sz w:val="24"/>
                <w:szCs w:val="24"/>
              </w:rPr>
              <w:t>　　</w:t>
            </w:r>
            <w:r>
              <w:rPr>
                <w:rFonts w:hint="default" w:ascii="Times New Roman" w:hAnsi="Times New Roman" w:cs="Times New Roman"/>
                <w:sz w:val="24"/>
                <w:szCs w:val="24"/>
                <w:lang w:val="en-US"/>
              </w:rPr>
              <w:t>2.</w:t>
            </w:r>
            <w:r>
              <w:rPr>
                <w:rFonts w:hint="eastAsia" w:ascii="宋体" w:hAnsi="宋体" w:eastAsia="宋体" w:cs="宋体"/>
                <w:sz w:val="24"/>
                <w:szCs w:val="24"/>
              </w:rPr>
              <w:t>困难残疾人生活补贴和重度残疾人护理补贴。</w:t>
            </w:r>
            <w:r>
              <w:rPr>
                <w:rFonts w:hint="default" w:ascii="Arial" w:hAnsi="Arial" w:cs="Arial"/>
                <w:sz w:val="24"/>
                <w:szCs w:val="24"/>
              </w:rPr>
              <w:t>建立补贴标准动态调整机制，按照上级要求落实重度残疾人护理补贴范围向其他残疾人延伸，困难残疾人生活补贴范围向低保边缘家庭等其他困难残疾人延伸的政策。</w:t>
            </w:r>
          </w:p>
          <w:p w14:paraId="7A4FF0E2">
            <w:pPr>
              <w:pStyle w:val="2"/>
              <w:keepNext w:val="0"/>
              <w:keepLines w:val="0"/>
              <w:widowControl/>
              <w:suppressLineNumbers w:val="0"/>
            </w:pPr>
            <w:r>
              <w:rPr>
                <w:rFonts w:hint="default" w:ascii="Arial" w:hAnsi="Arial" w:cs="Arial"/>
                <w:sz w:val="24"/>
                <w:szCs w:val="24"/>
              </w:rPr>
              <w:t>　　</w:t>
            </w:r>
            <w:r>
              <w:rPr>
                <w:rFonts w:hint="default" w:ascii="Times New Roman" w:hAnsi="Times New Roman" w:cs="Times New Roman"/>
                <w:sz w:val="24"/>
                <w:szCs w:val="24"/>
                <w:lang w:val="en-US"/>
              </w:rPr>
              <w:t>3.</w:t>
            </w:r>
            <w:r>
              <w:rPr>
                <w:rFonts w:hint="eastAsia" w:ascii="宋体" w:hAnsi="宋体" w:eastAsia="宋体" w:cs="宋体"/>
                <w:sz w:val="24"/>
                <w:szCs w:val="24"/>
              </w:rPr>
              <w:t>残疾人教育救助。</w:t>
            </w:r>
            <w:r>
              <w:rPr>
                <w:rFonts w:hint="default" w:ascii="Arial" w:hAnsi="Arial" w:cs="Arial"/>
                <w:sz w:val="24"/>
                <w:szCs w:val="24"/>
              </w:rPr>
              <w:t>落实残疾人教育救助，对接受学前教育、义务教育、普通中等教育和职业教育、普通高等教育的困难残疾学生给予救助。</w:t>
            </w:r>
          </w:p>
          <w:p w14:paraId="04A42053">
            <w:pPr>
              <w:pStyle w:val="2"/>
              <w:keepNext w:val="0"/>
              <w:keepLines w:val="0"/>
              <w:widowControl/>
              <w:suppressLineNumbers w:val="0"/>
            </w:pPr>
            <w:r>
              <w:rPr>
                <w:rFonts w:hint="default" w:ascii="Arial" w:hAnsi="Arial" w:cs="Arial"/>
                <w:sz w:val="24"/>
                <w:szCs w:val="24"/>
              </w:rPr>
              <w:t>　　</w:t>
            </w:r>
            <w:r>
              <w:rPr>
                <w:rFonts w:hint="default" w:ascii="Times New Roman" w:hAnsi="Times New Roman" w:cs="Times New Roman"/>
                <w:sz w:val="24"/>
                <w:szCs w:val="24"/>
                <w:lang w:val="en-US"/>
              </w:rPr>
              <w:t>4.</w:t>
            </w:r>
            <w:r>
              <w:rPr>
                <w:rFonts w:hint="eastAsia" w:ascii="宋体" w:hAnsi="宋体" w:eastAsia="宋体" w:cs="宋体"/>
                <w:sz w:val="24"/>
                <w:szCs w:val="24"/>
              </w:rPr>
              <w:t>残疾人照护和托养服务补贴。加大对残疾人托养机构、辅助性就业机构及“阳光家园”“温馨家园”等日间照料机构的扶持力度</w:t>
            </w:r>
            <w:r>
              <w:rPr>
                <w:rFonts w:hint="default" w:ascii="Arial" w:hAnsi="Arial" w:cs="Arial"/>
                <w:sz w:val="24"/>
                <w:szCs w:val="24"/>
              </w:rPr>
              <w:t>，为符合条件的重度残疾人提供集中照护服务。</w:t>
            </w:r>
          </w:p>
          <w:p w14:paraId="76E1644E">
            <w:pPr>
              <w:pStyle w:val="2"/>
              <w:keepNext w:val="0"/>
              <w:keepLines w:val="0"/>
              <w:widowControl/>
              <w:suppressLineNumbers w:val="0"/>
            </w:pPr>
            <w:r>
              <w:rPr>
                <w:rFonts w:hint="default" w:ascii="Arial" w:hAnsi="Arial" w:cs="Arial"/>
                <w:sz w:val="24"/>
                <w:szCs w:val="24"/>
              </w:rPr>
              <w:t>　　</w:t>
            </w:r>
            <w:r>
              <w:rPr>
                <w:rFonts w:hint="default" w:ascii="Times New Roman" w:hAnsi="Times New Roman" w:cs="Times New Roman"/>
                <w:sz w:val="24"/>
                <w:szCs w:val="24"/>
                <w:lang w:val="en-US"/>
              </w:rPr>
              <w:t>5.</w:t>
            </w:r>
            <w:r>
              <w:rPr>
                <w:rFonts w:hint="eastAsia" w:ascii="宋体" w:hAnsi="宋体" w:eastAsia="宋体" w:cs="宋体"/>
                <w:sz w:val="24"/>
                <w:szCs w:val="24"/>
              </w:rPr>
              <w:t>优惠保障。</w:t>
            </w:r>
            <w:r>
              <w:rPr>
                <w:rFonts w:hint="default" w:ascii="Arial" w:hAnsi="Arial" w:cs="Arial"/>
                <w:sz w:val="24"/>
                <w:szCs w:val="24"/>
              </w:rPr>
              <w:t>对符合条件的残疾人家庭优先安排各类保障性用房。落实低收入残疾人家庭生活用水、电、燃气、取暖优惠补贴政策和电视网络收视、电信业务资费优惠政策。</w:t>
            </w:r>
          </w:p>
          <w:p w14:paraId="0132CA2B">
            <w:pPr>
              <w:pStyle w:val="2"/>
              <w:keepNext w:val="0"/>
              <w:keepLines w:val="0"/>
              <w:widowControl/>
              <w:suppressLineNumbers w:val="0"/>
            </w:pPr>
            <w:r>
              <w:rPr>
                <w:rFonts w:hint="default" w:ascii="Arial" w:hAnsi="Arial" w:cs="Arial"/>
                <w:sz w:val="24"/>
                <w:szCs w:val="24"/>
              </w:rPr>
              <w:t>　　</w:t>
            </w:r>
            <w:r>
              <w:rPr>
                <w:rFonts w:hint="default" w:ascii="Times New Roman" w:hAnsi="Times New Roman" w:cs="Times New Roman"/>
                <w:sz w:val="24"/>
                <w:szCs w:val="24"/>
                <w:lang w:val="en-US"/>
              </w:rPr>
              <w:t>6.</w:t>
            </w:r>
            <w:r>
              <w:rPr>
                <w:rFonts w:hint="eastAsia" w:ascii="宋体" w:hAnsi="宋体" w:eastAsia="宋体" w:cs="宋体"/>
                <w:sz w:val="24"/>
                <w:szCs w:val="24"/>
              </w:rPr>
              <w:t>保险补贴。</w:t>
            </w:r>
            <w:r>
              <w:rPr>
                <w:rFonts w:hint="default" w:ascii="Arial" w:hAnsi="Arial" w:cs="Arial"/>
                <w:sz w:val="24"/>
                <w:szCs w:val="24"/>
              </w:rPr>
              <w:t>落实为重度残疾人代缴城乡居民基本养老保险、资助符合条件的残疾人参加城乡居民基本医疗保险、对残疾人个体工商户和安置残疾人就业单位社会保险进行补贴等政策，提高残疾人保险覆盖率和待遇水平。</w:t>
            </w:r>
          </w:p>
          <w:p w14:paraId="0E33C374">
            <w:pPr>
              <w:pStyle w:val="2"/>
              <w:keepNext w:val="0"/>
              <w:keepLines w:val="0"/>
              <w:widowControl/>
              <w:suppressLineNumbers w:val="0"/>
            </w:pPr>
            <w:r>
              <w:rPr>
                <w:rFonts w:hint="default" w:ascii="Arial" w:hAnsi="Arial" w:cs="Arial"/>
                <w:sz w:val="24"/>
                <w:szCs w:val="24"/>
              </w:rPr>
              <w:t>　　</w:t>
            </w:r>
            <w:r>
              <w:rPr>
                <w:rFonts w:hint="default" w:ascii="Times New Roman" w:hAnsi="Times New Roman" w:cs="Times New Roman"/>
                <w:sz w:val="24"/>
                <w:szCs w:val="24"/>
                <w:lang w:val="en-US"/>
              </w:rPr>
              <w:t>7.</w:t>
            </w:r>
            <w:r>
              <w:rPr>
                <w:rFonts w:hint="eastAsia" w:ascii="宋体" w:hAnsi="宋体" w:eastAsia="宋体" w:cs="宋体"/>
                <w:sz w:val="24"/>
                <w:szCs w:val="24"/>
              </w:rPr>
              <w:t>重大疫情及重大灾害救助。</w:t>
            </w:r>
            <w:r>
              <w:rPr>
                <w:rFonts w:hint="default" w:ascii="Arial" w:hAnsi="Arial" w:cs="Arial"/>
                <w:sz w:val="24"/>
                <w:szCs w:val="24"/>
              </w:rPr>
              <w:t>对疫情防控在家隔离的残疾人，落实帮扶联系人，加强走访探视，及时提供必要帮助。因自然灾害、安全事故等突发事件，监护人无法监护的，属地社区或民政部门提供临时救助和生活保障。</w:t>
            </w:r>
          </w:p>
        </w:tc>
      </w:tr>
    </w:tbl>
    <w:p w14:paraId="2C5375C5">
      <w:pPr>
        <w:pStyle w:val="5"/>
        <w:keepNext w:val="0"/>
        <w:keepLines w:val="0"/>
        <w:widowControl/>
        <w:suppressLineNumbers w:val="0"/>
        <w:spacing w:before="0" w:beforeAutospacing="1" w:after="0" w:afterAutospacing="0" w:line="386" w:lineRule="atLeast"/>
        <w:ind w:left="0" w:right="0"/>
        <w:jc w:val="both"/>
        <w:rPr>
          <w:b w:val="0"/>
          <w:bCs w:val="0"/>
          <w:i w:val="0"/>
          <w:iCs w:val="0"/>
          <w:spacing w:val="0"/>
        </w:rPr>
      </w:pPr>
      <w:r>
        <w:rPr>
          <w:b w:val="0"/>
          <w:bCs w:val="0"/>
          <w:i w:val="0"/>
          <w:iCs w:val="0"/>
          <w:color w:val="000000"/>
          <w:spacing w:val="0"/>
          <w:sz w:val="18"/>
          <w:szCs w:val="18"/>
          <w:lang w:eastAsia="zh-CN"/>
        </w:rPr>
        <w:t>　　（二）营造良好就业环境，促进残疾人充分就业创业</w:t>
      </w:r>
    </w:p>
    <w:p w14:paraId="75090AAD">
      <w:pPr>
        <w:pStyle w:val="5"/>
        <w:keepNext w:val="0"/>
        <w:keepLines w:val="0"/>
        <w:widowControl/>
        <w:suppressLineNumbers w:val="0"/>
        <w:spacing w:before="0" w:beforeAutospacing="1" w:after="0" w:afterAutospacing="0" w:line="386" w:lineRule="atLeast"/>
        <w:ind w:left="0" w:right="0"/>
        <w:jc w:val="both"/>
        <w:rPr>
          <w:spacing w:val="0"/>
        </w:rPr>
      </w:pPr>
      <w:r>
        <w:rPr>
          <w:b w:val="0"/>
          <w:bCs w:val="0"/>
          <w:i w:val="0"/>
          <w:iCs w:val="0"/>
          <w:color w:val="000000"/>
          <w:spacing w:val="0"/>
          <w:sz w:val="18"/>
          <w:szCs w:val="18"/>
          <w:lang w:eastAsia="zh-CN"/>
        </w:rPr>
        <w:t>　　</w:t>
      </w:r>
      <w:r>
        <w:rPr>
          <w:rFonts w:hint="default" w:ascii="Calibri" w:hAnsi="Calibri" w:cs="Calibri"/>
          <w:b w:val="0"/>
          <w:bCs w:val="0"/>
          <w:i w:val="0"/>
          <w:iCs w:val="0"/>
          <w:color w:val="000000"/>
          <w:spacing w:val="0"/>
          <w:sz w:val="18"/>
          <w:szCs w:val="18"/>
          <w:lang w:val="en-US"/>
        </w:rPr>
        <w:t>1.</w:t>
      </w:r>
      <w:r>
        <w:rPr>
          <w:b w:val="0"/>
          <w:bCs w:val="0"/>
          <w:i w:val="0"/>
          <w:iCs w:val="0"/>
          <w:color w:val="000000"/>
          <w:spacing w:val="0"/>
          <w:sz w:val="18"/>
          <w:szCs w:val="18"/>
          <w:lang w:eastAsia="zh-CN"/>
        </w:rPr>
        <w:t>强化落实残疾人就业创业政策。落实《残疾人就业条例》（国务院令第</w:t>
      </w:r>
      <w:r>
        <w:rPr>
          <w:rFonts w:hint="default" w:ascii="Calibri" w:hAnsi="Calibri" w:cs="Calibri"/>
          <w:b w:val="0"/>
          <w:bCs w:val="0"/>
          <w:i w:val="0"/>
          <w:iCs w:val="0"/>
          <w:color w:val="000000"/>
          <w:spacing w:val="0"/>
          <w:sz w:val="18"/>
          <w:szCs w:val="18"/>
          <w:lang w:val="en-US"/>
        </w:rPr>
        <w:t>488</w:t>
      </w:r>
      <w:r>
        <w:rPr>
          <w:b w:val="0"/>
          <w:bCs w:val="0"/>
          <w:i w:val="0"/>
          <w:iCs w:val="0"/>
          <w:color w:val="000000"/>
          <w:spacing w:val="0"/>
          <w:sz w:val="18"/>
          <w:szCs w:val="18"/>
          <w:lang w:eastAsia="zh-CN"/>
        </w:rPr>
        <w:t>号）和《内蒙古自治区按比例安排残疾人就业办法》（内蒙古自治区人民政府令第</w:t>
      </w:r>
      <w:r>
        <w:rPr>
          <w:rFonts w:hint="default" w:ascii="Calibri" w:hAnsi="Calibri" w:cs="Calibri"/>
          <w:b w:val="0"/>
          <w:bCs w:val="0"/>
          <w:i w:val="0"/>
          <w:iCs w:val="0"/>
          <w:color w:val="000000"/>
          <w:spacing w:val="0"/>
          <w:sz w:val="18"/>
          <w:szCs w:val="18"/>
          <w:lang w:val="en-US"/>
        </w:rPr>
        <w:t>180</w:t>
      </w:r>
      <w:r>
        <w:rPr>
          <w:b w:val="0"/>
          <w:bCs w:val="0"/>
          <w:i w:val="0"/>
          <w:iCs w:val="0"/>
          <w:color w:val="000000"/>
          <w:spacing w:val="0"/>
          <w:sz w:val="18"/>
          <w:szCs w:val="18"/>
          <w:lang w:eastAsia="zh-CN"/>
        </w:rPr>
        <w:t>号）等残疾人就业支持政策，落实按比例就业年审制度，强化残疾人就业劳动监察，通过联网认证、跨省通办等形式，依法依规对未按比例安排残疾人就业且拒缴、少缴残保金的用人单位失信行为记入信用记录。推进党政机关、事业单位、国有企业按照工作需要设置符合残疾人就业特点的岗位，探索通过多渠道解决残疾人就业。适度合理开发适合残疾人就业的公益性岗位，将难以就业的残疾人特别是零就业残疾人家庭成员列入就业困难人员范围，优先提供就业援助。对通过托底安置的就业困难重度残疾人，累计以公益性岗位安置次数原则上不超过</w:t>
      </w:r>
      <w:r>
        <w:rPr>
          <w:rFonts w:hint="default" w:ascii="Calibri" w:hAnsi="Calibri" w:cs="Calibri"/>
          <w:b w:val="0"/>
          <w:bCs w:val="0"/>
          <w:i w:val="0"/>
          <w:iCs w:val="0"/>
          <w:color w:val="000000"/>
          <w:spacing w:val="0"/>
          <w:sz w:val="18"/>
          <w:szCs w:val="18"/>
          <w:lang w:val="en-US"/>
        </w:rPr>
        <w:t>2</w:t>
      </w:r>
      <w:r>
        <w:rPr>
          <w:b w:val="0"/>
          <w:bCs w:val="0"/>
          <w:i w:val="0"/>
          <w:iCs w:val="0"/>
          <w:color w:val="000000"/>
          <w:spacing w:val="0"/>
          <w:sz w:val="18"/>
          <w:szCs w:val="18"/>
          <w:lang w:eastAsia="zh-CN"/>
        </w:rPr>
        <w:t>次。落实残疾人就业保障金制度和残疾人就业资金投入机制，保障残疾人就业培训、奖励补贴、就业扶持、就业服务等支出。开展残疾大学生公益性岗位开发安置工作，进一步促进有就业意愿和就业能力的残疾大学生实现稳定就业。对符合条件的残疾大学生在见习期间给予一定标准的补贴。继续落实好残疾人就业创业相关补贴政策，在启动资金、经营场地、扩大生产等方面扶持残疾人自主创业、灵活就业，鼓励残疾人通过新就业形态实现就业。深入推进超比例安排残疾人就业奖励工作，对用人单位正式招录（聘）残疾人就业的，按规定给予岗位、社会保险、职业培训、职业技能鉴定、设施设备购置改造等补贴，鼓励用人单位积极安排残疾人就业。完善残疾人就业需求调查、失业监测预警机制，对残疾人晋职晋级、职称评定、社会保险、生活福利等方面给予平等待遇。将满足要求的残疾人福利性单位产品，按照规定程序纳入协议供货或者定点采购范围。将残疾人安置岗位、职业培训、职业指导、职业能力评估等列入政府购买服务目录，提升残疾人就业服务社会化、专业化水平。加大残疾人就业促进政策与社会保险政策衔接力度。对残疾人就业创业典型和为残疾人就业作出突出贡献的单位、个人给予表彰奖励。（旗残疾人联合会、旗人力资源和社会保障局牵头，旗委组织部、旗财政局、旗</w:t>
      </w:r>
      <w:r>
        <w:rPr>
          <w:rFonts w:hint="eastAsia"/>
          <w:b w:val="0"/>
          <w:bCs w:val="0"/>
          <w:i w:val="0"/>
          <w:iCs w:val="0"/>
          <w:color w:val="000000"/>
          <w:spacing w:val="0"/>
          <w:sz w:val="18"/>
          <w:szCs w:val="18"/>
          <w:lang w:eastAsia="zh-CN"/>
        </w:rPr>
        <w:t>卫生健康委员会</w:t>
      </w:r>
      <w:r>
        <w:rPr>
          <w:b w:val="0"/>
          <w:bCs w:val="0"/>
          <w:i w:val="0"/>
          <w:iCs w:val="0"/>
          <w:color w:val="000000"/>
          <w:spacing w:val="0"/>
          <w:sz w:val="18"/>
          <w:szCs w:val="18"/>
          <w:lang w:eastAsia="zh-CN"/>
        </w:rPr>
        <w:t>、旗乡村振兴局、旗税务局按照职能分工负责）</w:t>
      </w:r>
    </w:p>
    <w:p w14:paraId="710B8E8F">
      <w:pPr>
        <w:pStyle w:val="5"/>
        <w:keepNext w:val="0"/>
        <w:keepLines w:val="0"/>
        <w:widowControl/>
        <w:suppressLineNumbers w:val="0"/>
        <w:spacing w:before="0" w:beforeAutospacing="1" w:after="0" w:afterAutospacing="0" w:line="386" w:lineRule="atLeast"/>
        <w:ind w:left="0" w:right="0"/>
        <w:jc w:val="both"/>
        <w:rPr>
          <w:spacing w:val="0"/>
        </w:rPr>
      </w:pPr>
      <w:r>
        <w:rPr>
          <w:b w:val="0"/>
          <w:bCs w:val="0"/>
          <w:i w:val="0"/>
          <w:iCs w:val="0"/>
          <w:color w:val="000000"/>
          <w:spacing w:val="0"/>
          <w:sz w:val="18"/>
          <w:szCs w:val="18"/>
          <w:lang w:eastAsia="zh-CN"/>
        </w:rPr>
        <w:t>　　</w:t>
      </w:r>
      <w:r>
        <w:rPr>
          <w:rFonts w:hint="default" w:ascii="Calibri" w:hAnsi="Calibri" w:cs="Calibri"/>
          <w:b w:val="0"/>
          <w:bCs w:val="0"/>
          <w:i w:val="0"/>
          <w:iCs w:val="0"/>
          <w:color w:val="000000"/>
          <w:spacing w:val="0"/>
          <w:sz w:val="18"/>
          <w:szCs w:val="18"/>
          <w:lang w:val="en-US"/>
        </w:rPr>
        <w:t>2.</w:t>
      </w:r>
      <w:r>
        <w:rPr>
          <w:b w:val="0"/>
          <w:bCs w:val="0"/>
          <w:i w:val="0"/>
          <w:iCs w:val="0"/>
          <w:color w:val="000000"/>
          <w:spacing w:val="0"/>
          <w:sz w:val="18"/>
          <w:szCs w:val="18"/>
          <w:lang w:eastAsia="zh-CN"/>
        </w:rPr>
        <w:t>提升残疾人就业创业技能。完善残疾人职业技能培训保障和管理制度，开发线上线下相结合的优质培训课程资源，帮助有就业愿望和培训需求的残疾人开展职业技能培训。继续开展农村残疾人实用技术培训。重视培养和选拔残疾人专业技能人才，推进建设各类残疾人技能大师工作室。组织残疾人参加全市、全区、全国残疾人职业技能竞赛，切实提升残疾人技能技艺，激励残疾人多领域实现就业。（旗残疾人联合会、旗人力资源和社会保障局牵头，旗文化和旅游局、旗总工会按照职能分工负责）</w:t>
      </w:r>
    </w:p>
    <w:p w14:paraId="024D85E1">
      <w:pPr>
        <w:pStyle w:val="5"/>
        <w:keepNext w:val="0"/>
        <w:keepLines w:val="0"/>
        <w:widowControl/>
        <w:suppressLineNumbers w:val="0"/>
        <w:spacing w:before="0" w:beforeAutospacing="1" w:after="0" w:afterAutospacing="0" w:line="386" w:lineRule="atLeast"/>
        <w:ind w:left="0" w:right="0"/>
        <w:jc w:val="both"/>
        <w:rPr>
          <w:spacing w:val="0"/>
        </w:rPr>
      </w:pPr>
      <w:r>
        <w:rPr>
          <w:b w:val="0"/>
          <w:bCs w:val="0"/>
          <w:i w:val="0"/>
          <w:iCs w:val="0"/>
          <w:color w:val="000000"/>
          <w:spacing w:val="0"/>
          <w:sz w:val="18"/>
          <w:szCs w:val="18"/>
          <w:lang w:eastAsia="zh-CN"/>
        </w:rPr>
        <w:t>　　</w:t>
      </w:r>
      <w:r>
        <w:rPr>
          <w:rFonts w:hint="default" w:ascii="Calibri" w:hAnsi="Calibri" w:cs="Calibri"/>
          <w:b w:val="0"/>
          <w:bCs w:val="0"/>
          <w:i w:val="0"/>
          <w:iCs w:val="0"/>
          <w:color w:val="000000"/>
          <w:spacing w:val="0"/>
          <w:sz w:val="18"/>
          <w:szCs w:val="18"/>
          <w:lang w:val="en-US"/>
        </w:rPr>
        <w:t>3.</w:t>
      </w:r>
      <w:r>
        <w:rPr>
          <w:b w:val="0"/>
          <w:bCs w:val="0"/>
          <w:i w:val="0"/>
          <w:iCs w:val="0"/>
          <w:color w:val="000000"/>
          <w:spacing w:val="0"/>
          <w:sz w:val="18"/>
          <w:szCs w:val="18"/>
          <w:lang w:eastAsia="zh-CN"/>
        </w:rPr>
        <w:t>完善残疾人就业服务。持续加强残疾人就业和职业培训实名制统计管理工作，注重实名制数据在职业培训、就业服务等方面的应用。充分发挥残疾人就业服务机构和各类公共就业服务平台、人力资源服务机构、社会组织作用，为残疾人和用人单位提供全链条、专业化、精准化服务。贯彻落实税收优惠政策、政府优先采购等措施，切实稳定残疾人集中就业，打造残疾人集中就业品牌。对辅助性就业机构组织智力、精神和重度肢体残疾等就业困难残疾人从事相应的生产劳动给予支持。加大对“互联网</w:t>
      </w:r>
      <w:r>
        <w:rPr>
          <w:rFonts w:hint="default" w:ascii="Calibri" w:hAnsi="Calibri" w:cs="Calibri"/>
          <w:b w:val="0"/>
          <w:bCs w:val="0"/>
          <w:i w:val="0"/>
          <w:iCs w:val="0"/>
          <w:color w:val="000000"/>
          <w:spacing w:val="0"/>
          <w:sz w:val="18"/>
          <w:szCs w:val="18"/>
          <w:lang w:val="en-US"/>
        </w:rPr>
        <w:t>+</w:t>
      </w:r>
      <w:r>
        <w:rPr>
          <w:b w:val="0"/>
          <w:bCs w:val="0"/>
          <w:i w:val="0"/>
          <w:iCs w:val="0"/>
          <w:color w:val="000000"/>
          <w:spacing w:val="0"/>
          <w:sz w:val="18"/>
          <w:szCs w:val="18"/>
          <w:lang w:eastAsia="zh-CN"/>
        </w:rPr>
        <w:t>”就业、居家就业、社区就业、灵活就业、辅助性就业等适合残疾人新就业形态的扶持力度，城市便民服务网点免费或以低价承租方式优先提供给残疾人经营。支持手工制作等残疾妇女就业创业项目。开展就业困难残疾大学生“一人一策”重点帮扶。继续做好“就业援助月”“专场招聘会”等专项就业服务活动。保障有就业能力就业意愿的“零就业”残疾人家庭至少</w:t>
      </w:r>
      <w:r>
        <w:rPr>
          <w:rFonts w:hint="default" w:ascii="Calibri" w:hAnsi="Calibri" w:cs="Calibri"/>
          <w:b w:val="0"/>
          <w:bCs w:val="0"/>
          <w:i w:val="0"/>
          <w:iCs w:val="0"/>
          <w:color w:val="000000"/>
          <w:spacing w:val="0"/>
          <w:sz w:val="18"/>
          <w:szCs w:val="18"/>
          <w:lang w:val="en-US"/>
        </w:rPr>
        <w:t>1</w:t>
      </w:r>
      <w:r>
        <w:rPr>
          <w:b w:val="0"/>
          <w:bCs w:val="0"/>
          <w:i w:val="0"/>
          <w:iCs w:val="0"/>
          <w:color w:val="000000"/>
          <w:spacing w:val="0"/>
          <w:sz w:val="18"/>
          <w:szCs w:val="18"/>
          <w:lang w:eastAsia="zh-CN"/>
        </w:rPr>
        <w:t>人就业。拓宽残疾人就业渠道，扶持就业困难残疾人直系亲属就业创业。认真落实《盲人医疗按摩管理办法》（卫医政发〔</w:t>
      </w:r>
      <w:r>
        <w:rPr>
          <w:rFonts w:hint="default" w:ascii="Calibri" w:hAnsi="Calibri" w:cs="Calibri"/>
          <w:b w:val="0"/>
          <w:bCs w:val="0"/>
          <w:i w:val="0"/>
          <w:iCs w:val="0"/>
          <w:color w:val="000000"/>
          <w:spacing w:val="0"/>
          <w:sz w:val="18"/>
          <w:szCs w:val="18"/>
          <w:lang w:val="en-US"/>
        </w:rPr>
        <w:t>2009</w:t>
      </w:r>
      <w:r>
        <w:rPr>
          <w:b w:val="0"/>
          <w:bCs w:val="0"/>
          <w:i w:val="0"/>
          <w:iCs w:val="0"/>
          <w:color w:val="000000"/>
          <w:spacing w:val="0"/>
          <w:sz w:val="18"/>
          <w:szCs w:val="18"/>
          <w:lang w:eastAsia="zh-CN"/>
        </w:rPr>
        <w:t>〕</w:t>
      </w:r>
      <w:r>
        <w:rPr>
          <w:rFonts w:hint="default" w:ascii="Calibri" w:hAnsi="Calibri" w:cs="Calibri"/>
          <w:b w:val="0"/>
          <w:bCs w:val="0"/>
          <w:i w:val="0"/>
          <w:iCs w:val="0"/>
          <w:color w:val="000000"/>
          <w:spacing w:val="0"/>
          <w:sz w:val="18"/>
          <w:szCs w:val="18"/>
          <w:lang w:val="en-US"/>
        </w:rPr>
        <w:t>37</w:t>
      </w:r>
      <w:r>
        <w:rPr>
          <w:b w:val="0"/>
          <w:bCs w:val="0"/>
          <w:i w:val="0"/>
          <w:iCs w:val="0"/>
          <w:color w:val="000000"/>
          <w:spacing w:val="0"/>
          <w:sz w:val="18"/>
          <w:szCs w:val="18"/>
          <w:lang w:eastAsia="zh-CN"/>
        </w:rPr>
        <w:t>号）和《盲人医疗按摩继续教育暂行规定》（残联发〔</w:t>
      </w:r>
      <w:r>
        <w:rPr>
          <w:rFonts w:hint="default" w:ascii="Calibri" w:hAnsi="Calibri" w:cs="Calibri"/>
          <w:b w:val="0"/>
          <w:bCs w:val="0"/>
          <w:i w:val="0"/>
          <w:iCs w:val="0"/>
          <w:color w:val="000000"/>
          <w:spacing w:val="0"/>
          <w:sz w:val="18"/>
          <w:szCs w:val="18"/>
          <w:lang w:val="en-US"/>
        </w:rPr>
        <w:t>2014</w:t>
      </w:r>
      <w:r>
        <w:rPr>
          <w:b w:val="0"/>
          <w:bCs w:val="0"/>
          <w:i w:val="0"/>
          <w:iCs w:val="0"/>
          <w:color w:val="000000"/>
          <w:spacing w:val="0"/>
          <w:sz w:val="18"/>
          <w:szCs w:val="18"/>
          <w:lang w:eastAsia="zh-CN"/>
        </w:rPr>
        <w:t>〕</w:t>
      </w:r>
      <w:r>
        <w:rPr>
          <w:rFonts w:hint="default" w:ascii="Calibri" w:hAnsi="Calibri" w:cs="Calibri"/>
          <w:b w:val="0"/>
          <w:bCs w:val="0"/>
          <w:i w:val="0"/>
          <w:iCs w:val="0"/>
          <w:color w:val="000000"/>
          <w:spacing w:val="0"/>
          <w:sz w:val="18"/>
          <w:szCs w:val="18"/>
          <w:lang w:val="en-US"/>
        </w:rPr>
        <w:t>57</w:t>
      </w:r>
      <w:r>
        <w:rPr>
          <w:b w:val="0"/>
          <w:bCs w:val="0"/>
          <w:i w:val="0"/>
          <w:iCs w:val="0"/>
          <w:color w:val="000000"/>
          <w:spacing w:val="0"/>
          <w:sz w:val="18"/>
          <w:szCs w:val="18"/>
          <w:lang w:eastAsia="zh-CN"/>
        </w:rPr>
        <w:t>号），推动盲人按摩行业规范、可持续发展，支持盲人在文化艺术、心理卫生和信息化应用等领域就业。（旗残疾人联合会、旗人力资源和社会保障局牵头，旗民政局、旗财政局、旗</w:t>
      </w:r>
      <w:r>
        <w:rPr>
          <w:rFonts w:hint="eastAsia"/>
          <w:b w:val="0"/>
          <w:bCs w:val="0"/>
          <w:i w:val="0"/>
          <w:iCs w:val="0"/>
          <w:color w:val="000000"/>
          <w:spacing w:val="0"/>
          <w:sz w:val="18"/>
          <w:szCs w:val="18"/>
          <w:lang w:eastAsia="zh-CN"/>
        </w:rPr>
        <w:t>卫生健康委员会</w:t>
      </w:r>
      <w:r>
        <w:rPr>
          <w:b w:val="0"/>
          <w:bCs w:val="0"/>
          <w:i w:val="0"/>
          <w:iCs w:val="0"/>
          <w:color w:val="000000"/>
          <w:spacing w:val="0"/>
          <w:sz w:val="18"/>
          <w:szCs w:val="18"/>
          <w:lang w:eastAsia="zh-CN"/>
        </w:rPr>
        <w:t>、旗市场监督管理局、旗大数据中心、旗总工会、旗妇女联合会、旗税务局按照职能分工负责）</w:t>
      </w:r>
    </w:p>
    <w:p w14:paraId="6846A9B2">
      <w:pPr>
        <w:pStyle w:val="5"/>
        <w:keepNext w:val="0"/>
        <w:keepLines w:val="0"/>
        <w:widowControl/>
        <w:suppressLineNumbers w:val="0"/>
        <w:spacing w:before="0" w:beforeAutospacing="1" w:after="0" w:afterAutospacing="0" w:line="386" w:lineRule="atLeast"/>
        <w:ind w:left="0" w:right="0"/>
        <w:jc w:val="both"/>
        <w:rPr>
          <w:spacing w:val="0"/>
        </w:rPr>
      </w:pPr>
      <w:r>
        <w:rPr>
          <w:b w:val="0"/>
          <w:bCs w:val="0"/>
          <w:i w:val="0"/>
          <w:iCs w:val="0"/>
          <w:color w:val="000000"/>
          <w:spacing w:val="0"/>
          <w:sz w:val="18"/>
          <w:szCs w:val="18"/>
          <w:lang w:eastAsia="zh-CN"/>
        </w:rPr>
        <w:t>　　专栏</w:t>
      </w:r>
      <w:r>
        <w:rPr>
          <w:rFonts w:hint="default" w:ascii="Calibri" w:hAnsi="Calibri" w:cs="Calibri"/>
          <w:b w:val="0"/>
          <w:bCs w:val="0"/>
          <w:i w:val="0"/>
          <w:iCs w:val="0"/>
          <w:color w:val="000000"/>
          <w:spacing w:val="0"/>
          <w:sz w:val="18"/>
          <w:szCs w:val="18"/>
          <w:lang w:val="en-US"/>
        </w:rPr>
        <w:t>3  </w:t>
      </w:r>
      <w:r>
        <w:rPr>
          <w:b w:val="0"/>
          <w:bCs w:val="0"/>
          <w:i w:val="0"/>
          <w:iCs w:val="0"/>
          <w:color w:val="000000"/>
          <w:spacing w:val="0"/>
          <w:sz w:val="18"/>
          <w:szCs w:val="18"/>
          <w:lang w:eastAsia="zh-CN"/>
        </w:rPr>
        <w:t>残疾人就业创业服务重点项目</w:t>
      </w:r>
    </w:p>
    <w:p w14:paraId="5BF86674">
      <w:pPr>
        <w:pStyle w:val="5"/>
        <w:keepNext w:val="0"/>
        <w:keepLines w:val="0"/>
        <w:widowControl/>
        <w:suppressLineNumbers w:val="0"/>
        <w:spacing w:before="0" w:beforeAutospacing="1" w:after="0" w:afterAutospacing="0" w:line="386" w:lineRule="atLeast"/>
        <w:ind w:left="0" w:right="0"/>
        <w:jc w:val="both"/>
        <w:rPr>
          <w:b w:val="0"/>
          <w:bCs w:val="0"/>
          <w:i w:val="0"/>
          <w:iCs w:val="0"/>
          <w:spacing w:val="0"/>
        </w:rPr>
      </w:pPr>
      <w:r>
        <w:rPr>
          <w:b w:val="0"/>
          <w:bCs w:val="0"/>
          <w:i w:val="0"/>
          <w:iCs w:val="0"/>
          <w:color w:val="000000"/>
          <w:spacing w:val="0"/>
          <w:sz w:val="18"/>
          <w:szCs w:val="18"/>
          <w:lang w:eastAsia="zh-CN"/>
        </w:rPr>
        <w:t>　　</w:t>
      </w:r>
    </w:p>
    <w:tbl>
      <w:tblPr>
        <w:tblStyle w:val="3"/>
        <w:tblW w:w="1038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0" w:type="dxa"/>
          <w:left w:w="30" w:type="dxa"/>
          <w:bottom w:w="30" w:type="dxa"/>
          <w:right w:w="30" w:type="dxa"/>
        </w:tblCellMar>
      </w:tblPr>
      <w:tblGrid>
        <w:gridCol w:w="10380"/>
      </w:tblGrid>
      <w:tr w14:paraId="6BFA5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0" w:type="dxa"/>
            <w:left w:w="30" w:type="dxa"/>
            <w:bottom w:w="30" w:type="dxa"/>
            <w:right w:w="30" w:type="dxa"/>
          </w:tblCellMar>
        </w:tblPrEx>
        <w:trPr>
          <w:tblCellSpacing w:w="0" w:type="dxa"/>
          <w:jc w:val="center"/>
        </w:trPr>
        <w:tc>
          <w:tcPr>
            <w:tcW w:w="10260" w:type="dxa"/>
            <w:tcBorders>
              <w:top w:val="single" w:color="000000" w:sz="8" w:space="0"/>
              <w:left w:val="single" w:color="000000" w:sz="8" w:space="0"/>
              <w:bottom w:val="single" w:color="000000" w:sz="8" w:space="0"/>
              <w:right w:val="single" w:color="000000" w:sz="8" w:space="0"/>
            </w:tcBorders>
            <w:shd w:val="clear" w:color="auto" w:fill="auto"/>
            <w:tcMar>
              <w:top w:w="28" w:type="dxa"/>
              <w:left w:w="108" w:type="dxa"/>
              <w:bottom w:w="28" w:type="dxa"/>
              <w:right w:w="108" w:type="dxa"/>
            </w:tcMar>
            <w:vAlign w:val="top"/>
          </w:tcPr>
          <w:p w14:paraId="10EEB44F">
            <w:pPr>
              <w:pStyle w:val="2"/>
              <w:keepNext w:val="0"/>
              <w:keepLines w:val="0"/>
              <w:widowControl/>
              <w:suppressLineNumbers w:val="0"/>
            </w:pPr>
            <w:r>
              <w:t xml:space="preserve">    </w:t>
            </w:r>
            <w:r>
              <w:rPr>
                <w:rFonts w:hint="default" w:ascii="Times New Roman" w:hAnsi="Times New Roman" w:cs="Times New Roman"/>
                <w:sz w:val="24"/>
                <w:szCs w:val="24"/>
                <w:lang w:val="en-US"/>
              </w:rPr>
              <w:t>1.</w:t>
            </w:r>
            <w:r>
              <w:rPr>
                <w:rFonts w:hint="eastAsia" w:ascii="宋体" w:hAnsi="宋体" w:eastAsia="宋体" w:cs="宋体"/>
                <w:sz w:val="24"/>
                <w:szCs w:val="24"/>
              </w:rPr>
              <w:t>党政机关、事业单位、国有企业按比例安排就业。编制</w:t>
            </w:r>
            <w:r>
              <w:rPr>
                <w:rFonts w:hint="default" w:ascii="Times New Roman" w:hAnsi="Times New Roman" w:cs="Times New Roman"/>
                <w:sz w:val="24"/>
                <w:szCs w:val="24"/>
                <w:lang w:val="en-US"/>
              </w:rPr>
              <w:t>50</w:t>
            </w:r>
            <w:r>
              <w:rPr>
                <w:rFonts w:hint="eastAsia" w:ascii="宋体" w:hAnsi="宋体" w:eastAsia="宋体" w:cs="宋体"/>
                <w:sz w:val="24"/>
                <w:szCs w:val="24"/>
              </w:rPr>
              <w:t>人以上（含</w:t>
            </w:r>
            <w:r>
              <w:rPr>
                <w:rFonts w:hint="default" w:ascii="Times New Roman" w:hAnsi="Times New Roman" w:cs="Times New Roman"/>
                <w:sz w:val="24"/>
                <w:szCs w:val="24"/>
                <w:lang w:val="en-US"/>
              </w:rPr>
              <w:t>50</w:t>
            </w:r>
            <w:r>
              <w:rPr>
                <w:rFonts w:hint="eastAsia" w:ascii="宋体" w:hAnsi="宋体" w:eastAsia="宋体" w:cs="宋体"/>
                <w:sz w:val="24"/>
                <w:szCs w:val="24"/>
              </w:rPr>
              <w:t>人）的党政机关、编制</w:t>
            </w:r>
            <w:r>
              <w:rPr>
                <w:rFonts w:hint="default" w:ascii="Times New Roman" w:hAnsi="Times New Roman" w:cs="Times New Roman"/>
                <w:sz w:val="24"/>
                <w:szCs w:val="24"/>
                <w:lang w:val="en-US"/>
              </w:rPr>
              <w:t>67</w:t>
            </w:r>
            <w:r>
              <w:rPr>
                <w:rFonts w:hint="eastAsia" w:ascii="宋体" w:hAnsi="宋体" w:eastAsia="宋体" w:cs="宋体"/>
                <w:sz w:val="24"/>
                <w:szCs w:val="24"/>
              </w:rPr>
              <w:t>人以上（含</w:t>
            </w:r>
            <w:r>
              <w:rPr>
                <w:rFonts w:hint="default" w:ascii="Times New Roman" w:hAnsi="Times New Roman" w:cs="Times New Roman"/>
                <w:sz w:val="24"/>
                <w:szCs w:val="24"/>
                <w:lang w:val="en-US"/>
              </w:rPr>
              <w:t>67</w:t>
            </w:r>
            <w:r>
              <w:rPr>
                <w:rFonts w:hint="eastAsia" w:ascii="宋体" w:hAnsi="宋体" w:eastAsia="宋体" w:cs="宋体"/>
                <w:sz w:val="24"/>
                <w:szCs w:val="24"/>
              </w:rPr>
              <w:t>人）的事业单位（中小学、幼儿园除外）</w:t>
            </w:r>
            <w:r>
              <w:rPr>
                <w:rFonts w:hint="default" w:ascii="Arial" w:hAnsi="Arial" w:cs="Arial"/>
                <w:sz w:val="24"/>
                <w:szCs w:val="24"/>
              </w:rPr>
              <w:t>，安排残疾人就业未达规定比例的，</w:t>
            </w:r>
            <w:r>
              <w:rPr>
                <w:rFonts w:hint="default" w:ascii="Times New Roman" w:hAnsi="Times New Roman" w:cs="Times New Roman"/>
                <w:sz w:val="24"/>
                <w:szCs w:val="24"/>
                <w:lang w:val="en-US"/>
              </w:rPr>
              <w:t>2025</w:t>
            </w:r>
            <w:r>
              <w:rPr>
                <w:rFonts w:hint="eastAsia" w:ascii="宋体" w:hAnsi="宋体" w:eastAsia="宋体" w:cs="宋体"/>
                <w:sz w:val="24"/>
                <w:szCs w:val="24"/>
              </w:rPr>
              <w:t>年前至少安排</w:t>
            </w:r>
            <w:r>
              <w:rPr>
                <w:rFonts w:hint="default" w:ascii="Times New Roman" w:hAnsi="Times New Roman" w:cs="Times New Roman"/>
                <w:sz w:val="24"/>
                <w:szCs w:val="24"/>
                <w:lang w:val="en-US"/>
              </w:rPr>
              <w:t>1</w:t>
            </w:r>
            <w:r>
              <w:rPr>
                <w:rFonts w:hint="eastAsia" w:ascii="宋体" w:hAnsi="宋体" w:eastAsia="宋体" w:cs="宋体"/>
                <w:sz w:val="24"/>
                <w:szCs w:val="24"/>
              </w:rPr>
              <w:t>名残疾人。旗残联机关干部队伍中要有</w:t>
            </w:r>
            <w:r>
              <w:rPr>
                <w:rFonts w:hint="default" w:ascii="Times New Roman" w:hAnsi="Times New Roman" w:cs="Times New Roman"/>
                <w:sz w:val="24"/>
                <w:szCs w:val="24"/>
                <w:lang w:val="en-US"/>
              </w:rPr>
              <w:t>15%</w:t>
            </w:r>
            <w:r>
              <w:rPr>
                <w:rFonts w:hint="eastAsia" w:ascii="宋体" w:hAnsi="宋体" w:eastAsia="宋体" w:cs="宋体"/>
                <w:sz w:val="24"/>
                <w:szCs w:val="24"/>
              </w:rPr>
              <w:t>以上（含</w:t>
            </w:r>
            <w:r>
              <w:rPr>
                <w:rFonts w:hint="default" w:ascii="Times New Roman" w:hAnsi="Times New Roman" w:cs="Times New Roman"/>
                <w:sz w:val="24"/>
                <w:szCs w:val="24"/>
                <w:lang w:val="en-US"/>
              </w:rPr>
              <w:t>15%</w:t>
            </w:r>
            <w:r>
              <w:rPr>
                <w:rFonts w:hint="eastAsia" w:ascii="宋体" w:hAnsi="宋体" w:eastAsia="宋体" w:cs="宋体"/>
                <w:sz w:val="24"/>
                <w:szCs w:val="24"/>
              </w:rPr>
              <w:t>）的残疾人。</w:t>
            </w:r>
          </w:p>
          <w:p w14:paraId="5B69B46D">
            <w:pPr>
              <w:pStyle w:val="2"/>
              <w:keepNext w:val="0"/>
              <w:keepLines w:val="0"/>
              <w:widowControl/>
              <w:suppressLineNumbers w:val="0"/>
            </w:pPr>
            <w:r>
              <w:rPr>
                <w:rFonts w:hint="default" w:ascii="Arial" w:hAnsi="Arial" w:cs="Arial"/>
                <w:sz w:val="24"/>
                <w:szCs w:val="24"/>
              </w:rPr>
              <w:t>　　</w:t>
            </w:r>
            <w:r>
              <w:rPr>
                <w:rFonts w:hint="default" w:ascii="Times New Roman" w:hAnsi="Times New Roman" w:cs="Times New Roman"/>
                <w:sz w:val="24"/>
                <w:szCs w:val="24"/>
                <w:lang w:val="en-US"/>
              </w:rPr>
              <w:t>2.</w:t>
            </w:r>
            <w:r>
              <w:rPr>
                <w:rFonts w:hint="eastAsia" w:ascii="宋体" w:hAnsi="宋体" w:eastAsia="宋体" w:cs="宋体"/>
                <w:sz w:val="24"/>
                <w:szCs w:val="24"/>
              </w:rPr>
              <w:t>强化残疾人就业劳动监察。</w:t>
            </w:r>
            <w:r>
              <w:rPr>
                <w:rFonts w:hint="default" w:ascii="Arial" w:hAnsi="Arial" w:cs="Arial"/>
                <w:sz w:val="24"/>
                <w:szCs w:val="24"/>
              </w:rPr>
              <w:t>通过联网认证、跨省通办等形式，依法依规对未按比例安排残疾人就业且拒缴、少缴残保金的用人单位的失信行为记入信用记录。</w:t>
            </w:r>
          </w:p>
          <w:p w14:paraId="1456466C">
            <w:pPr>
              <w:pStyle w:val="2"/>
              <w:keepNext w:val="0"/>
              <w:keepLines w:val="0"/>
              <w:widowControl/>
              <w:suppressLineNumbers w:val="0"/>
            </w:pPr>
            <w:r>
              <w:rPr>
                <w:rFonts w:hint="default" w:ascii="Arial" w:hAnsi="Arial" w:cs="Arial"/>
                <w:sz w:val="24"/>
                <w:szCs w:val="24"/>
              </w:rPr>
              <w:t>　　</w:t>
            </w:r>
            <w:r>
              <w:rPr>
                <w:rFonts w:hint="default" w:ascii="Times New Roman" w:hAnsi="Times New Roman" w:cs="Times New Roman"/>
                <w:sz w:val="24"/>
                <w:szCs w:val="24"/>
                <w:lang w:val="en-US"/>
              </w:rPr>
              <w:t>3.</w:t>
            </w:r>
            <w:r>
              <w:rPr>
                <w:rFonts w:hint="eastAsia" w:ascii="宋体" w:hAnsi="宋体" w:eastAsia="宋体" w:cs="宋体"/>
                <w:sz w:val="24"/>
                <w:szCs w:val="24"/>
              </w:rPr>
              <w:t>促进残疾人充分就业创业。</w:t>
            </w:r>
            <w:r>
              <w:rPr>
                <w:rFonts w:hint="default" w:ascii="Arial" w:hAnsi="Arial" w:cs="Arial"/>
                <w:sz w:val="24"/>
                <w:szCs w:val="24"/>
              </w:rPr>
              <w:t>适度合理开发适合残疾人的就业岗位，对难以就业的残疾人特别是零就业残疾人家庭成员，优先提供就业援助。开展残疾大学生公益性岗位开发安置工作。对残疾大学生见习期给予补助。对符合条件的残疾人自主就业创业给予补贴。对超比例安排残疾人就业的用人单位给予奖励。对用人单位给予社会保险、职业培训等补贴。</w:t>
            </w:r>
          </w:p>
          <w:p w14:paraId="73D6644D">
            <w:pPr>
              <w:pStyle w:val="2"/>
              <w:keepNext w:val="0"/>
              <w:keepLines w:val="0"/>
              <w:widowControl/>
              <w:suppressLineNumbers w:val="0"/>
            </w:pPr>
            <w:r>
              <w:rPr>
                <w:rFonts w:hint="default" w:ascii="Arial" w:hAnsi="Arial" w:cs="Arial"/>
                <w:sz w:val="24"/>
                <w:szCs w:val="24"/>
              </w:rPr>
              <w:t>　　</w:t>
            </w:r>
            <w:r>
              <w:rPr>
                <w:rFonts w:hint="default" w:ascii="Times New Roman" w:hAnsi="Times New Roman" w:cs="Times New Roman"/>
                <w:sz w:val="24"/>
                <w:szCs w:val="24"/>
                <w:lang w:val="en-US"/>
              </w:rPr>
              <w:t>4.</w:t>
            </w:r>
            <w:r>
              <w:rPr>
                <w:rFonts w:hint="eastAsia" w:ascii="宋体" w:hAnsi="宋体" w:eastAsia="宋体" w:cs="宋体"/>
                <w:sz w:val="24"/>
                <w:szCs w:val="24"/>
              </w:rPr>
              <w:t>提升残疾人就业创业技能。</w:t>
            </w:r>
            <w:r>
              <w:rPr>
                <w:rFonts w:hint="default" w:ascii="Arial" w:hAnsi="Arial" w:cs="Arial"/>
                <w:sz w:val="24"/>
                <w:szCs w:val="24"/>
              </w:rPr>
              <w:t>依托各类培训机构和实训平台，提高残疾人自我发展能力和生产劳动能力。建设残疾人职业培训实训基地及就业创业孵化基地。建立残疾人技能大师工作室。</w:t>
            </w:r>
          </w:p>
          <w:p w14:paraId="01C99CB1">
            <w:pPr>
              <w:pStyle w:val="2"/>
              <w:keepNext w:val="0"/>
              <w:keepLines w:val="0"/>
              <w:widowControl/>
              <w:suppressLineNumbers w:val="0"/>
            </w:pPr>
            <w:r>
              <w:rPr>
                <w:rFonts w:hint="default" w:ascii="Arial" w:hAnsi="Arial" w:cs="Arial"/>
                <w:sz w:val="24"/>
                <w:szCs w:val="24"/>
              </w:rPr>
              <w:t>　　</w:t>
            </w:r>
            <w:r>
              <w:rPr>
                <w:rFonts w:hint="default" w:ascii="Times New Roman" w:hAnsi="Times New Roman" w:cs="Times New Roman"/>
                <w:sz w:val="24"/>
                <w:szCs w:val="24"/>
                <w:lang w:val="en-US"/>
              </w:rPr>
              <w:t>5.</w:t>
            </w:r>
            <w:r>
              <w:rPr>
                <w:rFonts w:hint="eastAsia" w:ascii="宋体" w:hAnsi="宋体" w:eastAsia="宋体" w:cs="宋体"/>
                <w:sz w:val="24"/>
                <w:szCs w:val="24"/>
              </w:rPr>
              <w:t>完善残疾人就业服务。</w:t>
            </w:r>
            <w:r>
              <w:rPr>
                <w:rFonts w:hint="default" w:ascii="Arial" w:hAnsi="Arial" w:cs="Arial"/>
                <w:sz w:val="24"/>
                <w:szCs w:val="24"/>
              </w:rPr>
              <w:t>健全就业服务体系，贯彻落实优惠政策措施，充分发挥残疾人就业服务机构和各类公共就业服务平台等组织作用，为残疾人和用人单位提供服务。加强对新就业形态的扶持力度，拓宽残疾人就业渠道，促进残疾人就业创业。</w:t>
            </w:r>
          </w:p>
          <w:p w14:paraId="39C1F46E">
            <w:pPr>
              <w:pStyle w:val="2"/>
              <w:keepNext w:val="0"/>
              <w:keepLines w:val="0"/>
              <w:widowControl/>
              <w:suppressLineNumbers w:val="0"/>
            </w:pPr>
            <w:r>
              <w:rPr>
                <w:rFonts w:hint="default" w:ascii="Arial" w:hAnsi="Arial" w:cs="Arial"/>
                <w:sz w:val="24"/>
                <w:szCs w:val="24"/>
              </w:rPr>
              <w:t>　　</w:t>
            </w:r>
            <w:r>
              <w:rPr>
                <w:rFonts w:hint="default" w:ascii="Times New Roman" w:hAnsi="Times New Roman" w:cs="Times New Roman"/>
                <w:sz w:val="24"/>
                <w:szCs w:val="24"/>
                <w:lang w:val="en-US"/>
              </w:rPr>
              <w:t>6.</w:t>
            </w:r>
            <w:r>
              <w:rPr>
                <w:rFonts w:hint="eastAsia" w:ascii="宋体" w:hAnsi="宋体" w:eastAsia="宋体" w:cs="宋体"/>
                <w:sz w:val="24"/>
                <w:szCs w:val="24"/>
              </w:rPr>
              <w:t>加强盲人按摩行业发展。</w:t>
            </w:r>
            <w:r>
              <w:rPr>
                <w:rFonts w:hint="default" w:ascii="Arial" w:hAnsi="Arial" w:cs="Arial"/>
                <w:sz w:val="24"/>
                <w:szCs w:val="24"/>
              </w:rPr>
              <w:t>扶持盲人按摩机构运营，支持盲人在文化艺术、心理卫生和信息化应用等领域就业。</w:t>
            </w:r>
          </w:p>
        </w:tc>
      </w:tr>
    </w:tbl>
    <w:p w14:paraId="309F8910">
      <w:pPr>
        <w:pStyle w:val="5"/>
        <w:keepNext w:val="0"/>
        <w:keepLines w:val="0"/>
        <w:widowControl/>
        <w:suppressLineNumbers w:val="0"/>
        <w:spacing w:before="0" w:beforeAutospacing="1" w:after="0" w:afterAutospacing="0" w:line="386" w:lineRule="atLeast"/>
        <w:ind w:left="0" w:right="0"/>
        <w:jc w:val="both"/>
        <w:rPr>
          <w:b w:val="0"/>
          <w:bCs w:val="0"/>
          <w:i w:val="0"/>
          <w:iCs w:val="0"/>
          <w:spacing w:val="0"/>
        </w:rPr>
      </w:pPr>
      <w:r>
        <w:rPr>
          <w:b w:val="0"/>
          <w:bCs w:val="0"/>
          <w:i w:val="0"/>
          <w:iCs w:val="0"/>
          <w:color w:val="000000"/>
          <w:spacing w:val="0"/>
          <w:sz w:val="18"/>
          <w:szCs w:val="18"/>
          <w:lang w:eastAsia="zh-CN"/>
        </w:rPr>
        <w:t>　　（三）改善康复服务供给，提高残疾人健康水平</w:t>
      </w:r>
    </w:p>
    <w:p w14:paraId="1AE46FD8">
      <w:pPr>
        <w:pStyle w:val="5"/>
        <w:keepNext w:val="0"/>
        <w:keepLines w:val="0"/>
        <w:widowControl/>
        <w:suppressLineNumbers w:val="0"/>
        <w:spacing w:before="0" w:beforeAutospacing="1" w:after="0" w:afterAutospacing="0" w:line="386" w:lineRule="atLeast"/>
        <w:ind w:left="0" w:right="0"/>
        <w:jc w:val="both"/>
        <w:rPr>
          <w:spacing w:val="0"/>
        </w:rPr>
      </w:pPr>
      <w:r>
        <w:rPr>
          <w:b w:val="0"/>
          <w:bCs w:val="0"/>
          <w:i w:val="0"/>
          <w:iCs w:val="0"/>
          <w:color w:val="000000"/>
          <w:spacing w:val="0"/>
          <w:sz w:val="18"/>
          <w:szCs w:val="18"/>
          <w:lang w:eastAsia="zh-CN"/>
        </w:rPr>
        <w:t>　　</w:t>
      </w:r>
      <w:r>
        <w:rPr>
          <w:rFonts w:hint="default" w:ascii="Calibri" w:hAnsi="Calibri" w:cs="Calibri"/>
          <w:b w:val="0"/>
          <w:bCs w:val="0"/>
          <w:i w:val="0"/>
          <w:iCs w:val="0"/>
          <w:color w:val="000000"/>
          <w:spacing w:val="0"/>
          <w:sz w:val="18"/>
          <w:szCs w:val="18"/>
          <w:lang w:val="en-US"/>
        </w:rPr>
        <w:t>1.</w:t>
      </w:r>
      <w:r>
        <w:rPr>
          <w:b w:val="0"/>
          <w:bCs w:val="0"/>
          <w:i w:val="0"/>
          <w:iCs w:val="0"/>
          <w:color w:val="000000"/>
          <w:spacing w:val="0"/>
          <w:sz w:val="18"/>
          <w:szCs w:val="18"/>
          <w:lang w:eastAsia="zh-CN"/>
        </w:rPr>
        <w:t>积极开展残疾预防工作。认真落实《内蒙古自治区残疾预防和残疾人康复办法》（内政办发〔</w:t>
      </w:r>
      <w:r>
        <w:rPr>
          <w:rFonts w:hint="default" w:ascii="Calibri" w:hAnsi="Calibri" w:cs="Calibri"/>
          <w:b w:val="0"/>
          <w:bCs w:val="0"/>
          <w:i w:val="0"/>
          <w:iCs w:val="0"/>
          <w:color w:val="000000"/>
          <w:spacing w:val="0"/>
          <w:sz w:val="18"/>
          <w:szCs w:val="18"/>
          <w:lang w:val="en-US"/>
        </w:rPr>
        <w:t>2020</w:t>
      </w:r>
      <w:r>
        <w:rPr>
          <w:b w:val="0"/>
          <w:bCs w:val="0"/>
          <w:i w:val="0"/>
          <w:iCs w:val="0"/>
          <w:color w:val="000000"/>
          <w:spacing w:val="0"/>
          <w:sz w:val="18"/>
          <w:szCs w:val="18"/>
          <w:lang w:eastAsia="zh-CN"/>
        </w:rPr>
        <w:t>〕</w:t>
      </w:r>
      <w:r>
        <w:rPr>
          <w:rFonts w:hint="default" w:ascii="Calibri" w:hAnsi="Calibri" w:cs="Calibri"/>
          <w:b w:val="0"/>
          <w:bCs w:val="0"/>
          <w:i w:val="0"/>
          <w:iCs w:val="0"/>
          <w:color w:val="000000"/>
          <w:spacing w:val="0"/>
          <w:sz w:val="18"/>
          <w:szCs w:val="18"/>
          <w:lang w:val="en-US"/>
        </w:rPr>
        <w:t>21</w:t>
      </w:r>
      <w:r>
        <w:rPr>
          <w:b w:val="0"/>
          <w:bCs w:val="0"/>
          <w:i w:val="0"/>
          <w:iCs w:val="0"/>
          <w:color w:val="000000"/>
          <w:spacing w:val="0"/>
          <w:sz w:val="18"/>
          <w:szCs w:val="18"/>
          <w:lang w:eastAsia="zh-CN"/>
        </w:rPr>
        <w:t>号），健全残疾预防工作机制，增强全民预防意识，结合残疾预防日、预防出生缺陷日、爱眼日、爱耳日、全国防灾减灾日等节点，广泛开展残疾预防宣传教育，面向儿童、青少年、孕产妇、高危职业从业者等重点人群普及残疾预防知识，提高残疾预防和生命防护能力，形成全人群、全生命周期的残疾预防意识。加强出生缺陷综合防治，构建覆盖城乡居民，涵盖婚前、孕前、孕期、新生儿和儿童各阶段的出生缺陷防治体系，预防和减少出生缺陷、发育障碍致残。加强对地方病和重大疾病慢性病的防控，预防和减少因病致残的发生。相关部门应加强生产、生活安全管理，减少因灾害、事故、职业伤害等致残的发生。（旗</w:t>
      </w:r>
      <w:r>
        <w:rPr>
          <w:rFonts w:hint="eastAsia"/>
          <w:b w:val="0"/>
          <w:bCs w:val="0"/>
          <w:i w:val="0"/>
          <w:iCs w:val="0"/>
          <w:color w:val="000000"/>
          <w:spacing w:val="0"/>
          <w:sz w:val="18"/>
          <w:szCs w:val="18"/>
          <w:lang w:eastAsia="zh-CN"/>
        </w:rPr>
        <w:t>卫生健康委员会</w:t>
      </w:r>
      <w:r>
        <w:rPr>
          <w:b w:val="0"/>
          <w:bCs w:val="0"/>
          <w:i w:val="0"/>
          <w:iCs w:val="0"/>
          <w:color w:val="000000"/>
          <w:spacing w:val="0"/>
          <w:sz w:val="18"/>
          <w:szCs w:val="18"/>
          <w:lang w:eastAsia="zh-CN"/>
        </w:rPr>
        <w:t>牵头，旗民政局、旗妇女联合会、旗残疾人联合会按照职能分工负责）</w:t>
      </w:r>
    </w:p>
    <w:p w14:paraId="0FC065DD">
      <w:pPr>
        <w:pStyle w:val="5"/>
        <w:keepNext w:val="0"/>
        <w:keepLines w:val="0"/>
        <w:widowControl/>
        <w:suppressLineNumbers w:val="0"/>
        <w:spacing w:before="0" w:beforeAutospacing="1" w:after="0" w:afterAutospacing="0" w:line="386" w:lineRule="atLeast"/>
        <w:ind w:left="0" w:right="0"/>
        <w:jc w:val="both"/>
        <w:rPr>
          <w:spacing w:val="0"/>
        </w:rPr>
      </w:pPr>
      <w:r>
        <w:rPr>
          <w:b w:val="0"/>
          <w:bCs w:val="0"/>
          <w:i w:val="0"/>
          <w:iCs w:val="0"/>
          <w:color w:val="000000"/>
          <w:spacing w:val="0"/>
          <w:sz w:val="18"/>
          <w:szCs w:val="18"/>
          <w:lang w:eastAsia="zh-CN"/>
        </w:rPr>
        <w:t>　　</w:t>
      </w:r>
      <w:r>
        <w:rPr>
          <w:rFonts w:hint="default" w:ascii="Calibri" w:hAnsi="Calibri" w:cs="Calibri"/>
          <w:b w:val="0"/>
          <w:bCs w:val="0"/>
          <w:i w:val="0"/>
          <w:iCs w:val="0"/>
          <w:color w:val="000000"/>
          <w:spacing w:val="0"/>
          <w:sz w:val="18"/>
          <w:szCs w:val="18"/>
          <w:lang w:val="en-US"/>
        </w:rPr>
        <w:t>2.</w:t>
      </w:r>
      <w:r>
        <w:rPr>
          <w:b w:val="0"/>
          <w:bCs w:val="0"/>
          <w:i w:val="0"/>
          <w:iCs w:val="0"/>
          <w:color w:val="000000"/>
          <w:spacing w:val="0"/>
          <w:sz w:val="18"/>
          <w:szCs w:val="18"/>
          <w:lang w:eastAsia="zh-CN"/>
        </w:rPr>
        <w:t>提升残疾人康复质量。加强和改善残疾人医疗卫生服务，为残疾人提供就医康复便利，维护残疾人平等就医权利。扎实推进残疾人社区康复工作，支持残疾人主动康复、互助康复。继续实施精准康复服务行动，提升康复服务质量，细化残疾人健康状况、康复需求情况调查，做到精准识别、精准施策、精准服务，满足残疾人基本康复服务需求。全面推进残疾人家庭医生签约服务，支持保障签约医生为残疾人提供基本医疗、公共卫生和健康管理等个性化服务。深入开展残疾人心理健康服务，加强残疾人及其亲属心理健康干预，通过运用新媒体、知识讲座等开展心理健康教育，不断提升残疾人心理健康水平。关注残疾妇女健康，开展生殖健康服务。壮大服务供给，促进精神障碍患者社区康复服务与医疗救治、社会救助、长期照料等衔接配合。（旗残疾人联合会、旗</w:t>
      </w:r>
      <w:r>
        <w:rPr>
          <w:rFonts w:hint="eastAsia"/>
          <w:b w:val="0"/>
          <w:bCs w:val="0"/>
          <w:i w:val="0"/>
          <w:iCs w:val="0"/>
          <w:color w:val="000000"/>
          <w:spacing w:val="0"/>
          <w:sz w:val="18"/>
          <w:szCs w:val="18"/>
          <w:lang w:eastAsia="zh-CN"/>
        </w:rPr>
        <w:t>卫生健康委员会</w:t>
      </w:r>
      <w:r>
        <w:rPr>
          <w:b w:val="0"/>
          <w:bCs w:val="0"/>
          <w:i w:val="0"/>
          <w:iCs w:val="0"/>
          <w:color w:val="000000"/>
          <w:spacing w:val="0"/>
          <w:sz w:val="18"/>
          <w:szCs w:val="18"/>
          <w:lang w:eastAsia="zh-CN"/>
        </w:rPr>
        <w:t>牵头，旗民政局、旗妇女联合会按照职能分工负责）</w:t>
      </w:r>
    </w:p>
    <w:p w14:paraId="0701634F">
      <w:pPr>
        <w:pStyle w:val="5"/>
        <w:keepNext w:val="0"/>
        <w:keepLines w:val="0"/>
        <w:widowControl/>
        <w:suppressLineNumbers w:val="0"/>
        <w:spacing w:before="0" w:beforeAutospacing="1" w:after="0" w:afterAutospacing="0" w:line="386" w:lineRule="atLeast"/>
        <w:ind w:left="0" w:right="0"/>
        <w:jc w:val="both"/>
        <w:rPr>
          <w:spacing w:val="0"/>
        </w:rPr>
      </w:pPr>
      <w:r>
        <w:rPr>
          <w:b w:val="0"/>
          <w:bCs w:val="0"/>
          <w:i w:val="0"/>
          <w:iCs w:val="0"/>
          <w:color w:val="000000"/>
          <w:spacing w:val="0"/>
          <w:sz w:val="18"/>
          <w:szCs w:val="18"/>
          <w:lang w:eastAsia="zh-CN"/>
        </w:rPr>
        <w:t>　　</w:t>
      </w:r>
      <w:r>
        <w:rPr>
          <w:rFonts w:hint="default" w:ascii="Calibri" w:hAnsi="Calibri" w:cs="Calibri"/>
          <w:b w:val="0"/>
          <w:bCs w:val="0"/>
          <w:i w:val="0"/>
          <w:iCs w:val="0"/>
          <w:color w:val="000000"/>
          <w:spacing w:val="0"/>
          <w:sz w:val="18"/>
          <w:szCs w:val="18"/>
          <w:lang w:val="en-US"/>
        </w:rPr>
        <w:t>3.</w:t>
      </w:r>
      <w:r>
        <w:rPr>
          <w:b w:val="0"/>
          <w:bCs w:val="0"/>
          <w:i w:val="0"/>
          <w:iCs w:val="0"/>
          <w:color w:val="000000"/>
          <w:spacing w:val="0"/>
          <w:sz w:val="18"/>
          <w:szCs w:val="18"/>
          <w:lang w:eastAsia="zh-CN"/>
        </w:rPr>
        <w:t>加大残疾儿童康复救助力度。认真落实《国务院关于建立残疾儿童康复救助制度的意见》（国发〔</w:t>
      </w:r>
      <w:r>
        <w:rPr>
          <w:rFonts w:hint="default" w:ascii="Calibri" w:hAnsi="Calibri" w:cs="Calibri"/>
          <w:b w:val="0"/>
          <w:bCs w:val="0"/>
          <w:i w:val="0"/>
          <w:iCs w:val="0"/>
          <w:color w:val="000000"/>
          <w:spacing w:val="0"/>
          <w:sz w:val="18"/>
          <w:szCs w:val="18"/>
          <w:lang w:val="en-US"/>
        </w:rPr>
        <w:t>2018</w:t>
      </w:r>
      <w:r>
        <w:rPr>
          <w:b w:val="0"/>
          <w:bCs w:val="0"/>
          <w:i w:val="0"/>
          <w:iCs w:val="0"/>
          <w:color w:val="000000"/>
          <w:spacing w:val="0"/>
          <w:sz w:val="18"/>
          <w:szCs w:val="18"/>
          <w:lang w:eastAsia="zh-CN"/>
        </w:rPr>
        <w:t>〕</w:t>
      </w:r>
      <w:r>
        <w:rPr>
          <w:rFonts w:hint="default" w:ascii="Calibri" w:hAnsi="Calibri" w:cs="Calibri"/>
          <w:b w:val="0"/>
          <w:bCs w:val="0"/>
          <w:i w:val="0"/>
          <w:iCs w:val="0"/>
          <w:color w:val="000000"/>
          <w:spacing w:val="0"/>
          <w:sz w:val="18"/>
          <w:szCs w:val="18"/>
          <w:lang w:val="en-US"/>
        </w:rPr>
        <w:t>20</w:t>
      </w:r>
      <w:r>
        <w:rPr>
          <w:b w:val="0"/>
          <w:bCs w:val="0"/>
          <w:i w:val="0"/>
          <w:iCs w:val="0"/>
          <w:color w:val="000000"/>
          <w:spacing w:val="0"/>
          <w:sz w:val="18"/>
          <w:szCs w:val="18"/>
          <w:lang w:eastAsia="zh-CN"/>
        </w:rPr>
        <w:t>号）和《内蒙古自治区人民政府关于建立残疾儿童康复救助制度的实施意见》（内政发〔</w:t>
      </w:r>
      <w:r>
        <w:rPr>
          <w:rFonts w:hint="default" w:ascii="Calibri" w:hAnsi="Calibri" w:cs="Calibri"/>
          <w:b w:val="0"/>
          <w:bCs w:val="0"/>
          <w:i w:val="0"/>
          <w:iCs w:val="0"/>
          <w:color w:val="000000"/>
          <w:spacing w:val="0"/>
          <w:sz w:val="18"/>
          <w:szCs w:val="18"/>
          <w:lang w:val="en-US"/>
        </w:rPr>
        <w:t>2018</w:t>
      </w:r>
      <w:r>
        <w:rPr>
          <w:b w:val="0"/>
          <w:bCs w:val="0"/>
          <w:i w:val="0"/>
          <w:iCs w:val="0"/>
          <w:color w:val="000000"/>
          <w:spacing w:val="0"/>
          <w:sz w:val="18"/>
          <w:szCs w:val="18"/>
          <w:lang w:eastAsia="zh-CN"/>
        </w:rPr>
        <w:t>〕</w:t>
      </w:r>
      <w:r>
        <w:rPr>
          <w:rFonts w:hint="default" w:ascii="Calibri" w:hAnsi="Calibri" w:cs="Calibri"/>
          <w:b w:val="0"/>
          <w:bCs w:val="0"/>
          <w:i w:val="0"/>
          <w:iCs w:val="0"/>
          <w:color w:val="000000"/>
          <w:spacing w:val="0"/>
          <w:sz w:val="18"/>
          <w:szCs w:val="18"/>
          <w:lang w:val="en-US"/>
        </w:rPr>
        <w:t>45</w:t>
      </w:r>
      <w:r>
        <w:rPr>
          <w:b w:val="0"/>
          <w:bCs w:val="0"/>
          <w:i w:val="0"/>
          <w:iCs w:val="0"/>
          <w:color w:val="000000"/>
          <w:spacing w:val="0"/>
          <w:sz w:val="18"/>
          <w:szCs w:val="18"/>
          <w:lang w:eastAsia="zh-CN"/>
        </w:rPr>
        <w:t>号），科学合理提供各类儿童康复救助服务，增加康复服务供给，在优先保证</w:t>
      </w:r>
      <w:r>
        <w:rPr>
          <w:rFonts w:hint="default" w:ascii="Calibri" w:hAnsi="Calibri" w:cs="Calibri"/>
          <w:b w:val="0"/>
          <w:bCs w:val="0"/>
          <w:i w:val="0"/>
          <w:iCs w:val="0"/>
          <w:color w:val="000000"/>
          <w:spacing w:val="0"/>
          <w:sz w:val="18"/>
          <w:szCs w:val="18"/>
          <w:lang w:val="en-US"/>
        </w:rPr>
        <w:t>0</w:t>
      </w:r>
      <w:r>
        <w:rPr>
          <w:b w:val="0"/>
          <w:bCs w:val="0"/>
          <w:i w:val="0"/>
          <w:iCs w:val="0"/>
          <w:color w:val="000000"/>
          <w:spacing w:val="0"/>
          <w:sz w:val="18"/>
          <w:szCs w:val="18"/>
          <w:lang w:eastAsia="zh-CN"/>
        </w:rPr>
        <w:t>—</w:t>
      </w:r>
      <w:r>
        <w:rPr>
          <w:rFonts w:hint="default" w:ascii="Calibri" w:hAnsi="Calibri" w:cs="Calibri"/>
          <w:b w:val="0"/>
          <w:bCs w:val="0"/>
          <w:i w:val="0"/>
          <w:iCs w:val="0"/>
          <w:color w:val="000000"/>
          <w:spacing w:val="0"/>
          <w:sz w:val="18"/>
          <w:szCs w:val="18"/>
          <w:lang w:val="en-US"/>
        </w:rPr>
        <w:t>7</w:t>
      </w:r>
      <w:r>
        <w:rPr>
          <w:b w:val="0"/>
          <w:bCs w:val="0"/>
          <w:i w:val="0"/>
          <w:iCs w:val="0"/>
          <w:color w:val="000000"/>
          <w:spacing w:val="0"/>
          <w:sz w:val="18"/>
          <w:szCs w:val="18"/>
          <w:lang w:eastAsia="zh-CN"/>
        </w:rPr>
        <w:t>岁残疾儿童康复需要的基础上，扩大残疾儿童康复救助年龄范围，放宽家庭经济条件限制，提高救助标准。大力推进</w:t>
      </w:r>
      <w:r>
        <w:rPr>
          <w:rFonts w:hint="default" w:ascii="Calibri" w:hAnsi="Calibri" w:cs="Calibri"/>
          <w:b w:val="0"/>
          <w:bCs w:val="0"/>
          <w:i w:val="0"/>
          <w:iCs w:val="0"/>
          <w:color w:val="000000"/>
          <w:spacing w:val="0"/>
          <w:sz w:val="18"/>
          <w:szCs w:val="18"/>
          <w:lang w:val="en-US"/>
        </w:rPr>
        <w:t>0</w:t>
      </w:r>
      <w:r>
        <w:rPr>
          <w:b w:val="0"/>
          <w:bCs w:val="0"/>
          <w:i w:val="0"/>
          <w:iCs w:val="0"/>
          <w:color w:val="000000"/>
          <w:spacing w:val="0"/>
          <w:sz w:val="18"/>
          <w:szCs w:val="18"/>
          <w:lang w:eastAsia="zh-CN"/>
        </w:rPr>
        <w:t>—</w:t>
      </w:r>
      <w:r>
        <w:rPr>
          <w:rFonts w:hint="default" w:ascii="Calibri" w:hAnsi="Calibri" w:cs="Calibri"/>
          <w:b w:val="0"/>
          <w:bCs w:val="0"/>
          <w:i w:val="0"/>
          <w:iCs w:val="0"/>
          <w:color w:val="000000"/>
          <w:spacing w:val="0"/>
          <w:sz w:val="18"/>
          <w:szCs w:val="18"/>
          <w:lang w:val="en-US"/>
        </w:rPr>
        <w:t>7</w:t>
      </w:r>
      <w:r>
        <w:rPr>
          <w:b w:val="0"/>
          <w:bCs w:val="0"/>
          <w:i w:val="0"/>
          <w:iCs w:val="0"/>
          <w:color w:val="000000"/>
          <w:spacing w:val="0"/>
          <w:sz w:val="18"/>
          <w:szCs w:val="18"/>
          <w:lang w:eastAsia="zh-CN"/>
        </w:rPr>
        <w:t>岁儿童残疾筛查，建立筛查、诊断、康复救助衔接机制。探索推行残疾儿童早期干预，实施视力低下、心理抑郁健康干预。严格执行儿童康复机构准入标准，落实《内蒙古自治区残疾儿童康复救助定点服务机构协议管理实施细则（试行）》（内政发〔</w:t>
      </w:r>
      <w:r>
        <w:rPr>
          <w:rFonts w:hint="default" w:ascii="Calibri" w:hAnsi="Calibri" w:cs="Calibri"/>
          <w:b w:val="0"/>
          <w:bCs w:val="0"/>
          <w:i w:val="0"/>
          <w:iCs w:val="0"/>
          <w:color w:val="000000"/>
          <w:spacing w:val="0"/>
          <w:sz w:val="18"/>
          <w:szCs w:val="18"/>
          <w:lang w:val="en-US"/>
        </w:rPr>
        <w:t>2021</w:t>
      </w:r>
      <w:r>
        <w:rPr>
          <w:b w:val="0"/>
          <w:bCs w:val="0"/>
          <w:i w:val="0"/>
          <w:iCs w:val="0"/>
          <w:color w:val="000000"/>
          <w:spacing w:val="0"/>
          <w:sz w:val="18"/>
          <w:szCs w:val="18"/>
          <w:lang w:eastAsia="zh-CN"/>
        </w:rPr>
        <w:t>〕</w:t>
      </w:r>
      <w:r>
        <w:rPr>
          <w:rFonts w:hint="default" w:ascii="Calibri" w:hAnsi="Calibri" w:cs="Calibri"/>
          <w:b w:val="0"/>
          <w:bCs w:val="0"/>
          <w:i w:val="0"/>
          <w:iCs w:val="0"/>
          <w:color w:val="000000"/>
          <w:spacing w:val="0"/>
          <w:sz w:val="18"/>
          <w:szCs w:val="18"/>
          <w:lang w:val="en-US"/>
        </w:rPr>
        <w:t>17</w:t>
      </w:r>
      <w:r>
        <w:rPr>
          <w:b w:val="0"/>
          <w:bCs w:val="0"/>
          <w:i w:val="0"/>
          <w:iCs w:val="0"/>
          <w:color w:val="000000"/>
          <w:spacing w:val="0"/>
          <w:sz w:val="18"/>
          <w:szCs w:val="18"/>
          <w:lang w:eastAsia="zh-CN"/>
        </w:rPr>
        <w:t>号），持续推进残疾儿童康复机构规范化建设，建立动态准入退出机制，确保为残疾儿童提供精准优质康复服务。鼓励医疗卫生等机构开展康复服务，延伸服务链条，提升服务水平。（旗残疾人联合会、旗</w:t>
      </w:r>
      <w:r>
        <w:rPr>
          <w:rFonts w:hint="eastAsia"/>
          <w:b w:val="0"/>
          <w:bCs w:val="0"/>
          <w:i w:val="0"/>
          <w:iCs w:val="0"/>
          <w:color w:val="000000"/>
          <w:spacing w:val="0"/>
          <w:sz w:val="18"/>
          <w:szCs w:val="18"/>
          <w:lang w:eastAsia="zh-CN"/>
        </w:rPr>
        <w:t>卫生健康委员会</w:t>
      </w:r>
      <w:r>
        <w:rPr>
          <w:b w:val="0"/>
          <w:bCs w:val="0"/>
          <w:i w:val="0"/>
          <w:iCs w:val="0"/>
          <w:color w:val="000000"/>
          <w:spacing w:val="0"/>
          <w:sz w:val="18"/>
          <w:szCs w:val="18"/>
          <w:lang w:eastAsia="zh-CN"/>
        </w:rPr>
        <w:t>牵头，旗教育体育局、旗民政局、旗财政局、旗医疗保障局按照职能分工负责）</w:t>
      </w:r>
    </w:p>
    <w:p w14:paraId="6E1FBB51">
      <w:pPr>
        <w:pStyle w:val="5"/>
        <w:keepNext w:val="0"/>
        <w:keepLines w:val="0"/>
        <w:widowControl/>
        <w:suppressLineNumbers w:val="0"/>
        <w:spacing w:before="0" w:beforeAutospacing="1" w:after="0" w:afterAutospacing="0" w:line="386" w:lineRule="atLeast"/>
        <w:ind w:left="0" w:right="0"/>
        <w:jc w:val="both"/>
        <w:rPr>
          <w:spacing w:val="0"/>
        </w:rPr>
      </w:pPr>
      <w:r>
        <w:rPr>
          <w:b w:val="0"/>
          <w:bCs w:val="0"/>
          <w:i w:val="0"/>
          <w:iCs w:val="0"/>
          <w:color w:val="000000"/>
          <w:spacing w:val="0"/>
          <w:sz w:val="18"/>
          <w:szCs w:val="18"/>
          <w:lang w:eastAsia="zh-CN"/>
        </w:rPr>
        <w:t>　　</w:t>
      </w:r>
      <w:r>
        <w:rPr>
          <w:rFonts w:hint="default" w:ascii="Calibri" w:hAnsi="Calibri" w:cs="Calibri"/>
          <w:b w:val="0"/>
          <w:bCs w:val="0"/>
          <w:i w:val="0"/>
          <w:iCs w:val="0"/>
          <w:color w:val="000000"/>
          <w:spacing w:val="0"/>
          <w:sz w:val="18"/>
          <w:szCs w:val="18"/>
          <w:lang w:val="en-US"/>
        </w:rPr>
        <w:t>4.</w:t>
      </w:r>
      <w:r>
        <w:rPr>
          <w:b w:val="0"/>
          <w:bCs w:val="0"/>
          <w:i w:val="0"/>
          <w:iCs w:val="0"/>
          <w:color w:val="000000"/>
          <w:spacing w:val="0"/>
          <w:sz w:val="18"/>
          <w:szCs w:val="18"/>
          <w:lang w:eastAsia="zh-CN"/>
        </w:rPr>
        <w:t>提升残疾人辅助器具服务水平。推动辅具服务规范化建设，提高精准服务水平，推广普及安全适用的基本型康复辅助器具。推动建立残疾人基本辅助器具适配补贴制度，构建健全的辅助器具适配资源共享、链条式服务体系。加强康复辅助器具适配服务机构建设，鼓励实施公益性康复辅助器具适配项目，支持社会力量及医疗、康复、养老、就业、托养机构及残疾人教育等机构开展辅具适配服务。推广社区康复辅助器具租赁、回收、维修等服务。（旗残疾人联合会牵头，旗教育体育局、旗财政局、旗民政局、旗</w:t>
      </w:r>
      <w:r>
        <w:rPr>
          <w:rFonts w:hint="eastAsia"/>
          <w:b w:val="0"/>
          <w:bCs w:val="0"/>
          <w:i w:val="0"/>
          <w:iCs w:val="0"/>
          <w:color w:val="000000"/>
          <w:spacing w:val="0"/>
          <w:sz w:val="18"/>
          <w:szCs w:val="18"/>
          <w:lang w:eastAsia="zh-CN"/>
        </w:rPr>
        <w:t>卫生健康委员会</w:t>
      </w:r>
      <w:r>
        <w:rPr>
          <w:b w:val="0"/>
          <w:bCs w:val="0"/>
          <w:i w:val="0"/>
          <w:iCs w:val="0"/>
          <w:color w:val="000000"/>
          <w:spacing w:val="0"/>
          <w:sz w:val="18"/>
          <w:szCs w:val="18"/>
          <w:lang w:eastAsia="zh-CN"/>
        </w:rPr>
        <w:t>按照职能分工负责）</w:t>
      </w:r>
    </w:p>
    <w:p w14:paraId="06EDD0E6">
      <w:pPr>
        <w:pStyle w:val="5"/>
        <w:keepNext w:val="0"/>
        <w:keepLines w:val="0"/>
        <w:widowControl/>
        <w:suppressLineNumbers w:val="0"/>
        <w:spacing w:before="0" w:beforeAutospacing="1" w:after="0" w:afterAutospacing="0" w:line="386" w:lineRule="atLeast"/>
        <w:ind w:left="0" w:right="0"/>
        <w:jc w:val="both"/>
        <w:rPr>
          <w:spacing w:val="0"/>
        </w:rPr>
      </w:pPr>
      <w:r>
        <w:rPr>
          <w:b w:val="0"/>
          <w:bCs w:val="0"/>
          <w:i w:val="0"/>
          <w:iCs w:val="0"/>
          <w:color w:val="000000"/>
          <w:spacing w:val="0"/>
          <w:sz w:val="18"/>
          <w:szCs w:val="18"/>
          <w:lang w:eastAsia="zh-CN"/>
        </w:rPr>
        <w:t>　　</w:t>
      </w:r>
      <w:r>
        <w:rPr>
          <w:rFonts w:hint="default" w:ascii="Calibri" w:hAnsi="Calibri" w:cs="Calibri"/>
          <w:b w:val="0"/>
          <w:bCs w:val="0"/>
          <w:i w:val="0"/>
          <w:iCs w:val="0"/>
          <w:color w:val="000000"/>
          <w:spacing w:val="0"/>
          <w:sz w:val="18"/>
          <w:szCs w:val="18"/>
          <w:lang w:val="en-US"/>
        </w:rPr>
        <w:t>5.</w:t>
      </w:r>
      <w:r>
        <w:rPr>
          <w:b w:val="0"/>
          <w:bCs w:val="0"/>
          <w:i w:val="0"/>
          <w:iCs w:val="0"/>
          <w:color w:val="000000"/>
          <w:spacing w:val="0"/>
          <w:sz w:val="18"/>
          <w:szCs w:val="18"/>
          <w:lang w:eastAsia="zh-CN"/>
        </w:rPr>
        <w:t>完善康复服务工作体系。健全康复服务医疗体系，通过多种途径培养引进高素质、专业化康复技能人才，提高康复服务技术水平。建立以医疗卫生机构为依托，定点康复机构为骨干，社区康复、家庭康复为基础的三级康复体系，提高康复医疗服务能力。推动建立“互联网</w:t>
      </w:r>
      <w:r>
        <w:rPr>
          <w:rFonts w:hint="default" w:ascii="Calibri" w:hAnsi="Calibri" w:cs="Calibri"/>
          <w:b w:val="0"/>
          <w:bCs w:val="0"/>
          <w:i w:val="0"/>
          <w:iCs w:val="0"/>
          <w:color w:val="000000"/>
          <w:spacing w:val="0"/>
          <w:sz w:val="18"/>
          <w:szCs w:val="18"/>
          <w:lang w:val="en-US"/>
        </w:rPr>
        <w:t>+</w:t>
      </w:r>
      <w:r>
        <w:rPr>
          <w:b w:val="0"/>
          <w:bCs w:val="0"/>
          <w:i w:val="0"/>
          <w:iCs w:val="0"/>
          <w:color w:val="000000"/>
          <w:spacing w:val="0"/>
          <w:sz w:val="18"/>
          <w:szCs w:val="18"/>
          <w:lang w:eastAsia="zh-CN"/>
        </w:rPr>
        <w:t>”残疾人康复服务体系，实现康复机构与医疗卫生机构资源信息共享和交流合作。完善全面康复业务布局，充实职业康复、社会康复、心理康复等功能。加强康复学科建设，发挥中蒙医药在康复中的独特优势，推动康复服务高质量发展。（旗残疾人联合会、旗</w:t>
      </w:r>
      <w:r>
        <w:rPr>
          <w:rFonts w:hint="eastAsia"/>
          <w:b w:val="0"/>
          <w:bCs w:val="0"/>
          <w:i w:val="0"/>
          <w:iCs w:val="0"/>
          <w:color w:val="000000"/>
          <w:spacing w:val="0"/>
          <w:sz w:val="18"/>
          <w:szCs w:val="18"/>
          <w:lang w:eastAsia="zh-CN"/>
        </w:rPr>
        <w:t>卫生健康委员会</w:t>
      </w:r>
      <w:r>
        <w:rPr>
          <w:b w:val="0"/>
          <w:bCs w:val="0"/>
          <w:i w:val="0"/>
          <w:iCs w:val="0"/>
          <w:color w:val="000000"/>
          <w:spacing w:val="0"/>
          <w:sz w:val="18"/>
          <w:szCs w:val="18"/>
          <w:lang w:eastAsia="zh-CN"/>
        </w:rPr>
        <w:t>牵头，旗财政局、旗发展和改革委员会、旗医疗保障局按照职能分工负责）</w:t>
      </w:r>
    </w:p>
    <w:p w14:paraId="7E1B6EFC">
      <w:pPr>
        <w:pStyle w:val="5"/>
        <w:keepNext w:val="0"/>
        <w:keepLines w:val="0"/>
        <w:widowControl/>
        <w:suppressLineNumbers w:val="0"/>
        <w:spacing w:before="0" w:beforeAutospacing="1" w:after="0" w:afterAutospacing="0" w:line="386" w:lineRule="atLeast"/>
        <w:ind w:left="0" w:right="0"/>
        <w:jc w:val="both"/>
        <w:rPr>
          <w:spacing w:val="0"/>
        </w:rPr>
      </w:pPr>
      <w:r>
        <w:rPr>
          <w:b w:val="0"/>
          <w:bCs w:val="0"/>
          <w:i w:val="0"/>
          <w:iCs w:val="0"/>
          <w:color w:val="000000"/>
          <w:spacing w:val="0"/>
          <w:sz w:val="18"/>
          <w:szCs w:val="18"/>
          <w:lang w:eastAsia="zh-CN"/>
        </w:rPr>
        <w:t>　　专栏</w:t>
      </w:r>
      <w:r>
        <w:rPr>
          <w:rFonts w:hint="default" w:ascii="Calibri" w:hAnsi="Calibri" w:cs="Calibri"/>
          <w:b w:val="0"/>
          <w:bCs w:val="0"/>
          <w:i w:val="0"/>
          <w:iCs w:val="0"/>
          <w:color w:val="000000"/>
          <w:spacing w:val="0"/>
          <w:sz w:val="18"/>
          <w:szCs w:val="18"/>
          <w:lang w:val="en-US"/>
        </w:rPr>
        <w:t>4  </w:t>
      </w:r>
      <w:r>
        <w:rPr>
          <w:b w:val="0"/>
          <w:bCs w:val="0"/>
          <w:i w:val="0"/>
          <w:iCs w:val="0"/>
          <w:color w:val="000000"/>
          <w:spacing w:val="0"/>
          <w:sz w:val="18"/>
          <w:szCs w:val="18"/>
          <w:lang w:eastAsia="zh-CN"/>
        </w:rPr>
        <w:t>残疾人康复服务项目</w:t>
      </w:r>
    </w:p>
    <w:p w14:paraId="62E669C7">
      <w:pPr>
        <w:pStyle w:val="5"/>
        <w:keepNext w:val="0"/>
        <w:keepLines w:val="0"/>
        <w:widowControl/>
        <w:suppressLineNumbers w:val="0"/>
        <w:spacing w:before="0" w:beforeAutospacing="1" w:after="0" w:afterAutospacing="0" w:line="386" w:lineRule="atLeast"/>
        <w:ind w:left="0" w:right="0"/>
        <w:jc w:val="both"/>
        <w:rPr>
          <w:b w:val="0"/>
          <w:bCs w:val="0"/>
          <w:i w:val="0"/>
          <w:iCs w:val="0"/>
          <w:spacing w:val="0"/>
        </w:rPr>
      </w:pPr>
      <w:r>
        <w:rPr>
          <w:b w:val="0"/>
          <w:bCs w:val="0"/>
          <w:i w:val="0"/>
          <w:iCs w:val="0"/>
          <w:color w:val="000000"/>
          <w:spacing w:val="0"/>
          <w:sz w:val="18"/>
          <w:szCs w:val="18"/>
          <w:lang w:eastAsia="zh-CN"/>
        </w:rPr>
        <w:t>　　</w:t>
      </w:r>
    </w:p>
    <w:tbl>
      <w:tblPr>
        <w:tblStyle w:val="3"/>
        <w:tblW w:w="1038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0" w:type="dxa"/>
          <w:left w:w="30" w:type="dxa"/>
          <w:bottom w:w="30" w:type="dxa"/>
          <w:right w:w="30" w:type="dxa"/>
        </w:tblCellMar>
      </w:tblPr>
      <w:tblGrid>
        <w:gridCol w:w="10380"/>
      </w:tblGrid>
      <w:tr w14:paraId="72B23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0" w:type="dxa"/>
            <w:left w:w="30" w:type="dxa"/>
            <w:bottom w:w="30" w:type="dxa"/>
            <w:right w:w="30" w:type="dxa"/>
          </w:tblCellMar>
        </w:tblPrEx>
        <w:trPr>
          <w:tblCellSpacing w:w="0" w:type="dxa"/>
          <w:jc w:val="center"/>
        </w:trPr>
        <w:tc>
          <w:tcPr>
            <w:tcW w:w="10260" w:type="dxa"/>
            <w:tcBorders>
              <w:top w:val="single" w:color="000000" w:sz="8" w:space="0"/>
              <w:left w:val="single" w:color="000000" w:sz="8" w:space="0"/>
              <w:bottom w:val="single" w:color="000000" w:sz="8" w:space="0"/>
              <w:right w:val="single" w:color="000000" w:sz="8" w:space="0"/>
            </w:tcBorders>
            <w:shd w:val="clear" w:color="auto" w:fill="auto"/>
            <w:tcMar>
              <w:top w:w="28" w:type="dxa"/>
              <w:left w:w="108" w:type="dxa"/>
              <w:bottom w:w="28" w:type="dxa"/>
              <w:right w:w="108" w:type="dxa"/>
            </w:tcMar>
            <w:vAlign w:val="top"/>
          </w:tcPr>
          <w:p w14:paraId="65804EDD">
            <w:pPr>
              <w:pStyle w:val="2"/>
              <w:keepNext w:val="0"/>
              <w:keepLines w:val="0"/>
              <w:widowControl/>
              <w:suppressLineNumbers w:val="0"/>
            </w:pPr>
            <w:r>
              <w:t xml:space="preserve">    </w:t>
            </w:r>
            <w:r>
              <w:rPr>
                <w:rFonts w:hint="default" w:ascii="Times New Roman" w:hAnsi="Times New Roman" w:cs="Times New Roman"/>
                <w:sz w:val="24"/>
                <w:szCs w:val="24"/>
                <w:lang w:val="en-US"/>
              </w:rPr>
              <w:t>1.</w:t>
            </w:r>
            <w:r>
              <w:rPr>
                <w:rFonts w:hint="eastAsia" w:ascii="宋体" w:hAnsi="宋体" w:eastAsia="宋体" w:cs="宋体"/>
                <w:sz w:val="24"/>
                <w:szCs w:val="24"/>
              </w:rPr>
              <w:t>加强残疾预防宣传。</w:t>
            </w:r>
            <w:r>
              <w:rPr>
                <w:rFonts w:hint="default" w:ascii="Arial" w:hAnsi="Arial" w:cs="Arial"/>
                <w:sz w:val="24"/>
                <w:szCs w:val="24"/>
              </w:rPr>
              <w:t>广泛开展残疾预防宣传教育，面向儿童、青少年、孕产妇、高危职业从业者等重点人群普及残疾预防知识，提高残疾预防和生命防护能力，形成全人群、全生命周期的残疾预防意识。加强出生缺陷综合防治，构建覆盖城乡居民，涵盖婚前、孕前、孕期、新生儿和儿童各阶段的出生缺陷防治体系。</w:t>
            </w:r>
          </w:p>
          <w:p w14:paraId="3A2429F9">
            <w:pPr>
              <w:pStyle w:val="2"/>
              <w:keepNext w:val="0"/>
              <w:keepLines w:val="0"/>
              <w:widowControl/>
              <w:suppressLineNumbers w:val="0"/>
            </w:pPr>
            <w:r>
              <w:rPr>
                <w:rFonts w:hint="default" w:ascii="Arial" w:hAnsi="Arial" w:cs="Arial"/>
                <w:sz w:val="24"/>
                <w:szCs w:val="24"/>
              </w:rPr>
              <w:t>　　</w:t>
            </w:r>
            <w:r>
              <w:rPr>
                <w:rFonts w:hint="default" w:ascii="Times New Roman" w:hAnsi="Times New Roman" w:cs="Times New Roman"/>
                <w:sz w:val="24"/>
                <w:szCs w:val="24"/>
                <w:lang w:val="en-US"/>
              </w:rPr>
              <w:t>2.</w:t>
            </w:r>
            <w:r>
              <w:rPr>
                <w:rFonts w:hint="eastAsia" w:ascii="宋体" w:hAnsi="宋体" w:eastAsia="宋体" w:cs="宋体"/>
                <w:sz w:val="24"/>
                <w:szCs w:val="24"/>
              </w:rPr>
              <w:t>提升残疾人康复服务质量。</w:t>
            </w:r>
            <w:r>
              <w:rPr>
                <w:rFonts w:hint="default" w:ascii="Arial" w:hAnsi="Arial" w:cs="Arial"/>
                <w:sz w:val="24"/>
                <w:szCs w:val="24"/>
              </w:rPr>
              <w:t>加强和改善残疾人医疗卫生服务，为残疾人提供就医康复便利。满足残疾人基本康复服务需求，</w:t>
            </w:r>
            <w:r>
              <w:rPr>
                <w:rFonts w:hint="eastAsia" w:ascii="宋体" w:hAnsi="宋体" w:eastAsia="宋体" w:cs="宋体"/>
                <w:sz w:val="24"/>
                <w:szCs w:val="24"/>
              </w:rPr>
              <w:t>使精准康复服务率达</w:t>
            </w:r>
            <w:r>
              <w:rPr>
                <w:rFonts w:hint="default" w:ascii="Times New Roman" w:hAnsi="Times New Roman" w:cs="Times New Roman"/>
                <w:sz w:val="24"/>
                <w:szCs w:val="24"/>
                <w:lang w:val="en-US"/>
              </w:rPr>
              <w:t>90%</w:t>
            </w:r>
            <w:r>
              <w:rPr>
                <w:rFonts w:hint="eastAsia" w:ascii="宋体" w:hAnsi="宋体" w:eastAsia="宋体" w:cs="宋体"/>
                <w:sz w:val="24"/>
                <w:szCs w:val="24"/>
              </w:rPr>
              <w:t>。全面推进残疾人家庭医生签约服务</w:t>
            </w:r>
            <w:r>
              <w:rPr>
                <w:rFonts w:hint="default" w:ascii="Arial" w:hAnsi="Arial" w:cs="Arial"/>
                <w:sz w:val="24"/>
                <w:szCs w:val="24"/>
              </w:rPr>
              <w:t>，支持保障签约医生为残疾人提供基本医疗、公共卫生和健康管理等个性化服务。</w:t>
            </w:r>
          </w:p>
          <w:p w14:paraId="2BB8F185">
            <w:pPr>
              <w:pStyle w:val="2"/>
              <w:keepNext w:val="0"/>
              <w:keepLines w:val="0"/>
              <w:widowControl/>
              <w:suppressLineNumbers w:val="0"/>
            </w:pPr>
            <w:r>
              <w:rPr>
                <w:rFonts w:hint="default" w:ascii="Arial" w:hAnsi="Arial" w:cs="Arial"/>
                <w:sz w:val="24"/>
                <w:szCs w:val="24"/>
              </w:rPr>
              <w:t>　　</w:t>
            </w:r>
            <w:r>
              <w:rPr>
                <w:rFonts w:hint="default" w:ascii="Times New Roman" w:hAnsi="Times New Roman" w:cs="Times New Roman"/>
                <w:sz w:val="24"/>
                <w:szCs w:val="24"/>
                <w:lang w:val="en-US"/>
              </w:rPr>
              <w:t>3.</w:t>
            </w:r>
            <w:r>
              <w:rPr>
                <w:rFonts w:hint="eastAsia" w:ascii="宋体" w:hAnsi="宋体" w:eastAsia="宋体" w:cs="宋体"/>
                <w:sz w:val="24"/>
                <w:szCs w:val="24"/>
              </w:rPr>
              <w:t>加强残疾儿童康复力度。大力推进</w:t>
            </w:r>
            <w:r>
              <w:rPr>
                <w:rFonts w:hint="default" w:ascii="Times New Roman" w:hAnsi="Times New Roman" w:cs="Times New Roman"/>
                <w:sz w:val="24"/>
                <w:szCs w:val="24"/>
                <w:lang w:val="en-US"/>
              </w:rPr>
              <w:t>0</w:t>
            </w:r>
            <w:r>
              <w:rPr>
                <w:rFonts w:hint="eastAsia" w:ascii="宋体" w:hAnsi="宋体" w:eastAsia="宋体" w:cs="宋体"/>
                <w:sz w:val="24"/>
                <w:szCs w:val="24"/>
              </w:rPr>
              <w:t>—</w:t>
            </w:r>
            <w:r>
              <w:rPr>
                <w:rFonts w:hint="default" w:ascii="Times New Roman" w:hAnsi="Times New Roman" w:cs="Times New Roman"/>
                <w:sz w:val="24"/>
                <w:szCs w:val="24"/>
                <w:lang w:val="en-US"/>
              </w:rPr>
              <w:t>7</w:t>
            </w:r>
            <w:r>
              <w:rPr>
                <w:rFonts w:hint="eastAsia" w:ascii="宋体" w:hAnsi="宋体" w:eastAsia="宋体" w:cs="宋体"/>
                <w:sz w:val="24"/>
                <w:szCs w:val="24"/>
              </w:rPr>
              <w:t>岁儿童残疾筛查</w:t>
            </w:r>
            <w:r>
              <w:rPr>
                <w:rFonts w:hint="default" w:ascii="Arial" w:hAnsi="Arial" w:cs="Arial"/>
                <w:sz w:val="24"/>
                <w:szCs w:val="24"/>
              </w:rPr>
              <w:t>，建立筛查、诊断、康复救助衔接机制。探索推进残疾儿童早期干预，</w:t>
            </w:r>
            <w:r>
              <w:rPr>
                <w:rFonts w:hint="eastAsia" w:ascii="宋体" w:hAnsi="宋体" w:eastAsia="宋体" w:cs="宋体"/>
                <w:sz w:val="24"/>
                <w:szCs w:val="24"/>
              </w:rPr>
              <w:t>实施视力低下、心理抑郁健康干预。在优先保证</w:t>
            </w:r>
            <w:r>
              <w:rPr>
                <w:rFonts w:hint="default" w:ascii="Times New Roman" w:hAnsi="Times New Roman" w:cs="Times New Roman"/>
                <w:sz w:val="24"/>
                <w:szCs w:val="24"/>
                <w:lang w:val="en-US"/>
              </w:rPr>
              <w:t>0</w:t>
            </w:r>
            <w:r>
              <w:rPr>
                <w:rFonts w:hint="eastAsia" w:ascii="宋体" w:hAnsi="宋体" w:eastAsia="宋体" w:cs="宋体"/>
                <w:sz w:val="24"/>
                <w:szCs w:val="24"/>
              </w:rPr>
              <w:t>—</w:t>
            </w:r>
            <w:r>
              <w:rPr>
                <w:rFonts w:hint="default" w:ascii="Times New Roman" w:hAnsi="Times New Roman" w:cs="Times New Roman"/>
                <w:sz w:val="24"/>
                <w:szCs w:val="24"/>
                <w:lang w:val="en-US"/>
              </w:rPr>
              <w:t>7</w:t>
            </w:r>
            <w:r>
              <w:rPr>
                <w:rFonts w:hint="eastAsia" w:ascii="宋体" w:hAnsi="宋体" w:eastAsia="宋体" w:cs="宋体"/>
                <w:sz w:val="24"/>
                <w:szCs w:val="24"/>
              </w:rPr>
              <w:t>岁残疾儿童康复需要的基础上</w:t>
            </w:r>
            <w:r>
              <w:rPr>
                <w:rFonts w:hint="default" w:ascii="Arial" w:hAnsi="Arial" w:cs="Arial"/>
                <w:sz w:val="24"/>
                <w:szCs w:val="24"/>
              </w:rPr>
              <w:t>，扩大残疾儿童康复救助年龄范围，放宽家庭经济条件限制，提高救助标准。</w:t>
            </w:r>
          </w:p>
          <w:p w14:paraId="61EFE957">
            <w:pPr>
              <w:pStyle w:val="2"/>
              <w:keepNext w:val="0"/>
              <w:keepLines w:val="0"/>
              <w:widowControl/>
              <w:suppressLineNumbers w:val="0"/>
            </w:pPr>
            <w:r>
              <w:rPr>
                <w:rFonts w:hint="default" w:ascii="Arial" w:hAnsi="Arial" w:cs="Arial"/>
                <w:sz w:val="24"/>
                <w:szCs w:val="24"/>
              </w:rPr>
              <w:t>　　</w:t>
            </w:r>
            <w:r>
              <w:rPr>
                <w:rFonts w:hint="default" w:ascii="Times New Roman" w:hAnsi="Times New Roman" w:cs="Times New Roman"/>
                <w:sz w:val="24"/>
                <w:szCs w:val="24"/>
                <w:lang w:val="en-US"/>
              </w:rPr>
              <w:t>4.</w:t>
            </w:r>
            <w:r>
              <w:rPr>
                <w:rFonts w:hint="eastAsia" w:ascii="宋体" w:hAnsi="宋体" w:eastAsia="宋体" w:cs="宋体"/>
                <w:sz w:val="24"/>
                <w:szCs w:val="24"/>
              </w:rPr>
              <w:t>提升残疾人辅助器具适配服务水平。</w:t>
            </w:r>
            <w:r>
              <w:rPr>
                <w:rFonts w:hint="default" w:ascii="Arial" w:hAnsi="Arial" w:cs="Arial"/>
                <w:sz w:val="24"/>
                <w:szCs w:val="24"/>
              </w:rPr>
              <w:t>推动辅具适配服务规范化建设，</w:t>
            </w:r>
            <w:r>
              <w:rPr>
                <w:rFonts w:hint="eastAsia" w:ascii="宋体" w:hAnsi="宋体" w:eastAsia="宋体" w:cs="宋体"/>
                <w:sz w:val="24"/>
                <w:szCs w:val="24"/>
              </w:rPr>
              <w:t>提高精准服务水平。推动建立残疾人基本辅助器具适配补贴制度。辅助器具适配率达</w:t>
            </w:r>
            <w:r>
              <w:rPr>
                <w:rFonts w:hint="default" w:ascii="Times New Roman" w:hAnsi="Times New Roman" w:cs="Times New Roman"/>
                <w:sz w:val="24"/>
                <w:szCs w:val="24"/>
                <w:lang w:val="en-US"/>
              </w:rPr>
              <w:t>90%</w:t>
            </w:r>
            <w:r>
              <w:rPr>
                <w:rFonts w:hint="eastAsia" w:ascii="宋体" w:hAnsi="宋体" w:eastAsia="宋体" w:cs="宋体"/>
                <w:sz w:val="24"/>
                <w:szCs w:val="24"/>
              </w:rPr>
              <w:t>。加强康复辅助器具适配服务机构建设</w:t>
            </w:r>
            <w:r>
              <w:rPr>
                <w:rFonts w:hint="default" w:ascii="Arial" w:hAnsi="Arial" w:cs="Arial"/>
                <w:sz w:val="24"/>
                <w:szCs w:val="24"/>
              </w:rPr>
              <w:t>，鼓励实施公益性康复辅助器具适配项目，推广社区康复辅助器具租赁、回收、维修等服务。</w:t>
            </w:r>
          </w:p>
          <w:p w14:paraId="3C8760B1">
            <w:pPr>
              <w:pStyle w:val="2"/>
              <w:keepNext w:val="0"/>
              <w:keepLines w:val="0"/>
              <w:widowControl/>
              <w:suppressLineNumbers w:val="0"/>
            </w:pPr>
            <w:r>
              <w:rPr>
                <w:rFonts w:hint="default" w:ascii="Arial" w:hAnsi="Arial" w:cs="Arial"/>
                <w:sz w:val="24"/>
                <w:szCs w:val="24"/>
              </w:rPr>
              <w:t>　　</w:t>
            </w:r>
            <w:r>
              <w:rPr>
                <w:rFonts w:hint="default" w:ascii="Times New Roman" w:hAnsi="Times New Roman" w:cs="Times New Roman"/>
                <w:sz w:val="24"/>
                <w:szCs w:val="24"/>
                <w:lang w:val="en-US"/>
              </w:rPr>
              <w:t>5.</w:t>
            </w:r>
            <w:r>
              <w:rPr>
                <w:rFonts w:hint="eastAsia" w:ascii="宋体" w:hAnsi="宋体" w:eastAsia="宋体" w:cs="宋体"/>
                <w:sz w:val="24"/>
                <w:szCs w:val="24"/>
              </w:rPr>
              <w:t>完善康复服务工作体系。</w:t>
            </w:r>
            <w:r>
              <w:rPr>
                <w:rFonts w:hint="default" w:ascii="Arial" w:hAnsi="Arial" w:cs="Arial"/>
                <w:sz w:val="24"/>
                <w:szCs w:val="24"/>
              </w:rPr>
              <w:t>完善全面康复业务布局，加强康复学科建设，发挥中蒙医药在康复中的独特优势，推动康复服务高质量发展。</w:t>
            </w:r>
          </w:p>
        </w:tc>
      </w:tr>
    </w:tbl>
    <w:p w14:paraId="7E237407">
      <w:pPr>
        <w:pStyle w:val="5"/>
        <w:keepNext w:val="0"/>
        <w:keepLines w:val="0"/>
        <w:widowControl/>
        <w:suppressLineNumbers w:val="0"/>
        <w:spacing w:before="0" w:beforeAutospacing="1" w:after="0" w:afterAutospacing="0" w:line="386" w:lineRule="atLeast"/>
        <w:ind w:left="0" w:right="0"/>
        <w:jc w:val="both"/>
        <w:rPr>
          <w:b w:val="0"/>
          <w:bCs w:val="0"/>
          <w:i w:val="0"/>
          <w:iCs w:val="0"/>
          <w:spacing w:val="0"/>
        </w:rPr>
      </w:pPr>
      <w:r>
        <w:rPr>
          <w:b w:val="0"/>
          <w:bCs w:val="0"/>
          <w:i w:val="0"/>
          <w:iCs w:val="0"/>
          <w:color w:val="000000"/>
          <w:spacing w:val="0"/>
          <w:sz w:val="18"/>
          <w:szCs w:val="18"/>
          <w:lang w:eastAsia="zh-CN"/>
        </w:rPr>
        <w:t>　　（四）增强残疾人教育文化体育服务水平，提升残疾人综合素质</w:t>
      </w:r>
    </w:p>
    <w:p w14:paraId="1B0C9F23">
      <w:pPr>
        <w:pStyle w:val="5"/>
        <w:keepNext w:val="0"/>
        <w:keepLines w:val="0"/>
        <w:widowControl/>
        <w:suppressLineNumbers w:val="0"/>
        <w:spacing w:before="0" w:beforeAutospacing="1" w:after="0" w:afterAutospacing="0" w:line="386" w:lineRule="atLeast"/>
        <w:ind w:left="0" w:right="0"/>
        <w:jc w:val="both"/>
        <w:rPr>
          <w:spacing w:val="0"/>
        </w:rPr>
      </w:pPr>
      <w:r>
        <w:rPr>
          <w:b w:val="0"/>
          <w:bCs w:val="0"/>
          <w:i w:val="0"/>
          <w:iCs w:val="0"/>
          <w:color w:val="000000"/>
          <w:spacing w:val="0"/>
          <w:sz w:val="18"/>
          <w:szCs w:val="18"/>
          <w:lang w:eastAsia="zh-CN"/>
        </w:rPr>
        <w:t>　　</w:t>
      </w:r>
      <w:r>
        <w:rPr>
          <w:rFonts w:hint="default" w:ascii="Calibri" w:hAnsi="Calibri" w:cs="Calibri"/>
          <w:b w:val="0"/>
          <w:bCs w:val="0"/>
          <w:i w:val="0"/>
          <w:iCs w:val="0"/>
          <w:color w:val="000000"/>
          <w:spacing w:val="0"/>
          <w:sz w:val="18"/>
          <w:szCs w:val="18"/>
          <w:lang w:val="en-US"/>
        </w:rPr>
        <w:t>1.</w:t>
      </w:r>
      <w:r>
        <w:rPr>
          <w:b w:val="0"/>
          <w:bCs w:val="0"/>
          <w:i w:val="0"/>
          <w:iCs w:val="0"/>
          <w:color w:val="000000"/>
          <w:spacing w:val="0"/>
          <w:sz w:val="18"/>
          <w:szCs w:val="18"/>
          <w:lang w:eastAsia="zh-CN"/>
        </w:rPr>
        <w:t>完善残疾人教育体系。深入落实《</w:t>
      </w:r>
      <w:r>
        <w:rPr>
          <w:rFonts w:hint="eastAsia"/>
          <w:b w:val="0"/>
          <w:bCs w:val="0"/>
          <w:i w:val="0"/>
          <w:iCs w:val="0"/>
          <w:color w:val="000000"/>
          <w:spacing w:val="0"/>
          <w:sz w:val="18"/>
          <w:szCs w:val="18"/>
          <w:lang w:eastAsia="zh-CN"/>
        </w:rPr>
        <w:t>残疾人教育条例</w:t>
      </w:r>
      <w:bookmarkStart w:id="0" w:name="_GoBack"/>
      <w:bookmarkEnd w:id="0"/>
      <w:r>
        <w:rPr>
          <w:b w:val="0"/>
          <w:bCs w:val="0"/>
          <w:i w:val="0"/>
          <w:iCs w:val="0"/>
          <w:color w:val="000000"/>
          <w:spacing w:val="0"/>
          <w:sz w:val="18"/>
          <w:szCs w:val="18"/>
          <w:lang w:eastAsia="zh-CN"/>
        </w:rPr>
        <w:t>》和全纳教育要求，贯彻落实《教育部等部委“十四五”特殊教育发展提升行动计划》（国办发〔</w:t>
      </w:r>
      <w:r>
        <w:rPr>
          <w:rFonts w:hint="default" w:ascii="Calibri" w:hAnsi="Calibri" w:cs="Calibri"/>
          <w:b w:val="0"/>
          <w:bCs w:val="0"/>
          <w:i w:val="0"/>
          <w:iCs w:val="0"/>
          <w:color w:val="000000"/>
          <w:spacing w:val="0"/>
          <w:sz w:val="18"/>
          <w:szCs w:val="18"/>
          <w:lang w:val="en-US"/>
        </w:rPr>
        <w:t>2021</w:t>
      </w:r>
      <w:r>
        <w:rPr>
          <w:b w:val="0"/>
          <w:bCs w:val="0"/>
          <w:i w:val="0"/>
          <w:iCs w:val="0"/>
          <w:color w:val="000000"/>
          <w:spacing w:val="0"/>
          <w:sz w:val="18"/>
          <w:szCs w:val="18"/>
          <w:lang w:eastAsia="zh-CN"/>
        </w:rPr>
        <w:t>〕</w:t>
      </w:r>
      <w:r>
        <w:rPr>
          <w:rFonts w:hint="default" w:ascii="Calibri" w:hAnsi="Calibri" w:cs="Calibri"/>
          <w:b w:val="0"/>
          <w:bCs w:val="0"/>
          <w:i w:val="0"/>
          <w:iCs w:val="0"/>
          <w:color w:val="000000"/>
          <w:spacing w:val="0"/>
          <w:sz w:val="18"/>
          <w:szCs w:val="18"/>
          <w:lang w:val="en-US"/>
        </w:rPr>
        <w:t>60</w:t>
      </w:r>
      <w:r>
        <w:rPr>
          <w:b w:val="0"/>
          <w:bCs w:val="0"/>
          <w:i w:val="0"/>
          <w:iCs w:val="0"/>
          <w:color w:val="000000"/>
          <w:spacing w:val="0"/>
          <w:sz w:val="18"/>
          <w:szCs w:val="18"/>
          <w:lang w:eastAsia="zh-CN"/>
        </w:rPr>
        <w:t>号）及自治区、市配套政策。建立教育部门、残联数据共享与业务协同机制，加快落实医、康、教融合残疾儿童学前教育，切实提高适龄残疾儿童少年义务教育普及水平和巩固率。</w:t>
      </w:r>
      <w:r>
        <w:rPr>
          <w:rFonts w:hint="default" w:ascii="Calibri" w:hAnsi="Calibri" w:cs="Calibri"/>
          <w:b w:val="0"/>
          <w:bCs w:val="0"/>
          <w:i w:val="0"/>
          <w:iCs w:val="0"/>
          <w:color w:val="000000"/>
          <w:spacing w:val="0"/>
          <w:sz w:val="18"/>
          <w:szCs w:val="18"/>
          <w:lang w:val="en-US"/>
        </w:rPr>
        <w:t>2022</w:t>
      </w:r>
      <w:r>
        <w:rPr>
          <w:b w:val="0"/>
          <w:bCs w:val="0"/>
          <w:i w:val="0"/>
          <w:iCs w:val="0"/>
          <w:color w:val="000000"/>
          <w:spacing w:val="0"/>
          <w:sz w:val="18"/>
          <w:szCs w:val="18"/>
          <w:lang w:eastAsia="zh-CN"/>
        </w:rPr>
        <w:t>年成立残疾人教育专家委员会。发挥残疾人教育专家委员会作用，“一人一案”开展适龄残疾儿童少年教育需求评估，创造条件开展“线上教学”，采取多种形式开展残疾儿童就学安置。健全送教上门工作机制，积极推进融合教育。大力发展以职业教育为重点的残疾人高中阶段教育，推动特殊教育学校结合实际开设职业高中班。认真落实《残疾人参加普通高等学校招生全国统一考试管理规定》，为残疾考生参加高考提供合理便利。继续落实残疾大学新生入学资助政策，为残疾学生提供辅具、特殊学习用品、康复训练和无障碍支持服务。探索残疾人教育与远程教育融合发展新模式，为残疾人提供“人人皆学、处处可学、时时能学”的学历教育和非学历教育平台。结合社会需求的主要特点，改革残疾人职业教育育人模式，将残疾人职业教育教学重点与职业资格认定有机结合，切实满足残疾人就业刚性需求。加强特教师资队伍建设，提高融合教育水平，推广国家通用手语和国家通用盲文。（旗教育体育局牵头，旗人力资源和社会保障局、旗</w:t>
      </w:r>
      <w:r>
        <w:rPr>
          <w:rFonts w:hint="eastAsia"/>
          <w:b w:val="0"/>
          <w:bCs w:val="0"/>
          <w:i w:val="0"/>
          <w:iCs w:val="0"/>
          <w:color w:val="000000"/>
          <w:spacing w:val="0"/>
          <w:sz w:val="18"/>
          <w:szCs w:val="18"/>
          <w:lang w:eastAsia="zh-CN"/>
        </w:rPr>
        <w:t>卫生健康委员会</w:t>
      </w:r>
      <w:r>
        <w:rPr>
          <w:b w:val="0"/>
          <w:bCs w:val="0"/>
          <w:i w:val="0"/>
          <w:iCs w:val="0"/>
          <w:color w:val="000000"/>
          <w:spacing w:val="0"/>
          <w:sz w:val="18"/>
          <w:szCs w:val="18"/>
          <w:lang w:eastAsia="zh-CN"/>
        </w:rPr>
        <w:t>、旗残疾人联合会按照职能分工负责）</w:t>
      </w:r>
    </w:p>
    <w:p w14:paraId="6189CB56">
      <w:pPr>
        <w:pStyle w:val="5"/>
        <w:keepNext w:val="0"/>
        <w:keepLines w:val="0"/>
        <w:widowControl/>
        <w:suppressLineNumbers w:val="0"/>
        <w:spacing w:before="0" w:beforeAutospacing="1" w:after="0" w:afterAutospacing="0" w:line="386" w:lineRule="atLeast"/>
        <w:ind w:left="0" w:right="0"/>
        <w:jc w:val="both"/>
        <w:rPr>
          <w:spacing w:val="0"/>
        </w:rPr>
      </w:pPr>
      <w:r>
        <w:rPr>
          <w:b w:val="0"/>
          <w:bCs w:val="0"/>
          <w:i w:val="0"/>
          <w:iCs w:val="0"/>
          <w:color w:val="000000"/>
          <w:spacing w:val="0"/>
          <w:sz w:val="18"/>
          <w:szCs w:val="18"/>
          <w:lang w:eastAsia="zh-CN"/>
        </w:rPr>
        <w:t>　　</w:t>
      </w:r>
      <w:r>
        <w:rPr>
          <w:rFonts w:hint="default" w:ascii="Calibri" w:hAnsi="Calibri" w:cs="Calibri"/>
          <w:b w:val="0"/>
          <w:bCs w:val="0"/>
          <w:i w:val="0"/>
          <w:iCs w:val="0"/>
          <w:color w:val="000000"/>
          <w:spacing w:val="0"/>
          <w:sz w:val="18"/>
          <w:szCs w:val="18"/>
          <w:lang w:val="en-US"/>
        </w:rPr>
        <w:t>2.</w:t>
      </w:r>
      <w:r>
        <w:rPr>
          <w:b w:val="0"/>
          <w:bCs w:val="0"/>
          <w:i w:val="0"/>
          <w:iCs w:val="0"/>
          <w:color w:val="000000"/>
          <w:spacing w:val="0"/>
          <w:sz w:val="18"/>
          <w:szCs w:val="18"/>
          <w:lang w:eastAsia="zh-CN"/>
        </w:rPr>
        <w:t>提升残疾人公共文化服务水平。依托各级公共文化场所和残疾人综合服务设施为残疾人提供个性化、差异化文化服务，鼓励城市公园、旅游景区、文化体育场馆免费或低收费向残疾人开放。推动依托残疾人服务设施建设残疾人文化艺术中心，推动基层创建残健融合文化服务示范中心（站、点），不断满足残疾人文化需求、增强残疾人精神力量。鼓励残疾人参与文化艺术创作，扶持残疾人文化创意产业基地建设。加强农村牧区重度残疾人文化服务，为盲人、聋人提供无障碍文化产品。广播电视台开播国家通用手语或实时字幕栏目，推动实现重点新闻节目通用手语同步播报。实施残疾人文化艺术人才培养计划，为残疾人展示艺术才华提供舞台。举办无障碍观影等残疾人群众性文化系列活动。持续开展“书香中国</w:t>
      </w:r>
      <w:r>
        <w:rPr>
          <w:rFonts w:hint="default" w:ascii="Calibri" w:hAnsi="Calibri" w:cs="Calibri"/>
          <w:b w:val="0"/>
          <w:bCs w:val="0"/>
          <w:i w:val="0"/>
          <w:iCs w:val="0"/>
          <w:color w:val="000000"/>
          <w:spacing w:val="0"/>
          <w:sz w:val="18"/>
          <w:szCs w:val="18"/>
          <w:lang w:val="en-US"/>
        </w:rPr>
        <w:t>·</w:t>
      </w:r>
      <w:r>
        <w:rPr>
          <w:b w:val="0"/>
          <w:bCs w:val="0"/>
          <w:i w:val="0"/>
          <w:iCs w:val="0"/>
          <w:color w:val="000000"/>
          <w:spacing w:val="0"/>
          <w:sz w:val="18"/>
          <w:szCs w:val="18"/>
          <w:lang w:eastAsia="zh-CN"/>
        </w:rPr>
        <w:t>阅读有我”“共享芬芳</w:t>
      </w:r>
      <w:r>
        <w:rPr>
          <w:rFonts w:hint="default" w:ascii="Calibri" w:hAnsi="Calibri" w:cs="Calibri"/>
          <w:b w:val="0"/>
          <w:bCs w:val="0"/>
          <w:i w:val="0"/>
          <w:iCs w:val="0"/>
          <w:color w:val="000000"/>
          <w:spacing w:val="0"/>
          <w:sz w:val="18"/>
          <w:szCs w:val="18"/>
          <w:lang w:val="en-US"/>
        </w:rPr>
        <w:t>·</w:t>
      </w:r>
      <w:r>
        <w:rPr>
          <w:b w:val="0"/>
          <w:bCs w:val="0"/>
          <w:i w:val="0"/>
          <w:iCs w:val="0"/>
          <w:color w:val="000000"/>
          <w:spacing w:val="0"/>
          <w:sz w:val="18"/>
          <w:szCs w:val="18"/>
          <w:lang w:eastAsia="zh-CN"/>
        </w:rPr>
        <w:t>共铸美好”“残疾人文化周”等活动，认真实施文化进社区、进残疾人家庭“五个一”文化项目。（旗文化和旅游局、旗残疾人联合会牵头，旗委宣传部、旗委网络安全和信息化委员会办公室、旗教育体育局、旗融媒体中心按照职能分工负责）</w:t>
      </w:r>
    </w:p>
    <w:p w14:paraId="4CACFBCA">
      <w:pPr>
        <w:pStyle w:val="5"/>
        <w:keepNext w:val="0"/>
        <w:keepLines w:val="0"/>
        <w:widowControl/>
        <w:suppressLineNumbers w:val="0"/>
        <w:spacing w:before="0" w:beforeAutospacing="1" w:after="0" w:afterAutospacing="0" w:line="386" w:lineRule="atLeast"/>
        <w:ind w:left="0" w:right="0"/>
        <w:jc w:val="both"/>
        <w:rPr>
          <w:spacing w:val="0"/>
        </w:rPr>
      </w:pPr>
      <w:r>
        <w:rPr>
          <w:b w:val="0"/>
          <w:bCs w:val="0"/>
          <w:i w:val="0"/>
          <w:iCs w:val="0"/>
          <w:color w:val="000000"/>
          <w:spacing w:val="0"/>
          <w:sz w:val="18"/>
          <w:szCs w:val="18"/>
          <w:lang w:eastAsia="zh-CN"/>
        </w:rPr>
        <w:t>　　</w:t>
      </w:r>
      <w:r>
        <w:rPr>
          <w:rFonts w:hint="default" w:ascii="Calibri" w:hAnsi="Calibri" w:cs="Calibri"/>
          <w:b w:val="0"/>
          <w:bCs w:val="0"/>
          <w:i w:val="0"/>
          <w:iCs w:val="0"/>
          <w:color w:val="000000"/>
          <w:spacing w:val="0"/>
          <w:sz w:val="18"/>
          <w:szCs w:val="18"/>
          <w:lang w:val="en-US"/>
        </w:rPr>
        <w:t>3.</w:t>
      </w:r>
      <w:r>
        <w:rPr>
          <w:b w:val="0"/>
          <w:bCs w:val="0"/>
          <w:i w:val="0"/>
          <w:iCs w:val="0"/>
          <w:color w:val="000000"/>
          <w:spacing w:val="0"/>
          <w:sz w:val="18"/>
          <w:szCs w:val="18"/>
          <w:lang w:eastAsia="zh-CN"/>
        </w:rPr>
        <w:t>大力发展残疾人体育事业。继续加强优秀残疾人运动员的选拔和培养力度，不断提高竞技水平。进一步落实并完善残疾人参加体育赛事奖励机制。发展残疾人冬季运动，提升残疾人冬季竞技体育水平。持续推进残疾人竞技体育和群众体育协调发展，鼓励开展丰富多样的残疾人群众性体育活动。实施残疾人康复健身体育行动，将残疾人作为重点人群纳入全民健身公共服务体系建设，组织残疾人参加各级各类全民健身活动，推动残疾人康复健身体育身边化服务。（旗教育体育局、旗残疾人联合会牵头，旗</w:t>
      </w:r>
      <w:r>
        <w:rPr>
          <w:rFonts w:hint="eastAsia"/>
          <w:b w:val="0"/>
          <w:bCs w:val="0"/>
          <w:i w:val="0"/>
          <w:iCs w:val="0"/>
          <w:color w:val="000000"/>
          <w:spacing w:val="0"/>
          <w:sz w:val="18"/>
          <w:szCs w:val="18"/>
          <w:lang w:eastAsia="zh-CN"/>
        </w:rPr>
        <w:t>卫生健康委员会</w:t>
      </w:r>
      <w:r>
        <w:rPr>
          <w:b w:val="0"/>
          <w:bCs w:val="0"/>
          <w:i w:val="0"/>
          <w:iCs w:val="0"/>
          <w:color w:val="000000"/>
          <w:spacing w:val="0"/>
          <w:sz w:val="18"/>
          <w:szCs w:val="18"/>
          <w:lang w:eastAsia="zh-CN"/>
        </w:rPr>
        <w:t>等部门按照职能分工负责）</w:t>
      </w:r>
    </w:p>
    <w:p w14:paraId="5C9D1269">
      <w:pPr>
        <w:pStyle w:val="5"/>
        <w:keepNext w:val="0"/>
        <w:keepLines w:val="0"/>
        <w:widowControl/>
        <w:suppressLineNumbers w:val="0"/>
        <w:spacing w:before="0" w:beforeAutospacing="1" w:after="0" w:afterAutospacing="0" w:line="386" w:lineRule="atLeast"/>
        <w:ind w:left="0" w:right="0"/>
        <w:jc w:val="both"/>
        <w:rPr>
          <w:spacing w:val="0"/>
        </w:rPr>
      </w:pPr>
      <w:r>
        <w:rPr>
          <w:b w:val="0"/>
          <w:bCs w:val="0"/>
          <w:i w:val="0"/>
          <w:iCs w:val="0"/>
          <w:color w:val="000000"/>
          <w:spacing w:val="0"/>
          <w:sz w:val="18"/>
          <w:szCs w:val="18"/>
          <w:lang w:eastAsia="zh-CN"/>
        </w:rPr>
        <w:t>　　专栏</w:t>
      </w:r>
      <w:r>
        <w:rPr>
          <w:rFonts w:hint="default" w:ascii="Calibri" w:hAnsi="Calibri" w:cs="Calibri"/>
          <w:b w:val="0"/>
          <w:bCs w:val="0"/>
          <w:i w:val="0"/>
          <w:iCs w:val="0"/>
          <w:color w:val="000000"/>
          <w:spacing w:val="0"/>
          <w:sz w:val="18"/>
          <w:szCs w:val="18"/>
          <w:lang w:val="en-US"/>
        </w:rPr>
        <w:t>5  </w:t>
      </w:r>
      <w:r>
        <w:rPr>
          <w:b w:val="0"/>
          <w:bCs w:val="0"/>
          <w:i w:val="0"/>
          <w:iCs w:val="0"/>
          <w:color w:val="000000"/>
          <w:spacing w:val="0"/>
          <w:sz w:val="18"/>
          <w:szCs w:val="18"/>
          <w:lang w:eastAsia="zh-CN"/>
        </w:rPr>
        <w:t>残疾人教育、文化、体育项目</w:t>
      </w:r>
    </w:p>
    <w:p w14:paraId="434913B4">
      <w:pPr>
        <w:pStyle w:val="5"/>
        <w:keepNext w:val="0"/>
        <w:keepLines w:val="0"/>
        <w:widowControl/>
        <w:suppressLineNumbers w:val="0"/>
        <w:spacing w:before="0" w:beforeAutospacing="1" w:after="0" w:afterAutospacing="0" w:line="386" w:lineRule="atLeast"/>
        <w:ind w:left="0" w:right="0"/>
        <w:jc w:val="both"/>
        <w:rPr>
          <w:b w:val="0"/>
          <w:bCs w:val="0"/>
          <w:i w:val="0"/>
          <w:iCs w:val="0"/>
          <w:spacing w:val="0"/>
        </w:rPr>
      </w:pPr>
      <w:r>
        <w:rPr>
          <w:b w:val="0"/>
          <w:bCs w:val="0"/>
          <w:i w:val="0"/>
          <w:iCs w:val="0"/>
          <w:color w:val="000000"/>
          <w:spacing w:val="0"/>
          <w:sz w:val="18"/>
          <w:szCs w:val="18"/>
          <w:lang w:eastAsia="zh-CN"/>
        </w:rPr>
        <w:t>　　</w:t>
      </w:r>
    </w:p>
    <w:tbl>
      <w:tblPr>
        <w:tblStyle w:val="3"/>
        <w:tblW w:w="1038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0" w:type="dxa"/>
          <w:left w:w="30" w:type="dxa"/>
          <w:bottom w:w="30" w:type="dxa"/>
          <w:right w:w="30" w:type="dxa"/>
        </w:tblCellMar>
      </w:tblPr>
      <w:tblGrid>
        <w:gridCol w:w="10380"/>
      </w:tblGrid>
      <w:tr w14:paraId="5DFA4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0" w:type="dxa"/>
            <w:left w:w="30" w:type="dxa"/>
            <w:bottom w:w="30" w:type="dxa"/>
            <w:right w:w="30" w:type="dxa"/>
          </w:tblCellMar>
        </w:tblPrEx>
        <w:trPr>
          <w:tblCellSpacing w:w="0" w:type="dxa"/>
          <w:jc w:val="center"/>
        </w:trPr>
        <w:tc>
          <w:tcPr>
            <w:tcW w:w="10260" w:type="dxa"/>
            <w:tcBorders>
              <w:top w:val="single" w:color="000000" w:sz="8" w:space="0"/>
              <w:left w:val="single" w:color="000000" w:sz="8" w:space="0"/>
              <w:bottom w:val="single" w:color="000000" w:sz="8" w:space="0"/>
              <w:right w:val="single" w:color="000000" w:sz="8" w:space="0"/>
            </w:tcBorders>
            <w:shd w:val="clear" w:color="auto" w:fill="auto"/>
            <w:tcMar>
              <w:top w:w="28" w:type="dxa"/>
              <w:left w:w="108" w:type="dxa"/>
              <w:bottom w:w="28" w:type="dxa"/>
              <w:right w:w="108" w:type="dxa"/>
            </w:tcMar>
            <w:vAlign w:val="top"/>
          </w:tcPr>
          <w:p w14:paraId="462E1392">
            <w:pPr>
              <w:pStyle w:val="2"/>
              <w:keepNext w:val="0"/>
              <w:keepLines w:val="0"/>
              <w:widowControl/>
              <w:suppressLineNumbers w:val="0"/>
            </w:pPr>
            <w:r>
              <w:t xml:space="preserve">    </w:t>
            </w:r>
            <w:r>
              <w:rPr>
                <w:rFonts w:hint="default" w:ascii="Times New Roman" w:hAnsi="Times New Roman" w:cs="Times New Roman"/>
                <w:sz w:val="24"/>
                <w:szCs w:val="24"/>
                <w:lang w:val="en-US"/>
              </w:rPr>
              <w:t>1.</w:t>
            </w:r>
            <w:r>
              <w:rPr>
                <w:rFonts w:hint="eastAsia" w:ascii="宋体" w:hAnsi="宋体" w:eastAsia="宋体" w:cs="宋体"/>
                <w:sz w:val="24"/>
                <w:szCs w:val="24"/>
              </w:rPr>
              <w:t>普及残疾人义务教育。</w:t>
            </w:r>
            <w:r>
              <w:rPr>
                <w:rFonts w:hint="default" w:ascii="Arial" w:hAnsi="Arial" w:cs="Arial"/>
                <w:sz w:val="24"/>
                <w:szCs w:val="24"/>
              </w:rPr>
              <w:t>加快落实医、康、教融合残疾儿童学前教育，切实提高适龄残疾儿童少年义务教育普及水平和巩固率，</w:t>
            </w:r>
            <w:r>
              <w:rPr>
                <w:rFonts w:hint="eastAsia" w:ascii="宋体" w:hAnsi="宋体" w:eastAsia="宋体" w:cs="宋体"/>
                <w:sz w:val="24"/>
                <w:szCs w:val="24"/>
              </w:rPr>
              <w:t>残疾儿童义务教育入学率达</w:t>
            </w:r>
            <w:r>
              <w:rPr>
                <w:rFonts w:hint="default" w:ascii="Times New Roman" w:hAnsi="Times New Roman" w:cs="Times New Roman"/>
                <w:sz w:val="24"/>
                <w:szCs w:val="24"/>
                <w:lang w:val="en-US"/>
              </w:rPr>
              <w:t>97%</w:t>
            </w:r>
            <w:r>
              <w:rPr>
                <w:rFonts w:hint="eastAsia" w:ascii="宋体" w:hAnsi="宋体" w:eastAsia="宋体" w:cs="宋体"/>
                <w:sz w:val="24"/>
                <w:szCs w:val="24"/>
              </w:rPr>
              <w:t>。</w:t>
            </w:r>
            <w:r>
              <w:rPr>
                <w:rFonts w:hint="default" w:ascii="Times New Roman" w:hAnsi="Times New Roman" w:cs="Times New Roman"/>
                <w:sz w:val="24"/>
                <w:szCs w:val="24"/>
                <w:lang w:val="en-US"/>
              </w:rPr>
              <w:t>2022</w:t>
            </w:r>
            <w:r>
              <w:rPr>
                <w:rFonts w:hint="eastAsia" w:ascii="宋体" w:hAnsi="宋体" w:eastAsia="宋体" w:cs="宋体"/>
                <w:sz w:val="24"/>
                <w:szCs w:val="24"/>
              </w:rPr>
              <w:t>年成立残疾人教育专家委员会。</w:t>
            </w:r>
          </w:p>
          <w:p w14:paraId="61EB3DB5">
            <w:pPr>
              <w:pStyle w:val="2"/>
              <w:keepNext w:val="0"/>
              <w:keepLines w:val="0"/>
              <w:widowControl/>
              <w:suppressLineNumbers w:val="0"/>
            </w:pPr>
            <w:r>
              <w:rPr>
                <w:rFonts w:hint="default" w:ascii="Arial" w:hAnsi="Arial" w:cs="Arial"/>
                <w:sz w:val="24"/>
                <w:szCs w:val="24"/>
              </w:rPr>
              <w:t>　　</w:t>
            </w:r>
            <w:r>
              <w:rPr>
                <w:rFonts w:hint="default" w:ascii="Times New Roman" w:hAnsi="Times New Roman" w:cs="Times New Roman"/>
                <w:sz w:val="24"/>
                <w:szCs w:val="24"/>
                <w:lang w:val="en-US"/>
              </w:rPr>
              <w:t>2.</w:t>
            </w:r>
            <w:r>
              <w:rPr>
                <w:rFonts w:hint="eastAsia" w:ascii="宋体" w:hAnsi="宋体" w:eastAsia="宋体" w:cs="宋体"/>
                <w:sz w:val="24"/>
                <w:szCs w:val="24"/>
              </w:rPr>
              <w:t>落实特殊教育。</w:t>
            </w:r>
            <w:r>
              <w:rPr>
                <w:rFonts w:hint="default" w:ascii="Arial" w:hAnsi="Arial" w:cs="Arial"/>
                <w:sz w:val="24"/>
                <w:szCs w:val="24"/>
              </w:rPr>
              <w:t>探索残疾人教育与远程教育融合发展新模式，</w:t>
            </w:r>
            <w:r>
              <w:rPr>
                <w:rFonts w:hint="eastAsia" w:ascii="宋体" w:hAnsi="宋体" w:eastAsia="宋体" w:cs="宋体"/>
                <w:sz w:val="24"/>
                <w:szCs w:val="24"/>
              </w:rPr>
              <w:t>为残疾人提供“人人皆学、处处可学、时时能学”的学历教育和非学历教育平台。加强特教师资队伍建设</w:t>
            </w:r>
            <w:r>
              <w:rPr>
                <w:rFonts w:hint="default" w:ascii="Arial" w:hAnsi="Arial" w:cs="Arial"/>
                <w:sz w:val="24"/>
                <w:szCs w:val="24"/>
              </w:rPr>
              <w:t>，提高融合教育水平，推广国家通用手语和国家通用盲文。</w:t>
            </w:r>
          </w:p>
          <w:p w14:paraId="6095344A">
            <w:pPr>
              <w:pStyle w:val="2"/>
              <w:keepNext w:val="0"/>
              <w:keepLines w:val="0"/>
              <w:widowControl/>
              <w:suppressLineNumbers w:val="0"/>
            </w:pPr>
            <w:r>
              <w:rPr>
                <w:rFonts w:hint="default" w:ascii="Arial" w:hAnsi="Arial" w:cs="Arial"/>
                <w:sz w:val="24"/>
                <w:szCs w:val="24"/>
              </w:rPr>
              <w:t>　　</w:t>
            </w:r>
            <w:r>
              <w:rPr>
                <w:rFonts w:hint="default" w:ascii="Times New Roman" w:hAnsi="Times New Roman" w:cs="Times New Roman"/>
                <w:sz w:val="24"/>
                <w:szCs w:val="24"/>
                <w:lang w:val="en-US"/>
              </w:rPr>
              <w:t>3.</w:t>
            </w:r>
            <w:r>
              <w:rPr>
                <w:rFonts w:hint="eastAsia" w:ascii="宋体" w:hAnsi="宋体" w:eastAsia="宋体" w:cs="宋体"/>
                <w:sz w:val="24"/>
                <w:szCs w:val="24"/>
              </w:rPr>
              <w:t>加强残疾人文化艺术服务。</w:t>
            </w:r>
            <w:r>
              <w:rPr>
                <w:rFonts w:hint="default" w:ascii="Arial" w:hAnsi="Arial" w:cs="Arial"/>
                <w:sz w:val="24"/>
                <w:szCs w:val="24"/>
              </w:rPr>
              <w:t>为盲人、聋人提供无障碍文化产品。广播电视台开播国家通用手语或实时字幕栏目，</w:t>
            </w:r>
            <w:r>
              <w:rPr>
                <w:rFonts w:hint="eastAsia" w:ascii="宋体" w:hAnsi="宋体" w:eastAsia="宋体" w:cs="宋体"/>
                <w:sz w:val="24"/>
                <w:szCs w:val="24"/>
              </w:rPr>
              <w:t>推动实现重点新闻节目通用手语同步播报。认真实施文化进社区、进残疾人家庭“五个一”文化项目。</w:t>
            </w:r>
          </w:p>
          <w:p w14:paraId="3C947BE9">
            <w:pPr>
              <w:pStyle w:val="2"/>
              <w:keepNext w:val="0"/>
              <w:keepLines w:val="0"/>
              <w:widowControl/>
              <w:suppressLineNumbers w:val="0"/>
            </w:pPr>
            <w:r>
              <w:rPr>
                <w:rFonts w:hint="default" w:ascii="Arial" w:hAnsi="Arial" w:cs="Arial"/>
                <w:sz w:val="24"/>
                <w:szCs w:val="24"/>
              </w:rPr>
              <w:t>　　</w:t>
            </w:r>
            <w:r>
              <w:rPr>
                <w:rFonts w:hint="default" w:ascii="Times New Roman" w:hAnsi="Times New Roman" w:cs="Times New Roman"/>
                <w:sz w:val="24"/>
                <w:szCs w:val="24"/>
                <w:lang w:val="en-US"/>
              </w:rPr>
              <w:t>4.</w:t>
            </w:r>
            <w:r>
              <w:rPr>
                <w:rFonts w:hint="eastAsia" w:ascii="宋体" w:hAnsi="宋体" w:eastAsia="宋体" w:cs="宋体"/>
                <w:sz w:val="24"/>
                <w:szCs w:val="24"/>
              </w:rPr>
              <w:t>大力发展残疾人体育。</w:t>
            </w:r>
            <w:r>
              <w:rPr>
                <w:rFonts w:hint="default" w:ascii="Arial" w:hAnsi="Arial" w:cs="Arial"/>
                <w:sz w:val="24"/>
                <w:szCs w:val="24"/>
              </w:rPr>
              <w:t>加强优秀残疾人运动员的选拔和培养力度。鼓励开展丰富多样的残疾人群众性体育活动。实施残疾人康复健身体育行动。</w:t>
            </w:r>
          </w:p>
        </w:tc>
      </w:tr>
    </w:tbl>
    <w:p w14:paraId="1AB62B72">
      <w:pPr>
        <w:pStyle w:val="5"/>
        <w:keepNext w:val="0"/>
        <w:keepLines w:val="0"/>
        <w:widowControl/>
        <w:suppressLineNumbers w:val="0"/>
        <w:spacing w:before="0" w:beforeAutospacing="1" w:after="0" w:afterAutospacing="0" w:line="386" w:lineRule="atLeast"/>
        <w:ind w:left="0" w:right="0"/>
        <w:jc w:val="both"/>
        <w:rPr>
          <w:b w:val="0"/>
          <w:bCs w:val="0"/>
          <w:i w:val="0"/>
          <w:iCs w:val="0"/>
          <w:spacing w:val="0"/>
        </w:rPr>
      </w:pPr>
      <w:r>
        <w:rPr>
          <w:b w:val="0"/>
          <w:bCs w:val="0"/>
          <w:i w:val="0"/>
          <w:iCs w:val="0"/>
          <w:color w:val="000000"/>
          <w:spacing w:val="0"/>
          <w:sz w:val="18"/>
          <w:szCs w:val="18"/>
          <w:lang w:eastAsia="zh-CN"/>
        </w:rPr>
        <w:t>　　（五）加强法治化和无障碍建设，保障残疾人平等共享发展的权利</w:t>
      </w:r>
    </w:p>
    <w:p w14:paraId="052A110B">
      <w:pPr>
        <w:pStyle w:val="5"/>
        <w:keepNext w:val="0"/>
        <w:keepLines w:val="0"/>
        <w:widowControl/>
        <w:suppressLineNumbers w:val="0"/>
        <w:spacing w:before="0" w:beforeAutospacing="1" w:after="0" w:afterAutospacing="0" w:line="386" w:lineRule="atLeast"/>
        <w:ind w:left="0" w:right="0"/>
        <w:jc w:val="both"/>
        <w:rPr>
          <w:spacing w:val="0"/>
        </w:rPr>
      </w:pPr>
      <w:r>
        <w:rPr>
          <w:b w:val="0"/>
          <w:bCs w:val="0"/>
          <w:i w:val="0"/>
          <w:iCs w:val="0"/>
          <w:color w:val="000000"/>
          <w:spacing w:val="0"/>
          <w:sz w:val="18"/>
          <w:szCs w:val="18"/>
          <w:lang w:eastAsia="zh-CN"/>
        </w:rPr>
        <w:t>　　</w:t>
      </w:r>
      <w:r>
        <w:rPr>
          <w:rFonts w:hint="default" w:ascii="Calibri" w:hAnsi="Calibri" w:cs="Calibri"/>
          <w:b w:val="0"/>
          <w:bCs w:val="0"/>
          <w:i w:val="0"/>
          <w:iCs w:val="0"/>
          <w:color w:val="000000"/>
          <w:spacing w:val="0"/>
          <w:sz w:val="18"/>
          <w:szCs w:val="18"/>
          <w:lang w:val="en-US"/>
        </w:rPr>
        <w:t>1.</w:t>
      </w:r>
      <w:r>
        <w:rPr>
          <w:b w:val="0"/>
          <w:bCs w:val="0"/>
          <w:i w:val="0"/>
          <w:iCs w:val="0"/>
          <w:color w:val="000000"/>
          <w:spacing w:val="0"/>
          <w:sz w:val="18"/>
          <w:szCs w:val="18"/>
          <w:lang w:eastAsia="zh-CN"/>
        </w:rPr>
        <w:t>全面推进残疾人事业法治化建设。认真落实《中华人民共和国宪法》《中华人民共和国民法典》等法律法规关于保障残疾人权益的规定，推动《中华人民共和国残疾人保障法》等法律法规深入实施，将残疾人权益法律法规宣传教育纳入全旗“八五”普法重点任务，认真落实“谁执法谁普法”普法责任制，深入开展残疾人学法用法专项行动，引导残疾人树立办事依法、遇事找法、解决问题用法、化解矛盾靠法的法治意识。对涉及保障残疾人权益的政策法规应开展反残疾人歧视评估，广泛征询残疾人群众和残联组织意见。进一步拓宽残疾人和残疾人组织民主参与、民主协商渠道，做好残疾人及其亲属和残疾人工作者的人大代表、政协委员人选推荐工作，充分发挥残疾人组织和残疾人代表在社会生活中的民主参与作用，有效保障残疾人的知情权、参与权、表达权、监督权。积极搭建平台，完善工作机制，通过人大建议、政协提案等形式反映残疾人的愿望和诉求，让广大残疾人、残疾人亲友和残疾人工作者积极建言献策，为经济建设和社会发展贡献自己的力量。主动配合人大、政协部门开展《中华人民共和国残疾人保障法》等法律法规执法检查、视察和调研，促进残疾人权益保障法律法规的有效实施。（旗司法局、旗残疾人联合会牵头，旗人力资源和社会保障局按照职能分工负责）</w:t>
      </w:r>
    </w:p>
    <w:p w14:paraId="47FA87B8">
      <w:pPr>
        <w:pStyle w:val="5"/>
        <w:keepNext w:val="0"/>
        <w:keepLines w:val="0"/>
        <w:widowControl/>
        <w:suppressLineNumbers w:val="0"/>
        <w:spacing w:before="0" w:beforeAutospacing="1" w:after="0" w:afterAutospacing="0" w:line="386" w:lineRule="atLeast"/>
        <w:ind w:left="0" w:right="0"/>
        <w:jc w:val="both"/>
        <w:rPr>
          <w:spacing w:val="0"/>
        </w:rPr>
      </w:pPr>
      <w:r>
        <w:rPr>
          <w:b w:val="0"/>
          <w:bCs w:val="0"/>
          <w:i w:val="0"/>
          <w:iCs w:val="0"/>
          <w:color w:val="000000"/>
          <w:spacing w:val="0"/>
          <w:sz w:val="18"/>
          <w:szCs w:val="18"/>
          <w:lang w:eastAsia="zh-CN"/>
        </w:rPr>
        <w:t>　　</w:t>
      </w:r>
      <w:r>
        <w:rPr>
          <w:rFonts w:hint="default" w:ascii="Calibri" w:hAnsi="Calibri" w:cs="Calibri"/>
          <w:b w:val="0"/>
          <w:bCs w:val="0"/>
          <w:i w:val="0"/>
          <w:iCs w:val="0"/>
          <w:color w:val="000000"/>
          <w:spacing w:val="0"/>
          <w:sz w:val="18"/>
          <w:szCs w:val="18"/>
          <w:lang w:val="en-US"/>
        </w:rPr>
        <w:t>2.</w:t>
      </w:r>
      <w:r>
        <w:rPr>
          <w:b w:val="0"/>
          <w:bCs w:val="0"/>
          <w:i w:val="0"/>
          <w:iCs w:val="0"/>
          <w:color w:val="000000"/>
          <w:spacing w:val="0"/>
          <w:sz w:val="18"/>
          <w:szCs w:val="18"/>
          <w:lang w:eastAsia="zh-CN"/>
        </w:rPr>
        <w:t>全面构建残疾人权益保障常态化工作体制。建立残疾人法律救助工作协调机制，完善公共法律服务平台无障碍功能，进一步加强残疾人法律救助工作站规范化建设，依法依规为残疾人提供法律救助服务。对符合条件的残疾人当事人实行诉讼费减缓免政策。坚决打击侵犯残疾人合法权益的违法犯罪行为。建立健全残疾人权益保障应急处理机制，落实“接诉即办”制度。建立领导干部定期接访制度，充分发挥网络信访平台作用，及时处置化解涉及残疾人的信访事项。（旗司法局、旗公安局牵头，旗委网络安全和信息化委员会办公室、旗信访局、旗残疾人联合会、旗政务服务局、旗人民法院按照职能分工负责）</w:t>
      </w:r>
    </w:p>
    <w:p w14:paraId="4DA5185E">
      <w:pPr>
        <w:pStyle w:val="5"/>
        <w:keepNext w:val="0"/>
        <w:keepLines w:val="0"/>
        <w:widowControl/>
        <w:suppressLineNumbers w:val="0"/>
        <w:spacing w:before="0" w:beforeAutospacing="1" w:after="0" w:afterAutospacing="0" w:line="386" w:lineRule="atLeast"/>
        <w:ind w:left="0" w:right="0"/>
        <w:jc w:val="both"/>
        <w:rPr>
          <w:spacing w:val="0"/>
        </w:rPr>
      </w:pPr>
      <w:r>
        <w:rPr>
          <w:b w:val="0"/>
          <w:bCs w:val="0"/>
          <w:i w:val="0"/>
          <w:iCs w:val="0"/>
          <w:color w:val="000000"/>
          <w:spacing w:val="0"/>
          <w:sz w:val="18"/>
          <w:szCs w:val="18"/>
          <w:lang w:eastAsia="zh-CN"/>
        </w:rPr>
        <w:t>　　</w:t>
      </w:r>
      <w:r>
        <w:rPr>
          <w:rFonts w:hint="default" w:ascii="Calibri" w:hAnsi="Calibri" w:cs="Calibri"/>
          <w:b w:val="0"/>
          <w:bCs w:val="0"/>
          <w:i w:val="0"/>
          <w:iCs w:val="0"/>
          <w:color w:val="000000"/>
          <w:spacing w:val="0"/>
          <w:sz w:val="18"/>
          <w:szCs w:val="18"/>
          <w:lang w:val="en-US"/>
        </w:rPr>
        <w:t>3.</w:t>
      </w:r>
      <w:r>
        <w:rPr>
          <w:b w:val="0"/>
          <w:bCs w:val="0"/>
          <w:i w:val="0"/>
          <w:iCs w:val="0"/>
          <w:color w:val="000000"/>
          <w:spacing w:val="0"/>
          <w:sz w:val="18"/>
          <w:szCs w:val="18"/>
          <w:lang w:eastAsia="zh-CN"/>
        </w:rPr>
        <w:t>深入推进无障碍环境建设。认真贯彻落实《无障碍环境建设条例》（中华人民共和国国务院令第</w:t>
      </w:r>
      <w:r>
        <w:rPr>
          <w:rFonts w:hint="default" w:ascii="Calibri" w:hAnsi="Calibri" w:cs="Calibri"/>
          <w:b w:val="0"/>
          <w:bCs w:val="0"/>
          <w:i w:val="0"/>
          <w:iCs w:val="0"/>
          <w:color w:val="000000"/>
          <w:spacing w:val="0"/>
          <w:sz w:val="18"/>
          <w:szCs w:val="18"/>
          <w:lang w:val="en-US"/>
        </w:rPr>
        <w:t>622</w:t>
      </w:r>
      <w:r>
        <w:rPr>
          <w:b w:val="0"/>
          <w:bCs w:val="0"/>
          <w:i w:val="0"/>
          <w:iCs w:val="0"/>
          <w:color w:val="000000"/>
          <w:spacing w:val="0"/>
          <w:sz w:val="18"/>
          <w:szCs w:val="18"/>
          <w:lang w:eastAsia="zh-CN"/>
        </w:rPr>
        <w:t>号）和《内蒙古自治区无障碍环境建设办法》（内蒙古自治区人民政府令第</w:t>
      </w:r>
      <w:r>
        <w:rPr>
          <w:rFonts w:hint="default" w:ascii="Calibri" w:hAnsi="Calibri" w:cs="Calibri"/>
          <w:b w:val="0"/>
          <w:bCs w:val="0"/>
          <w:i w:val="0"/>
          <w:iCs w:val="0"/>
          <w:color w:val="000000"/>
          <w:spacing w:val="0"/>
          <w:sz w:val="18"/>
          <w:szCs w:val="18"/>
          <w:lang w:val="en-US"/>
        </w:rPr>
        <w:t>232</w:t>
      </w:r>
      <w:r>
        <w:rPr>
          <w:b w:val="0"/>
          <w:bCs w:val="0"/>
          <w:i w:val="0"/>
          <w:iCs w:val="0"/>
          <w:color w:val="000000"/>
          <w:spacing w:val="0"/>
          <w:sz w:val="18"/>
          <w:szCs w:val="18"/>
          <w:lang w:eastAsia="zh-CN"/>
        </w:rPr>
        <w:t>号），制定无障碍环境建设提升计划，提高无障碍环境建设规范化、系统化水平。将城乡无障碍环境建设与文明城市创建同步推进，纳入文明村镇和文明单位创建测评指标体系。建立健全无障碍环境建设协调机制。按照《无障碍设计规范》（</w:t>
      </w:r>
      <w:r>
        <w:rPr>
          <w:rFonts w:hint="default" w:ascii="Calibri" w:hAnsi="Calibri" w:cs="Calibri"/>
          <w:b w:val="0"/>
          <w:bCs w:val="0"/>
          <w:i w:val="0"/>
          <w:iCs w:val="0"/>
          <w:color w:val="000000"/>
          <w:spacing w:val="0"/>
          <w:sz w:val="18"/>
          <w:szCs w:val="18"/>
          <w:lang w:val="en-US"/>
        </w:rPr>
        <w:t>GB50763</w:t>
      </w:r>
      <w:r>
        <w:rPr>
          <w:b w:val="0"/>
          <w:bCs w:val="0"/>
          <w:i w:val="0"/>
          <w:iCs w:val="0"/>
          <w:color w:val="000000"/>
          <w:spacing w:val="0"/>
          <w:sz w:val="18"/>
          <w:szCs w:val="18"/>
          <w:lang w:eastAsia="zh-CN"/>
        </w:rPr>
        <w:t>—</w:t>
      </w:r>
      <w:r>
        <w:rPr>
          <w:rFonts w:hint="default" w:ascii="Calibri" w:hAnsi="Calibri" w:cs="Calibri"/>
          <w:b w:val="0"/>
          <w:bCs w:val="0"/>
          <w:i w:val="0"/>
          <w:iCs w:val="0"/>
          <w:color w:val="000000"/>
          <w:spacing w:val="0"/>
          <w:sz w:val="18"/>
          <w:szCs w:val="18"/>
          <w:lang w:val="en-US"/>
        </w:rPr>
        <w:t>2012</w:t>
      </w:r>
      <w:r>
        <w:rPr>
          <w:b w:val="0"/>
          <w:bCs w:val="0"/>
          <w:i w:val="0"/>
          <w:iCs w:val="0"/>
          <w:color w:val="000000"/>
          <w:spacing w:val="0"/>
          <w:sz w:val="18"/>
          <w:szCs w:val="18"/>
          <w:lang w:eastAsia="zh-CN"/>
        </w:rPr>
        <w:t>），严格监管新建、改建公共场所设施无障碍建设的规划、设计、施工和验收工作。推动自助公共服务设施无障碍建设和改造。在城镇老旧小区改造、乡村振兴、农村人居环境整治、养老服务等工作中统筹考虑无障碍环境设计与建设。确保新（改、扩）建道路、建筑物和居住区配套建设无障碍设施，加快推进政府机关、公共服务场所、残疾人集中活动场所和社区、公共厕所等无障碍建设和改造。公共交通工具逐步配备无障碍设备，公共停车区按规定设立无障碍停车位，改进方便残疾人交通出行的服务举措。加强无障碍设施日常维护管理和监督使用。建立健全无障碍体验促进队，引导社会力量开展无障碍环境体验和促进活动，对应建未建重点无障碍建设项目实施公益诉讼，提升公众建设并维护无障碍设施的意识，开展相应的执法检查。做好无障碍达标工作。为困难重度残疾人、失能、半失能老人提供家庭无障碍或适老化改造。（旗住房和城乡建设局牵头，旗发展和改革委员会、旗民政局、旗新时代文明实践服务中心、旗自然资源局、旗交通运输局、旗农牧局、旗乡村振兴局、旗人民检察院、旗公安局、旗城市管理综合行政执法局、旗残疾人联合会按照职能分工负责）</w:t>
      </w:r>
    </w:p>
    <w:p w14:paraId="73F7A707">
      <w:pPr>
        <w:pStyle w:val="5"/>
        <w:keepNext w:val="0"/>
        <w:keepLines w:val="0"/>
        <w:widowControl/>
        <w:suppressLineNumbers w:val="0"/>
        <w:spacing w:before="0" w:beforeAutospacing="1" w:after="0" w:afterAutospacing="0" w:line="386" w:lineRule="atLeast"/>
        <w:ind w:left="0" w:right="0"/>
        <w:jc w:val="both"/>
        <w:rPr>
          <w:spacing w:val="0"/>
        </w:rPr>
      </w:pPr>
      <w:r>
        <w:rPr>
          <w:b w:val="0"/>
          <w:bCs w:val="0"/>
          <w:i w:val="0"/>
          <w:iCs w:val="0"/>
          <w:color w:val="000000"/>
          <w:spacing w:val="0"/>
          <w:sz w:val="18"/>
          <w:szCs w:val="18"/>
          <w:lang w:eastAsia="zh-CN"/>
        </w:rPr>
        <w:t>　　</w:t>
      </w:r>
      <w:r>
        <w:rPr>
          <w:rFonts w:hint="default" w:ascii="Calibri" w:hAnsi="Calibri" w:cs="Calibri"/>
          <w:b w:val="0"/>
          <w:bCs w:val="0"/>
          <w:i w:val="0"/>
          <w:iCs w:val="0"/>
          <w:color w:val="000000"/>
          <w:spacing w:val="0"/>
          <w:sz w:val="18"/>
          <w:szCs w:val="18"/>
          <w:lang w:val="en-US"/>
        </w:rPr>
        <w:t>4.</w:t>
      </w:r>
      <w:r>
        <w:rPr>
          <w:b w:val="0"/>
          <w:bCs w:val="0"/>
          <w:i w:val="0"/>
          <w:iCs w:val="0"/>
          <w:color w:val="000000"/>
          <w:spacing w:val="0"/>
          <w:sz w:val="18"/>
          <w:szCs w:val="18"/>
          <w:lang w:eastAsia="zh-CN"/>
        </w:rPr>
        <w:t>提升信息无障碍建设水平。将信息无障碍作为智慧城市建设的重要组成部分，大力推进政府门户网站、政务服务平台及网上办事大厅达到无障碍网站设计标准。鼓励政务服务大厅和公共服务场所为残疾人提供字幕、手语、语音等服务，支持建设听力、言语残疾人无障碍信息服务平台。鼓励电信运营商提供电子版大字账单、语音账单等服务。城市主要道路、主要商业区和大型居住区的人行通道交通信号灯设置过街音响提示装置。鼓励公共汽车安装语音播报装置。推进传统无障碍环境设施设备数字化和智能化升级。（旗委网络安全和信息化委员会办公室、旗政务服务局牵头，旗工信和科技局、旗住房和城乡建设局、旗交通运输局、旗残疾人联合会、旗大数据中心按照职能分工负责）</w:t>
      </w:r>
    </w:p>
    <w:p w14:paraId="33112E72">
      <w:pPr>
        <w:pStyle w:val="5"/>
        <w:keepNext w:val="0"/>
        <w:keepLines w:val="0"/>
        <w:widowControl/>
        <w:suppressLineNumbers w:val="0"/>
        <w:spacing w:before="0" w:beforeAutospacing="1" w:after="0" w:afterAutospacing="0" w:line="386" w:lineRule="atLeast"/>
        <w:ind w:left="0" w:right="0"/>
        <w:jc w:val="both"/>
        <w:rPr>
          <w:spacing w:val="0"/>
        </w:rPr>
      </w:pPr>
      <w:r>
        <w:rPr>
          <w:b w:val="0"/>
          <w:bCs w:val="0"/>
          <w:i w:val="0"/>
          <w:iCs w:val="0"/>
          <w:color w:val="000000"/>
          <w:spacing w:val="0"/>
          <w:sz w:val="18"/>
          <w:szCs w:val="18"/>
          <w:lang w:eastAsia="zh-CN"/>
        </w:rPr>
        <w:t>　　专栏</w:t>
      </w:r>
      <w:r>
        <w:rPr>
          <w:rFonts w:hint="default" w:ascii="Calibri" w:hAnsi="Calibri" w:cs="Calibri"/>
          <w:b w:val="0"/>
          <w:bCs w:val="0"/>
          <w:i w:val="0"/>
          <w:iCs w:val="0"/>
          <w:color w:val="000000"/>
          <w:spacing w:val="0"/>
          <w:sz w:val="18"/>
          <w:szCs w:val="18"/>
          <w:lang w:val="en-US"/>
        </w:rPr>
        <w:t>6  </w:t>
      </w:r>
      <w:r>
        <w:rPr>
          <w:b w:val="0"/>
          <w:bCs w:val="0"/>
          <w:i w:val="0"/>
          <w:iCs w:val="0"/>
          <w:color w:val="000000"/>
          <w:spacing w:val="0"/>
          <w:sz w:val="18"/>
          <w:szCs w:val="18"/>
          <w:lang w:eastAsia="zh-CN"/>
        </w:rPr>
        <w:t>残疾人无障碍建设项目</w:t>
      </w:r>
    </w:p>
    <w:p w14:paraId="7B936C02">
      <w:pPr>
        <w:pStyle w:val="5"/>
        <w:keepNext w:val="0"/>
        <w:keepLines w:val="0"/>
        <w:widowControl/>
        <w:suppressLineNumbers w:val="0"/>
        <w:spacing w:before="0" w:beforeAutospacing="1" w:after="0" w:afterAutospacing="0" w:line="386" w:lineRule="atLeast"/>
        <w:ind w:left="0" w:right="0"/>
        <w:jc w:val="both"/>
        <w:rPr>
          <w:b w:val="0"/>
          <w:bCs w:val="0"/>
          <w:i w:val="0"/>
          <w:iCs w:val="0"/>
          <w:spacing w:val="0"/>
        </w:rPr>
      </w:pPr>
      <w:r>
        <w:rPr>
          <w:b w:val="0"/>
          <w:bCs w:val="0"/>
          <w:i w:val="0"/>
          <w:iCs w:val="0"/>
          <w:color w:val="000000"/>
          <w:spacing w:val="0"/>
          <w:sz w:val="18"/>
          <w:szCs w:val="18"/>
          <w:lang w:eastAsia="zh-CN"/>
        </w:rPr>
        <w:t>　　</w:t>
      </w:r>
    </w:p>
    <w:tbl>
      <w:tblPr>
        <w:tblStyle w:val="3"/>
        <w:tblW w:w="1038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0" w:type="dxa"/>
          <w:left w:w="30" w:type="dxa"/>
          <w:bottom w:w="30" w:type="dxa"/>
          <w:right w:w="30" w:type="dxa"/>
        </w:tblCellMar>
      </w:tblPr>
      <w:tblGrid>
        <w:gridCol w:w="10380"/>
      </w:tblGrid>
      <w:tr w14:paraId="0C3E5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0" w:type="dxa"/>
            <w:left w:w="30" w:type="dxa"/>
            <w:bottom w:w="30" w:type="dxa"/>
            <w:right w:w="30" w:type="dxa"/>
          </w:tblCellMar>
        </w:tblPrEx>
        <w:trPr>
          <w:tblCellSpacing w:w="0" w:type="dxa"/>
          <w:jc w:val="center"/>
        </w:trPr>
        <w:tc>
          <w:tcPr>
            <w:tcW w:w="10260" w:type="dxa"/>
            <w:tcBorders>
              <w:top w:val="single" w:color="000000" w:sz="8" w:space="0"/>
              <w:left w:val="single" w:color="000000" w:sz="8" w:space="0"/>
              <w:bottom w:val="single" w:color="000000" w:sz="8" w:space="0"/>
              <w:right w:val="single" w:color="000000" w:sz="8" w:space="0"/>
            </w:tcBorders>
            <w:shd w:val="clear" w:color="auto" w:fill="auto"/>
            <w:tcMar>
              <w:top w:w="28" w:type="dxa"/>
              <w:left w:w="108" w:type="dxa"/>
              <w:bottom w:w="28" w:type="dxa"/>
              <w:right w:w="108" w:type="dxa"/>
            </w:tcMar>
            <w:vAlign w:val="top"/>
          </w:tcPr>
          <w:p w14:paraId="151A9E52">
            <w:pPr>
              <w:pStyle w:val="2"/>
              <w:keepNext w:val="0"/>
              <w:keepLines w:val="0"/>
              <w:widowControl/>
              <w:suppressLineNumbers w:val="0"/>
            </w:pPr>
            <w:r>
              <w:t>     </w:t>
            </w:r>
            <w:r>
              <w:rPr>
                <w:rFonts w:hint="default" w:ascii="Times New Roman" w:hAnsi="Times New Roman" w:cs="Times New Roman"/>
                <w:sz w:val="24"/>
                <w:szCs w:val="24"/>
                <w:lang w:val="en-US"/>
              </w:rPr>
              <w:t>1.</w:t>
            </w:r>
            <w:r>
              <w:rPr>
                <w:rFonts w:hint="eastAsia" w:ascii="宋体" w:hAnsi="宋体" w:eastAsia="宋体" w:cs="宋体"/>
                <w:sz w:val="24"/>
                <w:szCs w:val="24"/>
              </w:rPr>
              <w:t>无障碍环境建设。</w:t>
            </w:r>
            <w:r>
              <w:rPr>
                <w:rFonts w:hint="default" w:ascii="Arial" w:hAnsi="Arial" w:cs="Arial"/>
                <w:sz w:val="24"/>
                <w:szCs w:val="24"/>
              </w:rPr>
              <w:t>确保新（改、扩）建道路、建筑物和居住区配套建设无障碍设施，加快推进政府机关、公共服务场所、残疾人集中活动场所和社区、公共厕所等无障碍建设和改造。公共交通工具安装字幕、语音报站装置，公共停车区按规定设立无障碍停车位，改进方便残疾人交通出行的服务举措。</w:t>
            </w:r>
          </w:p>
          <w:p w14:paraId="1845E3B9">
            <w:pPr>
              <w:pStyle w:val="2"/>
              <w:keepNext w:val="0"/>
              <w:keepLines w:val="0"/>
              <w:widowControl/>
              <w:suppressLineNumbers w:val="0"/>
            </w:pPr>
            <w:r>
              <w:rPr>
                <w:rFonts w:hint="default" w:ascii="Arial" w:hAnsi="Arial" w:cs="Arial"/>
                <w:sz w:val="24"/>
                <w:szCs w:val="24"/>
              </w:rPr>
              <w:t>　 </w:t>
            </w:r>
            <w:r>
              <w:rPr>
                <w:rFonts w:hint="default" w:ascii="Times New Roman" w:hAnsi="Times New Roman" w:cs="Times New Roman"/>
                <w:sz w:val="24"/>
                <w:szCs w:val="24"/>
                <w:lang w:val="en-US"/>
              </w:rPr>
              <w:t>2.</w:t>
            </w:r>
            <w:r>
              <w:rPr>
                <w:rFonts w:hint="eastAsia" w:ascii="宋体" w:hAnsi="宋体" w:eastAsia="宋体" w:cs="宋体"/>
                <w:sz w:val="24"/>
                <w:szCs w:val="24"/>
              </w:rPr>
              <w:t>残疾人无障碍家庭改造。</w:t>
            </w:r>
            <w:r>
              <w:rPr>
                <w:rFonts w:hint="default" w:ascii="Arial" w:hAnsi="Arial" w:cs="Arial"/>
                <w:sz w:val="24"/>
                <w:szCs w:val="24"/>
              </w:rPr>
              <w:t>为困难重度残疾人、失能、半失能老人提供家庭无障碍或适老化改造，完成家庭无障碍改造不少于</w:t>
            </w:r>
            <w:r>
              <w:rPr>
                <w:rFonts w:hint="default" w:ascii="Times New Roman" w:hAnsi="Times New Roman" w:cs="Times New Roman"/>
                <w:sz w:val="24"/>
                <w:szCs w:val="24"/>
                <w:lang w:val="en-US"/>
              </w:rPr>
              <w:t>100</w:t>
            </w:r>
            <w:r>
              <w:rPr>
                <w:rFonts w:hint="default" w:ascii="Arial" w:hAnsi="Arial" w:cs="Arial"/>
                <w:sz w:val="24"/>
                <w:szCs w:val="24"/>
              </w:rPr>
              <w:t>户。建立健全无障碍体验促进队，引导社会力量开展无障碍环境体验和促进活动。</w:t>
            </w:r>
          </w:p>
          <w:p w14:paraId="622B7846">
            <w:pPr>
              <w:pStyle w:val="2"/>
              <w:keepNext w:val="0"/>
              <w:keepLines w:val="0"/>
              <w:widowControl/>
              <w:suppressLineNumbers w:val="0"/>
            </w:pPr>
            <w:r>
              <w:rPr>
                <w:rFonts w:hint="default" w:ascii="Arial" w:hAnsi="Arial" w:cs="Arial"/>
                <w:sz w:val="24"/>
                <w:szCs w:val="24"/>
              </w:rPr>
              <w:t>　　</w:t>
            </w:r>
            <w:r>
              <w:rPr>
                <w:rFonts w:hint="default" w:ascii="Times New Roman" w:hAnsi="Times New Roman" w:cs="Times New Roman"/>
                <w:sz w:val="24"/>
                <w:szCs w:val="24"/>
                <w:lang w:val="en-US"/>
              </w:rPr>
              <w:t>3.</w:t>
            </w:r>
            <w:r>
              <w:rPr>
                <w:rFonts w:hint="eastAsia" w:ascii="宋体" w:hAnsi="宋体" w:eastAsia="宋体" w:cs="宋体"/>
                <w:sz w:val="24"/>
                <w:szCs w:val="24"/>
              </w:rPr>
              <w:t>信息无障碍建设。</w:t>
            </w:r>
            <w:r>
              <w:rPr>
                <w:rFonts w:hint="default" w:ascii="Arial" w:hAnsi="Arial" w:cs="Arial"/>
                <w:sz w:val="24"/>
                <w:szCs w:val="24"/>
              </w:rPr>
              <w:t>大力推进政府门户网站、政务服务平台及网上办事大厅达到无障碍网站设计标准，鼓励企事业单位网站添加无障碍浏览工具。</w:t>
            </w:r>
          </w:p>
          <w:p w14:paraId="555E0153">
            <w:pPr>
              <w:pStyle w:val="2"/>
              <w:keepNext w:val="0"/>
              <w:keepLines w:val="0"/>
              <w:widowControl/>
              <w:suppressLineNumbers w:val="0"/>
            </w:pPr>
            <w:r>
              <w:rPr>
                <w:rFonts w:hint="default" w:ascii="Arial" w:hAnsi="Arial" w:cs="Arial"/>
                <w:sz w:val="24"/>
                <w:szCs w:val="24"/>
              </w:rPr>
              <w:t>　　</w:t>
            </w:r>
            <w:r>
              <w:rPr>
                <w:rFonts w:hint="default" w:ascii="Times New Roman" w:hAnsi="Times New Roman" w:cs="Times New Roman"/>
                <w:sz w:val="24"/>
                <w:szCs w:val="24"/>
                <w:lang w:val="en-US"/>
              </w:rPr>
              <w:t>4.</w:t>
            </w:r>
            <w:r>
              <w:rPr>
                <w:rFonts w:hint="eastAsia" w:ascii="宋体" w:hAnsi="宋体" w:eastAsia="宋体" w:cs="宋体"/>
                <w:sz w:val="24"/>
                <w:szCs w:val="24"/>
              </w:rPr>
              <w:t>公共交通无障碍。</w:t>
            </w:r>
            <w:r>
              <w:rPr>
                <w:rFonts w:hint="default" w:ascii="Arial" w:hAnsi="Arial" w:cs="Arial"/>
                <w:sz w:val="24"/>
                <w:szCs w:val="24"/>
              </w:rPr>
              <w:t>城市主要道路、主要商业区和大型居住区的人行通道交通信号灯设置过街音响提示装置。鼓励公共汽车安装语音播报装置。</w:t>
            </w:r>
          </w:p>
        </w:tc>
      </w:tr>
    </w:tbl>
    <w:p w14:paraId="0EEB0F82">
      <w:pPr>
        <w:pStyle w:val="5"/>
        <w:keepNext w:val="0"/>
        <w:keepLines w:val="0"/>
        <w:widowControl/>
        <w:suppressLineNumbers w:val="0"/>
        <w:spacing w:before="0" w:beforeAutospacing="1" w:after="0" w:afterAutospacing="0" w:line="386" w:lineRule="atLeast"/>
        <w:ind w:left="0" w:right="0"/>
        <w:jc w:val="both"/>
        <w:rPr>
          <w:b w:val="0"/>
          <w:bCs w:val="0"/>
          <w:i w:val="0"/>
          <w:iCs w:val="0"/>
          <w:spacing w:val="0"/>
        </w:rPr>
      </w:pPr>
      <w:r>
        <w:rPr>
          <w:b w:val="0"/>
          <w:bCs w:val="0"/>
          <w:i w:val="0"/>
          <w:iCs w:val="0"/>
          <w:color w:val="000000"/>
          <w:spacing w:val="0"/>
          <w:sz w:val="18"/>
          <w:szCs w:val="18"/>
          <w:lang w:eastAsia="zh-CN"/>
        </w:rPr>
        <w:t>　　（六）夯实基层组织建设基础，强化残疾人事业高质量发展组织保障</w:t>
      </w:r>
    </w:p>
    <w:p w14:paraId="119448D7">
      <w:pPr>
        <w:pStyle w:val="5"/>
        <w:keepNext w:val="0"/>
        <w:keepLines w:val="0"/>
        <w:widowControl/>
        <w:suppressLineNumbers w:val="0"/>
        <w:spacing w:before="0" w:beforeAutospacing="1" w:after="0" w:afterAutospacing="0" w:line="386" w:lineRule="atLeast"/>
        <w:ind w:left="0" w:right="0"/>
        <w:jc w:val="both"/>
        <w:rPr>
          <w:spacing w:val="0"/>
        </w:rPr>
      </w:pPr>
      <w:r>
        <w:rPr>
          <w:b w:val="0"/>
          <w:bCs w:val="0"/>
          <w:i w:val="0"/>
          <w:iCs w:val="0"/>
          <w:color w:val="000000"/>
          <w:spacing w:val="0"/>
          <w:sz w:val="18"/>
          <w:szCs w:val="18"/>
          <w:lang w:eastAsia="zh-CN"/>
        </w:rPr>
        <w:t>　　</w:t>
      </w:r>
      <w:r>
        <w:rPr>
          <w:rFonts w:hint="default" w:ascii="Calibri" w:hAnsi="Calibri" w:cs="Calibri"/>
          <w:b w:val="0"/>
          <w:bCs w:val="0"/>
          <w:i w:val="0"/>
          <w:iCs w:val="0"/>
          <w:color w:val="000000"/>
          <w:spacing w:val="0"/>
          <w:sz w:val="18"/>
          <w:szCs w:val="18"/>
          <w:lang w:val="en-US"/>
        </w:rPr>
        <w:t>1.</w:t>
      </w:r>
      <w:r>
        <w:rPr>
          <w:b w:val="0"/>
          <w:bCs w:val="0"/>
          <w:i w:val="0"/>
          <w:iCs w:val="0"/>
          <w:color w:val="000000"/>
          <w:spacing w:val="0"/>
          <w:sz w:val="18"/>
          <w:szCs w:val="18"/>
          <w:lang w:eastAsia="zh-CN"/>
        </w:rPr>
        <w:t>加强残联组织建设。各级残联组织要进一步</w:t>
      </w:r>
      <w:r>
        <w:rPr>
          <w:rFonts w:hint="eastAsia"/>
          <w:b w:val="0"/>
          <w:bCs w:val="0"/>
          <w:i w:val="0"/>
          <w:iCs w:val="0"/>
          <w:color w:val="000000"/>
          <w:spacing w:val="0"/>
          <w:sz w:val="18"/>
          <w:szCs w:val="18"/>
          <w:lang w:eastAsia="zh-CN"/>
        </w:rPr>
        <w:t>增强“四个意识”、坚定“四个自信”、做到“两个维护”</w:t>
      </w:r>
      <w:r>
        <w:rPr>
          <w:b w:val="0"/>
          <w:bCs w:val="0"/>
          <w:i w:val="0"/>
          <w:iCs w:val="0"/>
          <w:color w:val="000000"/>
          <w:spacing w:val="0"/>
          <w:sz w:val="18"/>
          <w:szCs w:val="18"/>
          <w:lang w:eastAsia="zh-CN"/>
        </w:rPr>
        <w:t>；进一步增强政治性、先进性、群众性，发挥好残联组织联系服务广大残疾人的桥梁纽带作用，履行好“代表、服务、管理”职能，发扬优良传统，改进工作作风，提高服务能力，优化管理模式和运行机制，推进残联治理能力现代化，进一步焕发残联组织活力。要推进重心下沉、服务前移，深入基层、深入残疾人家庭，为残疾人办实事、解难题。精心组织残联换届工作，深入实施残疾人基层组织建设改革，加强苏木镇残联组织建设，增强苏木镇残联工作人员为残疾人服务能力。建立“横向到边、纵向到底”的残疾人组织网络，推动实现嘎查村（社区）残疾人协会全覆盖，残协主席由嘎查村（社区）“两委”班子成员担任，全面推进嘎查村（社区）残协精细化建设。建设一支一专多能的残疾人专职委员队伍，促进残疾人基层组织建设高质量发展。加强各专门协会规范化建设，切实做到各残疾人专门协会“经费、场地、人员”三落实，发挥其“代表、服务、维权、监督”职能，满足协会在基层广泛联系和有效服务各类别残疾人需要。实现残疾人在残疾人组织中更活跃、残疾人组织在基层更活跃、残疾人和残疾人组织在参与社会中更活跃。（旗委组织部、旗残疾人联合会牵头，旗委机构编制委员会办公室、旗财政局、旗民政局、旗乡村振兴局按照职能分工负责）</w:t>
      </w:r>
    </w:p>
    <w:p w14:paraId="5126B4D5">
      <w:pPr>
        <w:pStyle w:val="5"/>
        <w:keepNext w:val="0"/>
        <w:keepLines w:val="0"/>
        <w:widowControl/>
        <w:suppressLineNumbers w:val="0"/>
        <w:spacing w:before="0" w:beforeAutospacing="1" w:after="0" w:afterAutospacing="0" w:line="386" w:lineRule="atLeast"/>
        <w:ind w:left="0" w:right="0"/>
        <w:jc w:val="both"/>
        <w:rPr>
          <w:spacing w:val="0"/>
        </w:rPr>
      </w:pPr>
      <w:r>
        <w:rPr>
          <w:b w:val="0"/>
          <w:bCs w:val="0"/>
          <w:i w:val="0"/>
          <w:iCs w:val="0"/>
          <w:color w:val="000000"/>
          <w:spacing w:val="0"/>
          <w:sz w:val="18"/>
          <w:szCs w:val="18"/>
          <w:lang w:eastAsia="zh-CN"/>
        </w:rPr>
        <w:t>　　</w:t>
      </w:r>
      <w:r>
        <w:rPr>
          <w:rFonts w:hint="default" w:ascii="Calibri" w:hAnsi="Calibri" w:cs="Calibri"/>
          <w:b w:val="0"/>
          <w:bCs w:val="0"/>
          <w:i w:val="0"/>
          <w:iCs w:val="0"/>
          <w:color w:val="000000"/>
          <w:spacing w:val="0"/>
          <w:sz w:val="18"/>
          <w:szCs w:val="18"/>
          <w:lang w:val="en-US"/>
        </w:rPr>
        <w:t>2.</w:t>
      </w:r>
      <w:r>
        <w:rPr>
          <w:b w:val="0"/>
          <w:bCs w:val="0"/>
          <w:i w:val="0"/>
          <w:iCs w:val="0"/>
          <w:color w:val="000000"/>
          <w:spacing w:val="0"/>
          <w:sz w:val="18"/>
          <w:szCs w:val="18"/>
          <w:lang w:eastAsia="zh-CN"/>
        </w:rPr>
        <w:t>强化残疾人工作者队伍建设。将残联系统干部队伍建设纳入全旗干部队伍和人才队伍建设整体规划，在坚持政治标准的前提下，不拘一格选用残疾人工作者，把熟悉残疾人需求、热心残疾人服务、关心残疾人事业、具备服务经验本领的优秀人才吸纳到残联干部队伍中来。重视残联系统残疾人干部选拔培养，扩充残疾人工作队伍来源，通过落实专兼挂等多种方式，不断增强残疾人工作力量。旗残联残疾人干部的比例达到</w:t>
      </w:r>
      <w:r>
        <w:rPr>
          <w:rFonts w:hint="default" w:ascii="Calibri" w:hAnsi="Calibri" w:cs="Calibri"/>
          <w:b w:val="0"/>
          <w:bCs w:val="0"/>
          <w:i w:val="0"/>
          <w:iCs w:val="0"/>
          <w:color w:val="000000"/>
          <w:spacing w:val="0"/>
          <w:sz w:val="18"/>
          <w:szCs w:val="18"/>
          <w:lang w:val="en-US"/>
        </w:rPr>
        <w:t>15%</w:t>
      </w:r>
      <w:r>
        <w:rPr>
          <w:b w:val="0"/>
          <w:bCs w:val="0"/>
          <w:i w:val="0"/>
          <w:iCs w:val="0"/>
          <w:color w:val="000000"/>
          <w:spacing w:val="0"/>
          <w:sz w:val="18"/>
          <w:szCs w:val="18"/>
          <w:lang w:eastAsia="zh-CN"/>
        </w:rPr>
        <w:t>以上，同时配备残疾人领导干部和兼职、挂职副理事长。加大残联系统残疾人干部、年轻干部、基层干部的培养选拔力度，强化科技创新人才培养。建立残疾人工作后备干部人才库，加强残疾人工作者培训。（旗委组织部、旗残疾人联合会牵头，旗委机构编制委员会办公室、旗人力资源和社会保障局按照职能分工负责）</w:t>
      </w:r>
    </w:p>
    <w:p w14:paraId="70E82D29">
      <w:pPr>
        <w:pStyle w:val="5"/>
        <w:keepNext w:val="0"/>
        <w:keepLines w:val="0"/>
        <w:widowControl/>
        <w:suppressLineNumbers w:val="0"/>
        <w:spacing w:before="0" w:beforeAutospacing="1" w:after="0" w:afterAutospacing="0" w:line="386" w:lineRule="atLeast"/>
        <w:ind w:left="0" w:right="0"/>
        <w:jc w:val="both"/>
        <w:rPr>
          <w:spacing w:val="0"/>
        </w:rPr>
      </w:pPr>
      <w:r>
        <w:rPr>
          <w:b w:val="0"/>
          <w:bCs w:val="0"/>
          <w:i w:val="0"/>
          <w:iCs w:val="0"/>
          <w:color w:val="000000"/>
          <w:spacing w:val="0"/>
          <w:sz w:val="18"/>
          <w:szCs w:val="18"/>
          <w:lang w:eastAsia="zh-CN"/>
        </w:rPr>
        <w:t>　　</w:t>
      </w:r>
      <w:r>
        <w:rPr>
          <w:rFonts w:hint="default" w:ascii="Calibri" w:hAnsi="Calibri" w:cs="Calibri"/>
          <w:b w:val="0"/>
          <w:bCs w:val="0"/>
          <w:i w:val="0"/>
          <w:iCs w:val="0"/>
          <w:color w:val="000000"/>
          <w:spacing w:val="0"/>
          <w:sz w:val="18"/>
          <w:szCs w:val="18"/>
          <w:lang w:val="en-US"/>
        </w:rPr>
        <w:t>3.</w:t>
      </w:r>
      <w:r>
        <w:rPr>
          <w:b w:val="0"/>
          <w:bCs w:val="0"/>
          <w:i w:val="0"/>
          <w:iCs w:val="0"/>
          <w:color w:val="000000"/>
          <w:spacing w:val="0"/>
          <w:sz w:val="18"/>
          <w:szCs w:val="18"/>
          <w:lang w:eastAsia="zh-CN"/>
        </w:rPr>
        <w:t>推动残疾人基础服务设施建设和有效运转。加快补齐残疾人基础服务设施短板，建成专业化残疾人综合服务中心，苏木镇、嘎查村（社区）普遍为残疾人服务提供场地保障，形成残疾人服务全链条。促进残疾人服务设施运营管理服务专业化、规范化和智能化。对新建民办残疾人康复和托养机构给予支持。鼓励政府投资建设的残疾人服务设施无偿或低价提供给公益性、普惠性残疾人服务机构使用。加强残疾人服务设施国有资产监管，定期进行评估。（旗残疾人联合会牵头，旗发展和改革委员会、旗</w:t>
      </w:r>
      <w:r>
        <w:rPr>
          <w:rFonts w:hint="eastAsia"/>
          <w:b w:val="0"/>
          <w:bCs w:val="0"/>
          <w:i w:val="0"/>
          <w:iCs w:val="0"/>
          <w:color w:val="000000"/>
          <w:spacing w:val="0"/>
          <w:sz w:val="18"/>
          <w:szCs w:val="18"/>
          <w:lang w:eastAsia="zh-CN"/>
        </w:rPr>
        <w:t>卫生健康委员会</w:t>
      </w:r>
      <w:r>
        <w:rPr>
          <w:b w:val="0"/>
          <w:bCs w:val="0"/>
          <w:i w:val="0"/>
          <w:iCs w:val="0"/>
          <w:color w:val="000000"/>
          <w:spacing w:val="0"/>
          <w:sz w:val="18"/>
          <w:szCs w:val="18"/>
          <w:lang w:eastAsia="zh-CN"/>
        </w:rPr>
        <w:t>、旗民政局、旗财政局按照职能分工负责）</w:t>
      </w:r>
    </w:p>
    <w:p w14:paraId="217008A7">
      <w:pPr>
        <w:pStyle w:val="5"/>
        <w:keepNext w:val="0"/>
        <w:keepLines w:val="0"/>
        <w:widowControl/>
        <w:suppressLineNumbers w:val="0"/>
        <w:spacing w:before="0" w:beforeAutospacing="1" w:after="0" w:afterAutospacing="0" w:line="386" w:lineRule="atLeast"/>
        <w:ind w:left="0" w:right="0"/>
        <w:jc w:val="both"/>
        <w:rPr>
          <w:spacing w:val="0"/>
        </w:rPr>
      </w:pPr>
      <w:r>
        <w:rPr>
          <w:b w:val="0"/>
          <w:bCs w:val="0"/>
          <w:i w:val="0"/>
          <w:iCs w:val="0"/>
          <w:color w:val="000000"/>
          <w:spacing w:val="0"/>
          <w:sz w:val="18"/>
          <w:szCs w:val="18"/>
          <w:lang w:eastAsia="zh-CN"/>
        </w:rPr>
        <w:t>　　</w:t>
      </w:r>
      <w:r>
        <w:rPr>
          <w:rFonts w:hint="default" w:ascii="Calibri" w:hAnsi="Calibri" w:cs="Calibri"/>
          <w:b w:val="0"/>
          <w:bCs w:val="0"/>
          <w:i w:val="0"/>
          <w:iCs w:val="0"/>
          <w:color w:val="000000"/>
          <w:spacing w:val="0"/>
          <w:sz w:val="18"/>
          <w:szCs w:val="18"/>
          <w:lang w:val="en-US"/>
        </w:rPr>
        <w:t>4.</w:t>
      </w:r>
      <w:r>
        <w:rPr>
          <w:b w:val="0"/>
          <w:bCs w:val="0"/>
          <w:i w:val="0"/>
          <w:iCs w:val="0"/>
          <w:color w:val="000000"/>
          <w:spacing w:val="0"/>
          <w:sz w:val="18"/>
          <w:szCs w:val="18"/>
          <w:lang w:eastAsia="zh-CN"/>
        </w:rPr>
        <w:t>加快残疾人事业信息化发展。加大科技助残工作力度，将残疾人基本公共服务项目纳入政务一体云平台，推进“一网通办”“跨省通办”。推进“一套表”“一张网”建设，纵向与国家和自治区、市残疾人服务平台对接，横向与各残疾人有关部门实时数据交换。推进残疾人基本状况调查常态化，及时准确更新数据，建好管好残疾人数据资源库，推进应用创新，持续提升残疾人事业信息化发展质量和水平。（旗大数据中心、旗政务服务局牵头，旗委网络安全和信息化委员会办公室、旗残疾人联合会、旗工信和科技局按职能分工负责）</w:t>
      </w:r>
    </w:p>
    <w:p w14:paraId="0012EEBA">
      <w:pPr>
        <w:pStyle w:val="5"/>
        <w:keepNext w:val="0"/>
        <w:keepLines w:val="0"/>
        <w:widowControl/>
        <w:suppressLineNumbers w:val="0"/>
        <w:spacing w:before="0" w:beforeAutospacing="1" w:after="0" w:afterAutospacing="0" w:line="386" w:lineRule="atLeast"/>
        <w:ind w:left="0" w:right="0"/>
        <w:jc w:val="both"/>
        <w:rPr>
          <w:spacing w:val="0"/>
        </w:rPr>
      </w:pPr>
      <w:r>
        <w:rPr>
          <w:b w:val="0"/>
          <w:bCs w:val="0"/>
          <w:i w:val="0"/>
          <w:iCs w:val="0"/>
          <w:color w:val="000000"/>
          <w:spacing w:val="0"/>
          <w:sz w:val="18"/>
          <w:szCs w:val="18"/>
          <w:lang w:eastAsia="zh-CN"/>
        </w:rPr>
        <w:t>　　专栏</w:t>
      </w:r>
      <w:r>
        <w:rPr>
          <w:rFonts w:hint="default" w:ascii="Calibri" w:hAnsi="Calibri" w:cs="Calibri"/>
          <w:b w:val="0"/>
          <w:bCs w:val="0"/>
          <w:i w:val="0"/>
          <w:iCs w:val="0"/>
          <w:color w:val="000000"/>
          <w:spacing w:val="0"/>
          <w:sz w:val="18"/>
          <w:szCs w:val="18"/>
          <w:lang w:val="en-US"/>
        </w:rPr>
        <w:t>7  </w:t>
      </w:r>
      <w:r>
        <w:rPr>
          <w:b w:val="0"/>
          <w:bCs w:val="0"/>
          <w:i w:val="0"/>
          <w:iCs w:val="0"/>
          <w:color w:val="000000"/>
          <w:spacing w:val="0"/>
          <w:sz w:val="18"/>
          <w:szCs w:val="18"/>
          <w:lang w:eastAsia="zh-CN"/>
        </w:rPr>
        <w:t>残疾人基层基础建设重点项目</w:t>
      </w:r>
    </w:p>
    <w:p w14:paraId="377E6CCD">
      <w:pPr>
        <w:pStyle w:val="5"/>
        <w:keepNext w:val="0"/>
        <w:keepLines w:val="0"/>
        <w:widowControl/>
        <w:suppressLineNumbers w:val="0"/>
        <w:spacing w:before="0" w:beforeAutospacing="1" w:after="0" w:afterAutospacing="0" w:line="386" w:lineRule="atLeast"/>
        <w:ind w:left="0" w:right="0"/>
        <w:jc w:val="both"/>
        <w:rPr>
          <w:b w:val="0"/>
          <w:bCs w:val="0"/>
          <w:i w:val="0"/>
          <w:iCs w:val="0"/>
          <w:spacing w:val="0"/>
        </w:rPr>
      </w:pPr>
      <w:r>
        <w:rPr>
          <w:b w:val="0"/>
          <w:bCs w:val="0"/>
          <w:i w:val="0"/>
          <w:iCs w:val="0"/>
          <w:color w:val="000000"/>
          <w:spacing w:val="0"/>
          <w:sz w:val="18"/>
          <w:szCs w:val="18"/>
          <w:lang w:eastAsia="zh-CN"/>
        </w:rPr>
        <w:t>　　</w:t>
      </w:r>
    </w:p>
    <w:tbl>
      <w:tblPr>
        <w:tblStyle w:val="3"/>
        <w:tblW w:w="1038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0" w:type="dxa"/>
          <w:left w:w="30" w:type="dxa"/>
          <w:bottom w:w="30" w:type="dxa"/>
          <w:right w:w="30" w:type="dxa"/>
        </w:tblCellMar>
      </w:tblPr>
      <w:tblGrid>
        <w:gridCol w:w="10380"/>
      </w:tblGrid>
      <w:tr w14:paraId="77ED8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0" w:type="dxa"/>
            <w:left w:w="30" w:type="dxa"/>
            <w:bottom w:w="30" w:type="dxa"/>
            <w:right w:w="30" w:type="dxa"/>
          </w:tblCellMar>
        </w:tblPrEx>
        <w:trPr>
          <w:tblCellSpacing w:w="0" w:type="dxa"/>
          <w:jc w:val="center"/>
        </w:trPr>
        <w:tc>
          <w:tcPr>
            <w:tcW w:w="10260" w:type="dxa"/>
            <w:tcBorders>
              <w:top w:val="single" w:color="000000" w:sz="8" w:space="0"/>
              <w:left w:val="single" w:color="000000" w:sz="8" w:space="0"/>
              <w:bottom w:val="single" w:color="000000" w:sz="8" w:space="0"/>
              <w:right w:val="single" w:color="000000" w:sz="8" w:space="0"/>
            </w:tcBorders>
            <w:shd w:val="clear" w:color="auto" w:fill="auto"/>
            <w:tcMar>
              <w:top w:w="28" w:type="dxa"/>
              <w:left w:w="108" w:type="dxa"/>
              <w:bottom w:w="28" w:type="dxa"/>
              <w:right w:w="108" w:type="dxa"/>
            </w:tcMar>
            <w:vAlign w:val="top"/>
          </w:tcPr>
          <w:p w14:paraId="7EC4B450">
            <w:pPr>
              <w:pStyle w:val="2"/>
              <w:keepNext w:val="0"/>
              <w:keepLines w:val="0"/>
              <w:widowControl/>
              <w:suppressLineNumbers w:val="0"/>
            </w:pPr>
            <w:r>
              <w:rPr>
                <w:rFonts w:hint="default" w:ascii="Times New Roman" w:hAnsi="Times New Roman" w:cs="Times New Roman"/>
                <w:sz w:val="24"/>
                <w:szCs w:val="24"/>
                <w:lang w:val="en-US"/>
              </w:rPr>
              <w:t>1.</w:t>
            </w:r>
            <w:r>
              <w:rPr>
                <w:rFonts w:hint="eastAsia" w:ascii="宋体" w:hAnsi="宋体" w:eastAsia="宋体" w:cs="宋体"/>
                <w:sz w:val="24"/>
                <w:szCs w:val="24"/>
              </w:rPr>
              <w:t>精心组织残联换届工作。</w:t>
            </w:r>
            <w:r>
              <w:rPr>
                <w:rFonts w:hint="default" w:ascii="Arial" w:hAnsi="Arial" w:cs="Arial"/>
                <w:sz w:val="24"/>
                <w:szCs w:val="24"/>
              </w:rPr>
              <w:t>深入实施残疾人基层组织建设改革，加强苏木镇残联组织建设，优化管理模式和运行机制，进一步提升残联组织的治理能力和水平。</w:t>
            </w:r>
          </w:p>
          <w:p w14:paraId="00C73A1E">
            <w:pPr>
              <w:pStyle w:val="2"/>
              <w:keepNext w:val="0"/>
              <w:keepLines w:val="0"/>
              <w:widowControl/>
              <w:suppressLineNumbers w:val="0"/>
            </w:pPr>
            <w:r>
              <w:rPr>
                <w:rFonts w:hint="default" w:ascii="Arial" w:hAnsi="Arial" w:cs="Arial"/>
                <w:sz w:val="24"/>
                <w:szCs w:val="24"/>
              </w:rPr>
              <w:t>　　　　</w:t>
            </w:r>
            <w:r>
              <w:rPr>
                <w:rFonts w:hint="default" w:ascii="Times New Roman" w:hAnsi="Times New Roman" w:cs="Times New Roman"/>
                <w:sz w:val="24"/>
                <w:szCs w:val="24"/>
                <w:lang w:val="en-US"/>
              </w:rPr>
              <w:t>2.</w:t>
            </w:r>
            <w:r>
              <w:rPr>
                <w:rFonts w:hint="eastAsia" w:ascii="宋体" w:hAnsi="宋体" w:eastAsia="宋体" w:cs="宋体"/>
                <w:sz w:val="24"/>
                <w:szCs w:val="24"/>
              </w:rPr>
              <w:t>加强残疾人工作者队伍建设。</w:t>
            </w:r>
            <w:r>
              <w:rPr>
                <w:rFonts w:hint="default" w:ascii="Arial" w:hAnsi="Arial" w:cs="Arial"/>
                <w:sz w:val="24"/>
                <w:szCs w:val="24"/>
              </w:rPr>
              <w:t>将残联系统干部队伍建设纳入全旗干部队伍和人才队伍建设的整体规划，重视残联系统残疾人干部选拔培养，通过落实专兼挂等多种方式增强残疾人工作力量，</w:t>
            </w:r>
            <w:r>
              <w:rPr>
                <w:rFonts w:hint="eastAsia" w:ascii="宋体" w:hAnsi="宋体" w:eastAsia="宋体" w:cs="宋体"/>
                <w:sz w:val="24"/>
                <w:szCs w:val="24"/>
              </w:rPr>
              <w:t>旗残联残疾人干部的比例达到</w:t>
            </w:r>
            <w:r>
              <w:rPr>
                <w:rFonts w:hint="default" w:ascii="Times New Roman" w:hAnsi="Times New Roman" w:cs="Times New Roman"/>
                <w:sz w:val="24"/>
                <w:szCs w:val="24"/>
                <w:lang w:val="en-US"/>
              </w:rPr>
              <w:t>15%</w:t>
            </w:r>
            <w:r>
              <w:rPr>
                <w:rFonts w:hint="eastAsia" w:ascii="宋体" w:hAnsi="宋体" w:eastAsia="宋体" w:cs="宋体"/>
                <w:sz w:val="24"/>
                <w:szCs w:val="24"/>
              </w:rPr>
              <w:t>以上</w:t>
            </w:r>
            <w:r>
              <w:rPr>
                <w:rFonts w:hint="default" w:ascii="Arial" w:hAnsi="Arial" w:cs="Arial"/>
                <w:sz w:val="24"/>
                <w:szCs w:val="24"/>
              </w:rPr>
              <w:t>，同时配备残疾人领导干部和兼职、挂职副理事长。</w:t>
            </w:r>
          </w:p>
          <w:p w14:paraId="7C855AAF">
            <w:pPr>
              <w:pStyle w:val="2"/>
              <w:keepNext w:val="0"/>
              <w:keepLines w:val="0"/>
              <w:widowControl/>
              <w:suppressLineNumbers w:val="0"/>
            </w:pPr>
            <w:r>
              <w:rPr>
                <w:rFonts w:hint="default" w:ascii="Arial" w:hAnsi="Arial" w:cs="Arial"/>
                <w:sz w:val="24"/>
                <w:szCs w:val="24"/>
              </w:rPr>
              <w:t>　　　　</w:t>
            </w:r>
            <w:r>
              <w:rPr>
                <w:rFonts w:hint="default" w:ascii="Times New Roman" w:hAnsi="Times New Roman" w:cs="Times New Roman"/>
                <w:sz w:val="24"/>
                <w:szCs w:val="24"/>
                <w:lang w:val="en-US"/>
              </w:rPr>
              <w:t>3.</w:t>
            </w:r>
            <w:r>
              <w:rPr>
                <w:rFonts w:hint="default" w:ascii="Arial" w:hAnsi="Arial" w:cs="Arial"/>
                <w:sz w:val="24"/>
                <w:szCs w:val="24"/>
              </w:rPr>
              <w:t>推动残疾人基础服务设施建设和运转。建成残疾人综合服务中心，苏木镇、嘎查村（社区）普遍为残疾人服务提供场地保障，形成残疾人服务全链条。</w:t>
            </w:r>
          </w:p>
          <w:p w14:paraId="1B9DCF3B">
            <w:pPr>
              <w:pStyle w:val="2"/>
              <w:keepNext w:val="0"/>
              <w:keepLines w:val="0"/>
              <w:widowControl/>
              <w:suppressLineNumbers w:val="0"/>
            </w:pPr>
            <w:r>
              <w:rPr>
                <w:rFonts w:hint="default" w:ascii="Arial" w:hAnsi="Arial" w:cs="Arial"/>
                <w:sz w:val="24"/>
                <w:szCs w:val="24"/>
              </w:rPr>
              <w:t>　　　　</w:t>
            </w:r>
            <w:r>
              <w:rPr>
                <w:rFonts w:hint="default" w:ascii="Times New Roman" w:hAnsi="Times New Roman" w:cs="Times New Roman"/>
                <w:sz w:val="24"/>
                <w:szCs w:val="24"/>
                <w:lang w:val="en-US"/>
              </w:rPr>
              <w:t>4.</w:t>
            </w:r>
            <w:r>
              <w:rPr>
                <w:rFonts w:hint="default" w:ascii="Arial" w:hAnsi="Arial" w:cs="Arial"/>
                <w:sz w:val="24"/>
                <w:szCs w:val="24"/>
              </w:rPr>
              <w:t>强化残疾人事业信息化建设。加大科技助残工作力度，将残疾人基本公共服务项目纳入政务一体云平台，</w:t>
            </w:r>
            <w:r>
              <w:rPr>
                <w:rFonts w:hint="eastAsia" w:ascii="宋体" w:hAnsi="宋体" w:eastAsia="宋体" w:cs="宋体"/>
                <w:sz w:val="24"/>
                <w:szCs w:val="24"/>
              </w:rPr>
              <w:t>推进“一网通办”“跨省通办”。推进“一套表”“一张网”建设</w:t>
            </w:r>
            <w:r>
              <w:rPr>
                <w:rFonts w:hint="default" w:ascii="Arial" w:hAnsi="Arial" w:cs="Arial"/>
                <w:sz w:val="24"/>
                <w:szCs w:val="24"/>
              </w:rPr>
              <w:t>，建好管好残疾人数据资源库。</w:t>
            </w:r>
          </w:p>
        </w:tc>
      </w:tr>
    </w:tbl>
    <w:p w14:paraId="6F5151C2">
      <w:pPr>
        <w:pStyle w:val="5"/>
        <w:keepNext w:val="0"/>
        <w:keepLines w:val="0"/>
        <w:widowControl/>
        <w:suppressLineNumbers w:val="0"/>
        <w:spacing w:before="0" w:beforeAutospacing="1" w:after="0" w:afterAutospacing="0" w:line="386" w:lineRule="atLeast"/>
        <w:ind w:left="0" w:right="0"/>
        <w:jc w:val="both"/>
        <w:rPr>
          <w:b w:val="0"/>
          <w:bCs w:val="0"/>
          <w:i w:val="0"/>
          <w:iCs w:val="0"/>
          <w:spacing w:val="0"/>
        </w:rPr>
      </w:pPr>
      <w:r>
        <w:rPr>
          <w:b w:val="0"/>
          <w:bCs w:val="0"/>
          <w:i w:val="0"/>
          <w:iCs w:val="0"/>
          <w:color w:val="000000"/>
          <w:spacing w:val="0"/>
          <w:sz w:val="18"/>
          <w:szCs w:val="18"/>
          <w:lang w:eastAsia="zh-CN"/>
        </w:rPr>
        <w:t>　　（七）构建强有力支撑体系，增强残疾人事业融合发展</w:t>
      </w:r>
    </w:p>
    <w:p w14:paraId="29E35B81">
      <w:pPr>
        <w:pStyle w:val="5"/>
        <w:keepNext w:val="0"/>
        <w:keepLines w:val="0"/>
        <w:widowControl/>
        <w:suppressLineNumbers w:val="0"/>
        <w:spacing w:before="0" w:beforeAutospacing="1" w:after="0" w:afterAutospacing="0" w:line="386" w:lineRule="atLeast"/>
        <w:ind w:left="0" w:right="0"/>
        <w:jc w:val="both"/>
        <w:rPr>
          <w:spacing w:val="0"/>
        </w:rPr>
      </w:pPr>
      <w:r>
        <w:rPr>
          <w:b w:val="0"/>
          <w:bCs w:val="0"/>
          <w:i w:val="0"/>
          <w:iCs w:val="0"/>
          <w:color w:val="000000"/>
          <w:spacing w:val="0"/>
          <w:sz w:val="18"/>
          <w:szCs w:val="18"/>
          <w:lang w:eastAsia="zh-CN"/>
        </w:rPr>
        <w:t>　　</w:t>
      </w:r>
      <w:r>
        <w:rPr>
          <w:rFonts w:hint="default" w:ascii="Calibri" w:hAnsi="Calibri" w:cs="Calibri"/>
          <w:b w:val="0"/>
          <w:bCs w:val="0"/>
          <w:i w:val="0"/>
          <w:iCs w:val="0"/>
          <w:color w:val="000000"/>
          <w:spacing w:val="0"/>
          <w:sz w:val="18"/>
          <w:szCs w:val="18"/>
          <w:lang w:val="en-US"/>
        </w:rPr>
        <w:t>1.</w:t>
      </w:r>
      <w:r>
        <w:rPr>
          <w:b w:val="0"/>
          <w:bCs w:val="0"/>
          <w:i w:val="0"/>
          <w:iCs w:val="0"/>
          <w:color w:val="000000"/>
          <w:spacing w:val="0"/>
          <w:sz w:val="18"/>
          <w:szCs w:val="18"/>
          <w:lang w:eastAsia="zh-CN"/>
        </w:rPr>
        <w:t>坚持党对残疾人事业的全面领导。坚持以习近平新时代中国特色社会主义思想为指导，深入贯彻落实习近平总书记关于残疾人事业重要指示批示精神和党中央国务院决策部署，坚持党委领导、政府负责、部门协同、社会参与、市场推动、残疾人组织充分发挥作用的残疾人事业领导体制和工作机制。旗残联认真贯彻落实残疾人事业方针、政策、法规和发展规划，增强残联组织的政治性、先进性、群众性，努力建设让党和政府放心、让残疾人满意的群团组织。各相关单位充分发挥各自职能优势，执行和落实好本部门涉及的残疾人优惠政策，支持残疾人事业发展。（旗残疾人联合会党组牵头，各相关单位按照职能分工负责）</w:t>
      </w:r>
    </w:p>
    <w:p w14:paraId="5CF0BC52">
      <w:pPr>
        <w:pStyle w:val="5"/>
        <w:keepNext w:val="0"/>
        <w:keepLines w:val="0"/>
        <w:widowControl/>
        <w:suppressLineNumbers w:val="0"/>
        <w:spacing w:before="0" w:beforeAutospacing="1" w:after="0" w:afterAutospacing="0" w:line="386" w:lineRule="atLeast"/>
        <w:ind w:left="0" w:right="0"/>
        <w:jc w:val="both"/>
        <w:rPr>
          <w:spacing w:val="0"/>
        </w:rPr>
      </w:pPr>
      <w:r>
        <w:rPr>
          <w:b w:val="0"/>
          <w:bCs w:val="0"/>
          <w:i w:val="0"/>
          <w:iCs w:val="0"/>
          <w:color w:val="000000"/>
          <w:spacing w:val="0"/>
          <w:sz w:val="18"/>
          <w:szCs w:val="18"/>
          <w:lang w:eastAsia="zh-CN"/>
        </w:rPr>
        <w:t>　　</w:t>
      </w:r>
      <w:r>
        <w:rPr>
          <w:rFonts w:hint="default" w:ascii="Calibri" w:hAnsi="Calibri" w:cs="Calibri"/>
          <w:b w:val="0"/>
          <w:bCs w:val="0"/>
          <w:i w:val="0"/>
          <w:iCs w:val="0"/>
          <w:color w:val="000000"/>
          <w:spacing w:val="0"/>
          <w:sz w:val="18"/>
          <w:szCs w:val="18"/>
          <w:lang w:val="en-US"/>
        </w:rPr>
        <w:t>2.</w:t>
      </w:r>
      <w:r>
        <w:rPr>
          <w:b w:val="0"/>
          <w:bCs w:val="0"/>
          <w:i w:val="0"/>
          <w:iCs w:val="0"/>
          <w:color w:val="000000"/>
          <w:spacing w:val="0"/>
          <w:sz w:val="18"/>
          <w:szCs w:val="18"/>
          <w:lang w:eastAsia="zh-CN"/>
        </w:rPr>
        <w:t>整合各类扶残助残力量推动助残服务。将志愿助残工作纳入全旗志愿服务总体工作，逐步完善志愿助残运行机制，发展壮大助残志愿者队伍，不断提升新时代文明实践志愿助残服务工作水平。鼓励工会、共青团、妇联、残联、红十字会、科协、工商联等群团组织和社会组织、企事业单位等实施助残慈善项目。落实残疾人事业金融、税收等支持政策，吸引更多社会力量和民间资本参与运营残疾人服务机构和设施建设，满足残疾人多元化、多层次需求。（旗残疾人联合会、旗民政局牵头，各相关单位按照职能分工负责）</w:t>
      </w:r>
    </w:p>
    <w:p w14:paraId="38E0E590">
      <w:pPr>
        <w:pStyle w:val="5"/>
        <w:keepNext w:val="0"/>
        <w:keepLines w:val="0"/>
        <w:widowControl/>
        <w:suppressLineNumbers w:val="0"/>
        <w:spacing w:before="0" w:beforeAutospacing="1" w:after="0" w:afterAutospacing="0" w:line="386" w:lineRule="atLeast"/>
        <w:ind w:left="0" w:right="0"/>
        <w:jc w:val="both"/>
        <w:rPr>
          <w:spacing w:val="0"/>
        </w:rPr>
      </w:pPr>
      <w:r>
        <w:rPr>
          <w:b w:val="0"/>
          <w:bCs w:val="0"/>
          <w:i w:val="0"/>
          <w:iCs w:val="0"/>
          <w:color w:val="000000"/>
          <w:spacing w:val="0"/>
          <w:sz w:val="18"/>
          <w:szCs w:val="18"/>
          <w:lang w:eastAsia="zh-CN"/>
        </w:rPr>
        <w:t>　　</w:t>
      </w:r>
      <w:r>
        <w:rPr>
          <w:rFonts w:hint="default" w:ascii="Calibri" w:hAnsi="Calibri" w:cs="Calibri"/>
          <w:b w:val="0"/>
          <w:bCs w:val="0"/>
          <w:i w:val="0"/>
          <w:iCs w:val="0"/>
          <w:color w:val="000000"/>
          <w:spacing w:val="0"/>
          <w:sz w:val="18"/>
          <w:szCs w:val="18"/>
          <w:lang w:val="en-US"/>
        </w:rPr>
        <w:t>3.</w:t>
      </w:r>
      <w:r>
        <w:rPr>
          <w:b w:val="0"/>
          <w:bCs w:val="0"/>
          <w:i w:val="0"/>
          <w:iCs w:val="0"/>
          <w:color w:val="000000"/>
          <w:spacing w:val="0"/>
          <w:sz w:val="18"/>
          <w:szCs w:val="18"/>
          <w:lang w:eastAsia="zh-CN"/>
        </w:rPr>
        <w:t>营造残疾人事业发展良好环境。团结带领广大残疾人群众坚定理想信念、铸牢中华民族共同体意识、践行社会主义核心价值观。激励广大残疾人增强参与意识，融入社会，自强自立，共建共享美好生活，凝聚起残疾人群体感党恩、听党话、跟党走的正能量。围绕“全国助残日”“国际残疾人日”等时间节点开展宣传活动，弘扬人道主义精神，倡导扶残助残的社会风尚。充分发挥全媒体传播能力，积极打造残疾人事业网络宣传阵地，旗媒体中心制作一批残疾人题材纪录片、助残公益广告、新闻、音视频等节目，开展形式多样的助残公益广告播放、投放。在主流媒体开辟专栏专刊，宣传残疾人事业发展，讲好残疾人励志故事，展示残疾人自尊、自信、自强、自立的坚强品格，营造理解、尊重、关心、帮助残疾人的文明社会氛围。（旗残疾人联合会牵头，各相关单位按照职能分工负责）</w:t>
      </w:r>
    </w:p>
    <w:p w14:paraId="66F30AC1">
      <w:pPr>
        <w:pStyle w:val="5"/>
        <w:keepNext w:val="0"/>
        <w:keepLines w:val="0"/>
        <w:widowControl/>
        <w:suppressLineNumbers w:val="0"/>
        <w:spacing w:before="0" w:beforeAutospacing="1" w:after="0" w:afterAutospacing="0" w:line="386" w:lineRule="atLeast"/>
        <w:ind w:left="0" w:right="0"/>
        <w:jc w:val="both"/>
        <w:rPr>
          <w:b w:val="0"/>
          <w:bCs w:val="0"/>
          <w:i w:val="0"/>
          <w:iCs w:val="0"/>
          <w:spacing w:val="0"/>
        </w:rPr>
      </w:pPr>
      <w:r>
        <w:rPr>
          <w:b w:val="0"/>
          <w:bCs w:val="0"/>
          <w:i w:val="0"/>
          <w:iCs w:val="0"/>
          <w:color w:val="000000"/>
          <w:spacing w:val="0"/>
          <w:sz w:val="18"/>
          <w:szCs w:val="18"/>
          <w:lang w:eastAsia="zh-CN"/>
        </w:rPr>
        <w:t>　　四、保障措施</w:t>
      </w:r>
    </w:p>
    <w:p w14:paraId="50F89FD9">
      <w:pPr>
        <w:pStyle w:val="5"/>
        <w:keepNext w:val="0"/>
        <w:keepLines w:val="0"/>
        <w:widowControl/>
        <w:suppressLineNumbers w:val="0"/>
        <w:spacing w:before="0" w:beforeAutospacing="1" w:after="0" w:afterAutospacing="0" w:line="386" w:lineRule="atLeast"/>
        <w:ind w:left="0" w:right="0"/>
        <w:jc w:val="both"/>
        <w:rPr>
          <w:b w:val="0"/>
          <w:bCs w:val="0"/>
          <w:i w:val="0"/>
          <w:iCs w:val="0"/>
          <w:spacing w:val="0"/>
        </w:rPr>
      </w:pPr>
      <w:r>
        <w:rPr>
          <w:b w:val="0"/>
          <w:bCs w:val="0"/>
          <w:i w:val="0"/>
          <w:iCs w:val="0"/>
          <w:color w:val="000000"/>
          <w:spacing w:val="0"/>
          <w:sz w:val="18"/>
          <w:szCs w:val="18"/>
          <w:lang w:eastAsia="zh-CN"/>
        </w:rPr>
        <w:t>　　（一）推进任务落实。旗残疾人联合会要加强统筹协调，旗直各有关部门要依据职责分工制定具体措施，狠抓任务落实，形成齐抓共管、密切配合的工作格局。</w:t>
      </w:r>
    </w:p>
    <w:p w14:paraId="203B6D49">
      <w:pPr>
        <w:pStyle w:val="5"/>
        <w:keepNext w:val="0"/>
        <w:keepLines w:val="0"/>
        <w:widowControl/>
        <w:suppressLineNumbers w:val="0"/>
        <w:spacing w:before="0" w:beforeAutospacing="1" w:after="0" w:afterAutospacing="0" w:line="386" w:lineRule="atLeast"/>
        <w:ind w:left="0" w:right="0"/>
        <w:jc w:val="both"/>
        <w:rPr>
          <w:spacing w:val="0"/>
        </w:rPr>
      </w:pPr>
      <w:r>
        <w:rPr>
          <w:b w:val="0"/>
          <w:bCs w:val="0"/>
          <w:i w:val="0"/>
          <w:iCs w:val="0"/>
          <w:color w:val="000000"/>
          <w:spacing w:val="0"/>
          <w:sz w:val="18"/>
          <w:szCs w:val="18"/>
          <w:lang w:eastAsia="zh-CN"/>
        </w:rPr>
        <w:t>　　（二）强化经费保障。建立稳定的经费保障机制，持续强化残疾人事业发展资金保障力度。合理统筹使用一般公共预算、彩票公益金等资金，不断提高资金使用效益和管理水平。落实残疾人就业保障金征收有关政策，科学规范残疾人就业保障金使用管理，每年要从残疾人就业保障金中划出</w:t>
      </w:r>
      <w:r>
        <w:rPr>
          <w:rFonts w:hint="default" w:ascii="Calibri" w:hAnsi="Calibri" w:cs="Calibri"/>
          <w:b w:val="0"/>
          <w:bCs w:val="0"/>
          <w:i w:val="0"/>
          <w:iCs w:val="0"/>
          <w:color w:val="000000"/>
          <w:spacing w:val="0"/>
          <w:sz w:val="18"/>
          <w:szCs w:val="18"/>
          <w:lang w:val="en-US"/>
        </w:rPr>
        <w:t>30%</w:t>
      </w:r>
      <w:r>
        <w:rPr>
          <w:b w:val="0"/>
          <w:bCs w:val="0"/>
          <w:i w:val="0"/>
          <w:iCs w:val="0"/>
          <w:color w:val="000000"/>
          <w:spacing w:val="0"/>
          <w:sz w:val="18"/>
          <w:szCs w:val="18"/>
          <w:lang w:eastAsia="zh-CN"/>
        </w:rPr>
        <w:t>的资金，用于残疾人事业发展。积极引入社会力量，形成多渠道、多元化的投入格局。</w:t>
      </w:r>
    </w:p>
    <w:p w14:paraId="2694C13A">
      <w:pPr>
        <w:pStyle w:val="5"/>
        <w:keepNext w:val="0"/>
        <w:keepLines w:val="0"/>
        <w:widowControl/>
        <w:suppressLineNumbers w:val="0"/>
        <w:spacing w:before="0" w:beforeAutospacing="1" w:after="0" w:afterAutospacing="0" w:line="386" w:lineRule="atLeast"/>
        <w:ind w:left="0" w:right="0"/>
        <w:jc w:val="both"/>
        <w:rPr>
          <w:b w:val="0"/>
          <w:bCs w:val="0"/>
          <w:i w:val="0"/>
          <w:iCs w:val="0"/>
          <w:spacing w:val="0"/>
        </w:rPr>
      </w:pPr>
      <w:r>
        <w:rPr>
          <w:b w:val="0"/>
          <w:bCs w:val="0"/>
          <w:i w:val="0"/>
          <w:iCs w:val="0"/>
          <w:color w:val="000000"/>
          <w:spacing w:val="0"/>
          <w:sz w:val="18"/>
          <w:szCs w:val="18"/>
          <w:lang w:eastAsia="zh-CN"/>
        </w:rPr>
        <w:t>　　（三）开展绩效评估。旗残疾人联合会要加强对规划实施情况监督检查和绩效评估。适时进行年度监测、中期评估和总结评估，开展社会满意度调查，强化审计监督，及时发现和解决规划实施中出现的问题，确保规划执行稳妥有序、取得实效。 </w:t>
      </w:r>
    </w:p>
    <w:p w14:paraId="482B593A">
      <w:pPr>
        <w:pStyle w:val="5"/>
        <w:keepNext w:val="0"/>
        <w:keepLines w:val="0"/>
        <w:widowControl/>
        <w:suppressLineNumbers w:val="0"/>
        <w:spacing w:before="0" w:beforeAutospacing="1" w:after="0" w:afterAutospacing="0" w:line="240" w:lineRule="auto"/>
        <w:ind w:left="0" w:right="0"/>
        <w:jc w:val="both"/>
      </w:pPr>
    </w:p>
    <w:p w14:paraId="77FC727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1MzQ5YjJjYTY4ZmZjN2I1YmFhNzM4MjFjYTdlY2IifQ=="/>
  </w:docVars>
  <w:rsids>
    <w:rsidRoot w:val="38B57612"/>
    <w:rsid w:val="15ED33D0"/>
    <w:rsid w:val="2B0463FB"/>
    <w:rsid w:val="35964597"/>
    <w:rsid w:val="36A66842"/>
    <w:rsid w:val="38B57612"/>
    <w:rsid w:val="411A65BE"/>
    <w:rsid w:val="45EB1EF3"/>
    <w:rsid w:val="69F56A44"/>
    <w:rsid w:val="76C86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line="240" w:lineRule="auto"/>
      <w:ind w:left="0" w:right="0"/>
      <w:jc w:val="both"/>
    </w:pPr>
    <w:rPr>
      <w:kern w:val="0"/>
      <w:sz w:val="24"/>
      <w:lang w:val="en-US" w:eastAsia="zh-CN" w:bidi="ar"/>
    </w:rPr>
  </w:style>
  <w:style w:type="paragraph" w:customStyle="1" w:styleId="5">
    <w:name w:val="cjk"/>
    <w:basedOn w:val="1"/>
    <w:autoRedefine/>
    <w:qFormat/>
    <w:uiPriority w:val="0"/>
    <w:pPr>
      <w:jc w:val="left"/>
    </w:pPr>
    <w:rPr>
      <w:rFonts w:hint="eastAsia" w:ascii="宋体" w:hAnsi="宋体" w:eastAsia="宋体" w:cs="宋体"/>
      <w:kern w:val="0"/>
      <w:sz w:val="20"/>
      <w:szCs w:val="20"/>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7913</Words>
  <Characters>8084</Characters>
  <Lines>0</Lines>
  <Paragraphs>0</Paragraphs>
  <TotalTime>6</TotalTime>
  <ScaleCrop>false</ScaleCrop>
  <LinksUpToDate>false</LinksUpToDate>
  <CharactersWithSpaces>8337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2022-10-27T18:38:00Z</dcterms:created>
  <dc:creator>Administrator</dc:creator>
  <cp:lastModifiedBy>火龙果</cp:lastModifiedBy>
  <dcterms:modified xsi:type="dcterms:W3CDTF">2025-02-05T07:06:45Z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B085177796404E1DBBC2AAA2631CB84A</vt:lpwstr>
  </property>
  <property fmtid="{D5CDD505-2E9C-101B-9397-08002B2CF9AE}" pid="4" name="KSOTemplateDocerSaveRecord">
    <vt:lpwstr>eyJoZGlkIjoiM2M1MzQ5YjJjYTY4ZmZjN2I1YmFhNzM4MjFjYTdlY2IiLCJ1c2VySWQiOiIzMjc5MTc5NjUifQ==</vt:lpwstr>
  </property>
</Properties>
</file>