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杭锦经济开发区管委会，各苏木镇人民政府，旗人民政府各部门，各企事业单位：</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经旗人民政府同意，现将《杭锦旗“十四五”应急体系建设规划》印发给你们，请结合实际，认真贯彻执行。</w:t>
      </w:r>
    </w:p>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杭锦旗人民政府办公室</w:t>
      </w:r>
    </w:p>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2022年6月16日</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杭锦旗“十四五”应急体系建设规划</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为全面贯彻落实习近平总书记关于安全生产、防灾减灾救灾重要论述，按照上级党委政府关于应急管理工作的一系列重大决策部署，推进应急管理体系和能力现代化，有效防范和应对各类灾害事故，切实保障人民群众生命财产安全，根据《中华人民共和国安全生产法》《中华人民共和国突发事件应对法》和《内蒙古自治区人民政府办公厅关于印发自治区“十四五”应急体系建设规划的通知》（内政办发〔2021〕90号）、《鄂尔多斯市人民政府关于印发鄂尔多斯市国民经济和社会发展第十四个五年规划和2035年远景目标纲要的通知》（鄂府发〔2021〕1号）等法律法规和文件，结合我旗应急管理工作实际，制定本规划。本规划是杭锦旗各级党委、政府和各有关部门依法履行应急管理工作职责、制定实施年度工作计划及各项政策措施的重要依据，也是“十四五”时期全旗应急管理工作的行动纲领。</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本规划的规划期为2021年至2025年。</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第一章 现状与形势</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第一节 “十三五”时期工作成效</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十三五”时期，在旗委、旗政府的正确领导和各级各部门的共同努力下，通过不断强化安全生产责任落实，加强安全监管机制体制建设，安全监管网格逐步延伸，安全生产监管体系日益完善，专项整治和重大事故隐患整改工作取得了阶段性成效，长效机制正在形成，日常监管正在逐步强化，应急救援管理有新的突破，各类事故总量连续下降，安全生产环境得到明显改善，促进了全旗安全生产形势稳定好转。    </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长效机制建设，构建严密的安全责任体系。一是建立健全安全生产责任体系。建立完善了《关于调整杭锦旗安全生产委员会组成人员的通知》《安全生产“党政同责、一岗双责”暂行规定》和《旗直有关部门和单位安全生产工作职责规定》《关于做好机构改革期间安全监管工作的通知》《关于印发杭锦旗安委会工作制度的通知》等监管职责规定；出台了“党政同责、一岗双责”“一票否决”“目标考核管理办法”“干部选拔任用中严格执行安全生产工作一票否决”“重大隐患挂牌督办”和《关于推进安全生产领域改革发展的实施方案》等暂行规定、实施办法、实施方案。二是全面落实安全生产责任制度。按照“党政同责、一岗双责、齐抓共管、失职追责”要求和中央、自治区、市相关规定，我旗结合本级实际，制定出台了《杭锦旗关于推进安全生产领域改革发展的实施方案》，建立了党委、政府安全生产责任制规定，明确了党政主要负责人同为本辖区安全生产第一责任人，党政班子其他成员对分管领域内的安全生产工作负领导责任。旗委常委会每年至少听取两次安全生产工作汇报，研究解决安全生产领域重点难点问题和安排部署安全生产重点工作。旗政府常务会议每季度听取一次安全生产工作汇报，研究部署安全生产工作，解决安全生产工作中存在的突出问题。三是落实部门监管责任。按照“管行业必须管安全、管业务必须管安全、管生产经营必须管安全”和“谁主管、谁负责”的原则，进一步厘清了安全生产综合监管和行业监管关系，明确行业主管部门安全生产工作具体职责规定。四是落实企业主体责任。我旗认真落实自治区《关于落实生产经营单位安全生产主体责任规定》，进一步明确了企业对本单位安全生产工作负全面责任，严格履行安全生产法定责任，实行全员安全生产责任制度，企业法定代表人和实际控制人同为安全生产第一责任人，领导班子其他成员对职责范围内的安全生产工作负责；规模以上企业要建立由董事长或总经理任主任的安全生产委员会，企业领导班子成员和其他高层管理人员实行安全生产“一岗双责”，对企业严重违反安全生产法律法规等方面行为，将纳入“黑名单”，采取联合惩戒。建立安全生产述职制度，要求企业领导班子每年要向职代会报告安全生产工作情况。高危行业企业应依法依规设立安全总监和安全生产管理机构，配备或聘请注册安全工程师等安全管理人员。建立企业安全技术管理体系，主要技术负责人负有安全生产技术决策和指挥权。自身技术力量薄弱的小微企业，应通过购买服务的方式，加强安全生产现场管理。五是落实安全生产目标考核制度。每年按照本年度编制印发的工作要点，对所辖各苏木镇、工业园区及安委会成员单位进行年度安全生产目标考核，对先进的予以表彰，对考核不合格的“一票否决”。六是严格安全生产责任追究制度。凡发生生产安全事故，一律按照“四不放过”的原则，查清原因，严肃追究人员责任，凡年度发生较大责任事故的，一律取消评先评优资格，对构成“一票否决”的单位，严格按照“一票否决”实施办法给予“一票否决”。</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强化执法机制建设，增强依法治理能力和效率。一是针对部分行业监管责任、企业主体责任和辖区属地监管责任落实不力的现状，在企业组织开展了“一查两改三落实”（即“一查”把隐患当事故查；“两改”整改事故隐患，整改消除违规违法行为；“三落实”行业部门监管责任是否落实，属地监管责任是否落实，企业主体责任是否落实）活动。深化企业主体责任执法年活动。通过活动的开展，大部分企业进一步健全完善了安全生产责任体系，规章制度和操作规程执行体系，安全教育培训体系，资金投入保障体系，隐患排查治理体系，应急管理体系，安全事故报告处置体系和企业员工安全生产权利保障体系。二是规定了安全生产监管执法权责清单、双随机抽查清单、权力运行流程图，规范执法检查行为，进一步促进了执法责任的落实。三是改进执法方式。由单一的日常执法形成日常执法、集中执法、专项执法和联合执法相结合的执法方式，增强执法效果。</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强化安全风险管控，积极推进安全生产“六项机制”建设（风险点查找机制、风险研判机制、风险预警机制、风险防范机制、风险处置机制、风险责任机制）。始终坚持风险预控、关口前移、重心下沉，把查找、研判、预警、防范、处置、责任“六项机制”建设贯穿于安全生产工作的全过程。一是推动风险查找管理信息化。结合信息化平台建设，要求各地、各部门把查找的安全生产风险隐患及时录入信息化平台系统，每月一报送。二是建立风险分级制。对部门单位查找出的风险进行科学评估、研判，对不同类别的安全风险，采用相应的风险评估方法确定安全风险等级，分别用红、橙、黄、蓝四种颜色标示，制定落实监控措施，并上报风险点清单。三是建立风险通报制。对交办的风险点清单治理情况实行月调度（月建月销）、月通报，并督促治理责任单位对重大、较大风险在醒目位置和重点区域设置安全风险公告栏。</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突出重点行业领域，深化隐患排查治理。一是按照“全覆盖、零容忍、严执法、重实效”的总体要求，采取“四不两直”（不发通知、不打招呼、不听汇报、不要陪同接待，直奔基层、直插现场）的检查方式，深入开展安全生产大检查。二是创新以领导带队查、聘请专家查、夜间突击查、重点行业专项查、部门联合查、整改回头查、媒体曝光查的“七查”方式，督促生产经营单位建立完善隐患排查治理制度，制定切合实际的隐患排查治理清单。三是积极发挥旗安委办督导检查作用，统筹整合旗委、政府督查室等力量组成督查组，多频次、全领域的开展以“三查四不放过”（查安全生产隐患整改情况、查安全生产责任落实情况、查安全生产方针政策、决策部署贯彻落实情况，隐患未发现不放过、责任未落实不放过、隐患未消除不放过、未起到警示教育不放过）为主要内容的督导检查，进一步确保各领域所排查出的安全隐患有人改、有人盯、有实效，充分依据督查结果，全面启动“一函一书一令（提醒函、建议书、整改令）”工作机制。2016年以来，全旗各地各部门、单位、企业能够结合行业领域安全问题的实际，以防范和遏制重特大事故为抓手，不断增加投入，采取有力措施，大力开展重点行业领域专项整治和企业技改。以整顿关闭污染环境严重的“三小”企业为重点的塑制品企业专项整治、以反“双超”为重点的道路交通专项整治、以渡口渡船整治为主要内容的水上交通安全专项整治、以三年行动“四个清单”为主要内容的隐患排查治理、以防范危险化学品为重点的危险化学品安全专项整治、以安全生产风险管控“六项机制”建设为主要内容的隐患排查与分级管控、安全生产大督查大排查大整治、安全生产百日攻坚专项行动等活动。同时，还开展了打击非法违法生产经营建设行为专项行动，确保了杭锦旗安全生产形势总体平稳的态势。经过持续、闭环式的安全专项整治，生产经营建设单位现场管理得到加强，一大批安全隐患得到有效整治，依法关闭取缔了一批无证无照或证照不全的生产经营和建设单位，非法违法生产经营行为得到有效遏制。</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应急救援管理，提升应对突发事件能力素质。“十三五”以来，我旗进一步强化生产安全事故应急救援能力提升，加强部门协调联动机制建设，积极推动管委会、苏木镇应急机构设置、人员配备工作，形成了旗级与管委会和苏木镇职责明确、渠道畅通、联动有效的生产安全事故应急救援工作机制。健全了相关应急制度，全面落实安全生产应急救援工作各项措施。进一步修订完善了各类应急预案，积极组织开展政府综合性、部门专项应急救援演练。截至目前，建立了政府专职救援、企业消防、森林草原扑火、防汛抢险等各类应急队伍17支405人，全旗各部门、企业共开展应急演练2150余次，综合性演练32次。</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安全文化建设，营造良好的安全社会氛围。“十三五”以来，采取有效措施，扎实开展了全国“安全生产月”“安全生产咨询日”“新安法宣传”“11.9消防安全日”“安全知识七进”等活动，加强安全宣传教育和培训，强化全民的安全意识。通过广播、电视、报刊、杂志、网站等多种媒体，采取“五进”等各种形式，深入重点企业开展专题宣讲和监督检查，让企业负责人、班组长和现场员工做到应知尽知，营造了浓厚的安全生产社会氛围。同时，还加强了对社会公众的安全法律、法规和安全知识、灾难应急救援知识的宣传，提高全民安全意识，增加全社会的安全自觉性。</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聚焦关键领域，全力推动安全生产专项整治三年行动。一是坚持问题导向、效果导向，聚焦本行业领域的深层次问题和短板，制定时间表和任务清单，把解决实际问题贯穿始终，把夯实企业主体责任贯穿始终，把风险隐患排查治理贯穿始终。二是围绕全旗安全生产专项整治三年行动计划，全面抓好各行业、各领域、各环节安全隐患的排查治理工作。三是完善项目安全准入机制，所有新建项目必须进行安全评估论证。</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通过近几年的努力，我旗安全监管正由“粗放管理”向“精细管理”转变，部门安全监管正由“常规管理”向“创新管理”转变，群众安全意识正由“要我安全”向“我要安全”转变，企业正由“我要效益”向“安全就是效益”转变。</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第二节 “十三五”时期重点工程完成情况</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安全监管执法能力建设。加强了安全生产执法队伍建设，充实了旗、苏木镇、园区监管执法人员，强化了安全生产监管力量。</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科技支撑能力建设。在全旗重点行业领域大力推行“机械化换人、自动化减人”安全技术改造工程，进一步提高了生产效能。</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安全风险防控能力建设。在规模以上企业组织开展安全生产标准化达标升级创建活动，取得了显著成效。</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实施重大危险源防控监测信息系统建设。对全旗所有危险化学品生产、经营单位的基本信息进行了采集，包括企业的类型、注册地址、主要负责人和安全管理人员联系电话、职工人数、危险化学品种类与数量，“两重点一重大”和生产安全事故等信息。目前，全旗危险化学品行业49处重大危险源已经完成备案工作。</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宣传教育能力建设。“十三五”以来，我旗高度重视安全生产宣传教育工作，到2020年，全旗安全生产新闻宣传工作在社会生活各方面的渗透力、影响力、感染力显著增强，安全生产新闻宣传示范工程和阵地建设深入推进，新闻宣传活动内容不断丰富，全民安全意识进一步增强，安全生产新闻宣传工作富有特色并取得明显成效，同时，总结凝练形成一批可借鉴和可复制的好经验好做法，确认了重点任务。一是加快推进安全生产传统媒体和新媒体融合发展。二是探索监管部门每年召开1次由主要负责同志出席的安全生产新闻发布会；每年至少开展1次安全生产网络在线访谈。三是结合安全生产巡查、明查暗访等重点工作，组织跟踪采访，挖掘正反两方面典型和线索。四是积极主动与各级媒体沟通协调对接，提供新闻素材，努力在中央、自治区、市主要媒体推出反映我旗安全生产亮点工作的重点报道。目前，我旗安全生产宣传新闻试点工作机制正在不断完善，工作力度不断加大。</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应急救援能力建设。积极推进安全生产专业应急救援机构建设，成立了专门应急救援管理机构，配备了专职管理人员，完善了功能完备的救援体系。一是整合多个部门10余项职能成立应急管理局，统筹全旗各地各部门应对安全生产类、自然灾害类等突发事件和综合防灾减灾救灾工作。二是对防汛、森林草原防火等3个指挥机构根据新的职能职责进行调整。三是建立了政府专职救援、企业消防、森林草原扑火、防汛抢险等各类应急队伍17支405人，全旗各部门、企业共开展应急演练2150余次，综合性演练32次。四是建立全旗应急通讯和指挥系统，对6家重大危险源企业实现了实时数据采集，14家重点监管企业按计划接入可视电话，与市安全生产信息平台实现信息共享和同步监管。五是建立应急指挥中心，统一受理全旗各类安全生产、自然灾害突发事件和应急求助的报警，组织、协调、指挥、调度相关联动单位应急处置一般突发事件和求助。六是建立全旗救灾物资储备库，加大应急物资储备。全旗现有物资储备库1个，在建1个、储备各类应急物资14种24700件。2020年采购储备各类应急</w:t>
      </w:r>
      <w:r>
        <w:rPr>
          <w:rFonts w:hint="eastAsia" w:ascii="宋体" w:hAnsi="宋体" w:eastAsia="宋体" w:cs="宋体"/>
          <w:i w:val="0"/>
          <w:iCs w:val="0"/>
          <w:caps w:val="0"/>
          <w:color w:val="000000"/>
          <w:spacing w:val="0"/>
          <w:sz w:val="24"/>
          <w:szCs w:val="24"/>
          <w:shd w:val="clear" w:fill="FFFFFF"/>
          <w:lang w:eastAsia="zh-CN"/>
        </w:rPr>
        <w:t>资</w:t>
      </w:r>
      <w:r>
        <w:rPr>
          <w:rFonts w:hint="eastAsia" w:ascii="宋体" w:hAnsi="宋体" w:eastAsia="宋体" w:cs="宋体"/>
          <w:i w:val="0"/>
          <w:iCs w:val="0"/>
          <w:caps w:val="0"/>
          <w:color w:val="000000"/>
          <w:spacing w:val="0"/>
          <w:sz w:val="24"/>
          <w:szCs w:val="24"/>
          <w:shd w:val="clear" w:fill="FFFFFF"/>
        </w:rPr>
        <w:t>24种4500件（套）。全旗共打造应急避难场所17处，可就近容纳4万余人紧急避险。</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防灾减灾综合协调机制日益完善。一是聘请第三方预案评审机构，对全旗突发公共事件、森林草原火灾等10余项预案进行重新编制。二是建立自然灾害监测预警信息共享机制，逐步实现气象灾害风险等10余种灾害监测数据、灾情信息、灾害风险信息的共享共用。三是制定值班备勤和信息报告等制度，加强应急救援值班备勤和抢险救援力量，确保发生灾情迅速组织力量科学救援。</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第三节 “十三五”时期工作存在的主要问题及原因</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虽然我旗近年来在安全生产监管体系和责任目标体系上日益健全，专项整治和重大事故隐患整改工作取得明显成效，但全旗安全监管工作的形势仍然十分严峻，安全监管工作还存在一些困难和问题，主要表现在：</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部分小企业小作坊安全生产主体责任仍未落实到位。企业对安全生产工作的重视仍停留在口头上、会议上，企业法人没有切实履行安全生产第一责任人的职责，重效益、轻安全，重制度、轻管理，重形式、轻落实的现象仍然存在。</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安全生产隐患排查治理工作不扎实。部分单位、企业对隐患排查治理工作的重要性认识不到位，存在应付思想，以日常安全检查代替隐患排查治理工作，安排部署不够具体，排查整治不够深入，整改不全面，安全隐患仍不同程度存在。</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安全生产监管能力尚未完全适应安全生产监管工作需要。安全生产监管能力建设虽然取得了阶段性成果，但是，部分地区、部门由于受多方面因素制约，安全生产监管机构不健全、经费不足、人员专业化程度、数量、覆盖面等问题尚未得到根本解决，与《规划》中提出的“保障安全生产监管机构、人员、经费、设施和装备到位” 还有不小差距，安全生产监管水平和能力不能完全满足安全生产监管需要。</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上述问题的存在，主要有以下几个方面主要原因：一是部分领导对安全生产工作重视不够，精力投放不足。个别部门、单位没有将安全生产纳入经济发展总体规划，存在重发展、轻安全的倾向。对安全生产工作重视不够，以会贯会，以文件贯文件，开会多，解决问题少，投入安全生产的精力不足；部分企业负责人没有真正负起安全生产主体责任，思想麻痹，只顾效益，忽视安全，使“安全第一、预防为主、综合治理”的方针没有真正落到实处。二是安全生产责任和规章制度落实不到位。有的地区、部门负责人责任不清，任务不明，责任制落实不到底，层层衰减。一些企业安全制度、安全培训、安全投入落实不到位，安全生产管理混乱，违规生产，违章指挥、违章操作、违反劳动纪律的问题时有发生。三是安全生产基础比较薄弱。一些企业特别是老工业企业生产工艺技术落后，设备陈旧老化，更新改造欠账多，投入严重不足，安全隐患长期得不到治理，基本的生产安全条件得不到有效保障。这些问题充分说明了安全生产工作的长期性、艰巨性、复杂性和紧迫性，只有紧密结合经济结构调整，统筹规划、突出重点、确定目标、制定措施，才能有效遏制生产安全事故，减少人员伤亡。</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第四节 “十四五”时期工作面临的挑战</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“十四五”时期，我旗安全生产仍将处于爬坡过坎期，不稳定不确定因素明显增多，各类灾害事故风险交织叠加，新冠疫情下国内外发展环境面临深刻变化，应急管理工作面临的挑战依然严峻。</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安全形势更加复杂严峻。危险化学品、交通运输、建筑施工、煤矿非煤矿山、人员密集场所等高危行业领域安全基础薄弱、潜在安全风险大，一些企业实际控制人责任缺失，重效益、轻生命，完全没有做好安全生产工作的心理压力，很多企业安全设施设备陈旧简陋，缺乏进一步的投入和更新，长期带病运行，部分企业内部安全生产规章制度形同虚设、现场管理不严、风险防控不力、隐患排查治理流于形式、对从业人员培训教育缺乏，应急演练不够等问题日益突出。新产业、新业态、新领域安全风险不断涌现，各类风险的跨界性、关联性、穿透性、放大性显著增强，极易引发系统性风险，有效防范化解重大安全风险的形势严峻复杂。</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体系建设任务更加艰巨。应急管理体系建设仍面临诸多挑战，综合协调、部门协同、上下联动、区域联动、军地融合等机制还不够健全，专业应急救援队伍与实战需求仍有一定差距，各层级各部门各地区信息化平台数据共享不畅，数据壁垒、信息孤岛仍不同程度存在，体制机制仍不够完善。部分属地政府、部门对应急管理工作的重视程度、抓实到位的主动性上还有差距，在谋划、推动、牵引应急管理工作的思考深度、广度上仍有不足，部分行业职责边界不够清晰、监管责任落实不够等问题依然存在，风险防控体制机制不健全问题仍然突出。</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能力提升要求更加迫切。对照现代化的治理体系和治理能力，我旗应急管理工作仍存在许多短板，迫切需要坚持运用系统观念、系统方法，聚焦重点、抓住要害，针对性地补短板、强弱项，加强能力建设。在本质安全水平上，小微企业量大面广，安全投入不足、安全标准执行不到位，专业技术人员和专职安全管理人员占比仍然偏低；在重大风险精准防控上，安全风险辨识评估、监测预警、闭环管控上还有差距，遏制重特大灾害事故的手段、举措还不够有效；在技术支撑上，科技手段在应急管理领域应用还不够深入，数字化应用场景迭代深化有待加强；在基层基础上，基层监管力量偏弱、专业水平不高、人员配备不足，机构设置还不够规范，多灾种应急救援队伍建设还要加强，专家队伍、应急救援装备、应急救援训练基地、</w:t>
      </w:r>
      <w:bookmarkStart w:id="53" w:name="_GoBack"/>
      <w:bookmarkEnd w:id="53"/>
      <w:r>
        <w:rPr>
          <w:rFonts w:hint="eastAsia" w:ascii="宋体" w:hAnsi="宋体" w:eastAsia="宋体" w:cs="宋体"/>
          <w:i w:val="0"/>
          <w:iCs w:val="0"/>
          <w:caps w:val="0"/>
          <w:color w:val="000000"/>
          <w:spacing w:val="0"/>
          <w:sz w:val="24"/>
          <w:szCs w:val="24"/>
          <w:shd w:val="clear" w:fill="FFFFFF"/>
        </w:rPr>
        <w:t>应急物资、紧急运输等保障能力还不高。</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全社会对安全生产的期望值越来越高。随着经济社会的发展和社会的进步，全社会对安全生产的期望不断提高，广大从业人员“体面劳动”观念不断增强，对加强安全监管、改善作业环境等方面的要求越来越高、诉求越来越多，出现了许多新情况、新问题，从本质上提高安全生产水平，最大限度地遏制各类事故多发、群发势头，进一步改进安全生产状况，成为全社会高度关注的热点问题。         </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第五节 “十四五”时期工作面临的机遇</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“十四五”时期，我旗发展仍处于重要战略机遇期，中华民族伟大复兴战略全局和世界百年未有之大变局，将为我旗应急管理事业改革发展带来新机遇，以新气象新作为创造新业绩。</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安全发展理念日益深入人心。习近平总书记关于安全生产工作的一系列重要论述，对加快实施安全发展战略，促进安全生产形势根本好转，具有重大的理论和实践意义。各级党委、政府牢固树立安全发展的理念，更加重视处理好保障安全、促进发展、提高效益之间的关系，不断强化安全监管，切实督促企业落实安全生产主体责任，为加强安全生产工作提供了有力保障。</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法律法规体系不断健全完善。新《安全生产法》等法律法规的颁布实施，将总书记关于安全生产工作一系列重要指示批示的精神转化为法律规定，增加了安全生产工作坚持人民至上、生命至上，树牢安全发展理念，从源头上防范化解重大安全风险等规定，同时，对落实中央决策部署、健全安全生产责任体系、强化新问题、新风险的防范应对及加大对违法行为的惩处力度提出了明确要求，为统筹发展和安全两件大事提供了坚强的法治保障。</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经济发展方式正在逐步转变。全旗经济结构优化升级，有利于淘汰落后生产能力，压缩高危行业，推动安全生产源头治本；经济发展从要素驱动、投资驱动转向创新驱动，有利于推动工作创新，把安全生产建立在依靠科技进步和提高劳动者素质的基础上。</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应急管理基础得到切实加强。应急管理工作在我旗各苏木镇（管委会）、工业园区（经济开发区）和有关部门政绩业绩考核中的权重将进一步加大，各苏木镇（管委会）、工业园区（经济开发区）和有关部门必将更加重视应急管理工作。依法治安进程深入推进，安全监管监察能力持续增强。全旗应急管理体制机制进一步完善，安全生产监管监察手段进一步丰富，生产经营单位安全生产主体责任进一步落实，全民安全意识进一步增强，为做好“十四五”时期应急管理工作奠定了良好的基础。</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第二章 指导思想与目标</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第一节 指导思想</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坚持以习近平新时代中国特色社会主义思想为指导，深入贯彻党的十九大和十九届二中、三中、四中、五中、六中全会精神，全面贯彻习近平总书记关于应急管理工作的重要论述，严格执行党中央、国务院、自治区党委、人民政府、市委、人民政府关于应急管理的重大决策部署，紧密围绕自治区“两个屏障”“两个基地”和“一个桥头堡”的战略定位，坚持人民至上、生命至上，聚力“防得住、救得出、管得住”，以推动高质量发展为主题，以防范化解重大安全风险为主线，以改革创新为根本动力，以满足人民日益增长的安全需求为根本目的，坚持总体国家安全观，更好统筹发展和安全，深入推进全旗应急管理体系和能力现代化，努力擦亮安全发展底色，率先完善应急管理体制机制，有效构建“大安全、大应急、大减灾”体系，全面提升防范防治、应急救援、减灾救灾能力，坚决遏制重特大事故，最大限度降低灾害损失，坚决维护人民群众生命财产安全。</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第二节 基本原则</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坚持党的领导、统筹推进。全面加强党对应急管理工作的领导，把党的领导贯穿到应急管理工作的各方面和全过程，统揽全局、协调各方，把党的政治优势、组织优势和社会主义集中力量办大事的体制优势转化为推进应急管理体系和能力现代化的强大动力和坚强保障。</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坚持人民至上、生命至上。坚持以人民为中心的发展思想，把保护人民生命安全摆在首位，牢固树立安全发展理念，坚守“发展绝不能以牺牲人的生命为代价”这条不可逾越的红线，全面提高防范化解重大安全风险的能力和水平，最大限度减少人员伤亡和财产损失。</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坚持底线思维、精准防控。坚持以防为主、防抗救相结合，以精准闭环管控为核心，突出完善遏制重特大事故工作机制，健全辨识评估、监测预警、隐患排查、应急处置全链条风险防控机制，打造现代化、数字化、高效化、精准化的风险防控体系，全面提升防范化解重大风险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坚持改革创新、数字赋能。全面推进以数字化改革为引领，用数字化撬动推进应急管理体制机制改革，聚焦重点领域、关键环节，强化科技支撑，推进流程再造、制度重塑，实现数字赋能、整体智治，更好发挥数字化改革的牵引作用，全面提升精密智控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坚持系统治理、合力共建。统筹发挥地方、部门的主动性、积极性，组织引导社会各方力量共同参与，综合运用法律、行政、经济等手段，构建共建共治共享格局，牢牢守住安全底线，切实提高自然灾害、事故灾难、公共卫生、社会安全等突发事件的全过程、全流程防范防治水平和应急处置能力。</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第三节 总体目标</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2025年，全旗应急管理体系和能力现代化建设取得重大成果，应急保障能力进一步增强，基本形成统一指挥、专常兼备、反应灵敏、上下联动的应急管理体制，各类生产安全事故总量进一步下降，防范化解重大安全风险的体制机制不断健全，自然灾害防御水平明显提升，综合应急救援能力达到全市先进水平，从根本上实现全旗安全生产形势好转。</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以安全为支撑，强化安全监管本质水平。结合我旗实际，着力从企业主体责任、安全文化素养、基础设施建设、安全监管水平等方面筑牢安全之基，健全应急救援保障机制，构建较为成熟的全民安全文化建设工作体系，强化安全监管本质水平。 </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以防控为重点，严格落实各项防控措施。以安全风险预警准确、预测超前、预防及时为目标，推行各类风险管理关口前移，加强对各类风险的源头防控能力，不断将各类防控措施落实在前。 </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以科技为手段，深度推进行业领域科技化、信息化水平。持续提升重点行业领域自动化、科技化、信息化、智能化水平。加快淘汰安全性能较低的落后产能，加快推广应用先进的技术装备。不断深化各类企业自动化控制技术的应用，深度推进各行业领域的风险监测预警科技化、信息化水平。</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以人才为依托，不断强化安全监管力量。统筹加强全旗安全监管力量建设，实现全旗具有安全生产相关专业背景和实践经验的执法人员不低于在职人员的75%。认真落实安全生产行政执法队伍建设规划和标准导则。分年度制定干部教育培训计划，组织开展大培训，通过多种方式引进急需紧缺专业人才，鼓励监管干部专业学历教育，切实加强安全监管队伍专业能力建设，提高干部队伍整体素质。</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杭锦旗“十四五”时期应急管理量化目标</w:t>
      </w:r>
    </w:p>
    <w:tbl>
      <w:tblPr>
        <w:tblStyle w:val="3"/>
        <w:tblW w:w="887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46"/>
        <w:gridCol w:w="543"/>
        <w:gridCol w:w="2614"/>
        <w:gridCol w:w="1416"/>
        <w:gridCol w:w="1315"/>
        <w:gridCol w:w="1352"/>
        <w:gridCol w:w="10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14" w:hRule="atLeast"/>
          <w:jc w:val="center"/>
        </w:trPr>
        <w:tc>
          <w:tcPr>
            <w:tcW w:w="546" w:type="dxa"/>
            <w:tcBorders>
              <w:top w:val="single" w:color="auto" w:sz="12" w:space="0"/>
              <w:left w:val="single" w:color="auto" w:sz="12"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ascii="黑体" w:hAnsi="宋体" w:eastAsia="黑体" w:cs="黑体"/>
                <w:kern w:val="0"/>
                <w:sz w:val="24"/>
                <w:szCs w:val="24"/>
                <w:lang w:val="en-US" w:eastAsia="zh-CN" w:bidi="ar"/>
              </w:rPr>
              <w:t>类别</w:t>
            </w:r>
          </w:p>
        </w:tc>
        <w:tc>
          <w:tcPr>
            <w:tcW w:w="543" w:type="dxa"/>
            <w:tcBorders>
              <w:top w:val="single" w:color="auto" w:sz="12"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eastAsia" w:ascii="黑体" w:hAnsi="宋体" w:eastAsia="黑体" w:cs="黑体"/>
                <w:kern w:val="0"/>
                <w:sz w:val="24"/>
                <w:szCs w:val="24"/>
                <w:lang w:val="en-US" w:eastAsia="zh-CN" w:bidi="ar"/>
              </w:rPr>
              <w:t>序号</w:t>
            </w:r>
          </w:p>
        </w:tc>
        <w:tc>
          <w:tcPr>
            <w:tcW w:w="2614" w:type="dxa"/>
            <w:tcBorders>
              <w:top w:val="single" w:color="auto" w:sz="12"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eastAsia" w:ascii="黑体" w:hAnsi="宋体" w:eastAsia="黑体" w:cs="黑体"/>
                <w:kern w:val="0"/>
                <w:sz w:val="24"/>
                <w:szCs w:val="24"/>
                <w:lang w:val="en-US" w:eastAsia="zh-CN" w:bidi="ar"/>
              </w:rPr>
              <w:t>指标名称</w:t>
            </w:r>
          </w:p>
        </w:tc>
        <w:tc>
          <w:tcPr>
            <w:tcW w:w="1416" w:type="dxa"/>
            <w:tcBorders>
              <w:top w:val="single" w:color="auto" w:sz="12"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eastAsia" w:ascii="黑体" w:hAnsi="宋体" w:eastAsia="黑体" w:cs="黑体"/>
                <w:kern w:val="0"/>
                <w:sz w:val="24"/>
                <w:szCs w:val="24"/>
                <w:lang w:val="en-US" w:eastAsia="zh-CN" w:bidi="ar"/>
              </w:rPr>
              <w:t>2020年</w:t>
            </w:r>
          </w:p>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eastAsia" w:ascii="黑体" w:hAnsi="宋体" w:eastAsia="黑体" w:cs="黑体"/>
                <w:kern w:val="0"/>
                <w:sz w:val="24"/>
                <w:szCs w:val="24"/>
                <w:lang w:val="en-US" w:eastAsia="zh-CN" w:bidi="ar"/>
              </w:rPr>
              <w:t>基数值</w:t>
            </w:r>
          </w:p>
        </w:tc>
        <w:tc>
          <w:tcPr>
            <w:tcW w:w="1315" w:type="dxa"/>
            <w:tcBorders>
              <w:top w:val="single" w:color="auto" w:sz="12"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eastAsia" w:ascii="黑体" w:hAnsi="宋体" w:eastAsia="黑体" w:cs="黑体"/>
                <w:kern w:val="0"/>
                <w:sz w:val="24"/>
                <w:szCs w:val="24"/>
                <w:lang w:val="en-US" w:eastAsia="zh-CN" w:bidi="ar"/>
              </w:rPr>
              <w:t>2025年目标绝对值</w:t>
            </w:r>
          </w:p>
        </w:tc>
        <w:tc>
          <w:tcPr>
            <w:tcW w:w="1352" w:type="dxa"/>
            <w:tcBorders>
              <w:top w:val="single" w:color="auto" w:sz="12"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eastAsia" w:ascii="黑体" w:hAnsi="宋体" w:eastAsia="黑体" w:cs="黑体"/>
                <w:kern w:val="0"/>
                <w:sz w:val="24"/>
                <w:szCs w:val="24"/>
                <w:lang w:val="en-US" w:eastAsia="zh-CN" w:bidi="ar"/>
              </w:rPr>
              <w:t>2025年</w:t>
            </w:r>
          </w:p>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eastAsia" w:ascii="黑体" w:hAnsi="宋体" w:eastAsia="黑体" w:cs="黑体"/>
                <w:kern w:val="0"/>
                <w:sz w:val="24"/>
                <w:szCs w:val="24"/>
                <w:lang w:val="en-US" w:eastAsia="zh-CN" w:bidi="ar"/>
              </w:rPr>
              <w:t>目标值</w:t>
            </w:r>
          </w:p>
        </w:tc>
        <w:tc>
          <w:tcPr>
            <w:tcW w:w="1088" w:type="dxa"/>
            <w:tcBorders>
              <w:top w:val="single" w:color="auto" w:sz="12" w:space="0"/>
              <w:left w:val="single" w:color="auto" w:sz="8" w:space="0"/>
              <w:bottom w:val="single" w:color="auto" w:sz="8" w:space="0"/>
              <w:right w:val="single" w:color="auto" w:sz="12"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eastAsia" w:ascii="黑体" w:hAnsi="宋体" w:eastAsia="黑体" w:cs="黑体"/>
                <w:kern w:val="0"/>
                <w:sz w:val="24"/>
                <w:szCs w:val="24"/>
                <w:lang w:val="en-US" w:eastAsia="zh-CN" w:bidi="ar"/>
              </w:rPr>
              <w:t>指标</w:t>
            </w:r>
          </w:p>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eastAsia" w:ascii="黑体" w:hAnsi="宋体" w:eastAsia="黑体" w:cs="黑体"/>
                <w:kern w:val="0"/>
                <w:sz w:val="24"/>
                <w:szCs w:val="24"/>
                <w:lang w:val="en-US" w:eastAsia="zh-CN" w:bidi="ar"/>
              </w:rPr>
              <w:t>性质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5" w:hRule="atLeast"/>
          <w:jc w:val="center"/>
        </w:trPr>
        <w:tc>
          <w:tcPr>
            <w:tcW w:w="546" w:type="dxa"/>
            <w:vMerge w:val="restart"/>
            <w:tcBorders>
              <w:top w:val="single" w:color="auto" w:sz="8" w:space="0"/>
              <w:left w:val="single" w:color="auto" w:sz="12"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0" w:name="_Toc27650"/>
            <w:r>
              <w:rPr>
                <w:rFonts w:ascii="仿宋_GB2312" w:hAnsi="Calibri" w:eastAsia="仿宋_GB2312" w:cs="仿宋_GB2312"/>
                <w:kern w:val="0"/>
                <w:sz w:val="24"/>
                <w:szCs w:val="24"/>
                <w:lang w:val="en-US" w:eastAsia="zh-CN" w:bidi="ar"/>
              </w:rPr>
              <w:t>安全生产</w:t>
            </w:r>
            <w:bookmarkEnd w:id="0"/>
          </w:p>
        </w:tc>
        <w:tc>
          <w:tcPr>
            <w:tcW w:w="543"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1" w:name="_Toc1837"/>
            <w:r>
              <w:rPr>
                <w:rFonts w:hint="default" w:ascii="Calibri" w:hAnsi="Calibri" w:eastAsia="宋体" w:cs="Calibri"/>
                <w:kern w:val="0"/>
                <w:sz w:val="24"/>
                <w:szCs w:val="24"/>
                <w:bdr w:val="dotted" w:color="0000FF" w:sz="6" w:space="0"/>
                <w:lang w:val="en-US" w:eastAsia="zh-CN" w:bidi="ar"/>
              </w:rPr>
              <w:t>1</w:t>
            </w:r>
            <w:bookmarkEnd w:id="1"/>
          </w:p>
        </w:tc>
        <w:tc>
          <w:tcPr>
            <w:tcW w:w="2614"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2" w:name="_Toc14521"/>
            <w:r>
              <w:rPr>
                <w:rFonts w:hint="default" w:ascii="仿宋_GB2312" w:hAnsi="Calibri" w:eastAsia="仿宋_GB2312" w:cs="仿宋_GB2312"/>
                <w:kern w:val="0"/>
                <w:sz w:val="24"/>
                <w:szCs w:val="24"/>
                <w:lang w:val="en-US" w:eastAsia="zh-CN" w:bidi="ar"/>
              </w:rPr>
              <w:t>生产安全事故死亡人数</w:t>
            </w:r>
            <w:bookmarkEnd w:id="2"/>
          </w:p>
        </w:tc>
        <w:tc>
          <w:tcPr>
            <w:tcW w:w="141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3" w:name="_Toc18126"/>
            <w:r>
              <w:rPr>
                <w:rFonts w:hint="default" w:ascii="Calibri" w:hAnsi="Calibri" w:eastAsia="宋体" w:cs="Calibri"/>
                <w:kern w:val="0"/>
                <w:sz w:val="24"/>
                <w:szCs w:val="24"/>
                <w:bdr w:val="dotted" w:color="0000FF" w:sz="6" w:space="0"/>
                <w:lang w:val="en-US" w:eastAsia="zh-CN" w:bidi="ar"/>
              </w:rPr>
              <w:t>18</w:t>
            </w:r>
            <w:bookmarkEnd w:id="3"/>
          </w:p>
        </w:tc>
        <w:tc>
          <w:tcPr>
            <w:tcW w:w="131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4" w:name="_Toc4222"/>
            <w:r>
              <w:rPr>
                <w:rFonts w:hint="default" w:ascii="Calibri" w:hAnsi="Calibri" w:eastAsia="宋体" w:cs="Calibri"/>
                <w:kern w:val="0"/>
                <w:sz w:val="24"/>
                <w:szCs w:val="24"/>
                <w:bdr w:val="dotted" w:color="0000FF" w:sz="6" w:space="0"/>
                <w:lang w:val="en-US" w:eastAsia="zh-CN" w:bidi="ar"/>
              </w:rPr>
              <w:t>15</w:t>
            </w:r>
            <w:bookmarkEnd w:id="4"/>
          </w:p>
        </w:tc>
        <w:tc>
          <w:tcPr>
            <w:tcW w:w="1352"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5" w:name="_Toc7686"/>
            <w:r>
              <w:rPr>
                <w:rFonts w:hint="default" w:ascii="仿宋_GB2312" w:hAnsi="Calibri" w:eastAsia="仿宋_GB2312" w:cs="仿宋_GB2312"/>
                <w:kern w:val="0"/>
                <w:sz w:val="24"/>
                <w:szCs w:val="24"/>
                <w:lang w:val="en-US" w:eastAsia="zh-CN" w:bidi="ar"/>
              </w:rPr>
              <w:t>下降</w:t>
            </w:r>
            <w:r>
              <w:rPr>
                <w:rFonts w:hint="default" w:ascii="Calibri" w:hAnsi="Calibri" w:eastAsia="宋体" w:cs="Calibri"/>
                <w:kern w:val="0"/>
                <w:sz w:val="24"/>
                <w:szCs w:val="24"/>
                <w:bdr w:val="dotted" w:color="0000FF" w:sz="6" w:space="0"/>
                <w:lang w:val="en-US" w:eastAsia="zh-CN" w:bidi="ar"/>
              </w:rPr>
              <w:t>15%</w:t>
            </w:r>
            <w:bookmarkEnd w:id="5"/>
          </w:p>
        </w:tc>
        <w:tc>
          <w:tcPr>
            <w:tcW w:w="1088" w:type="dxa"/>
            <w:tcBorders>
              <w:top w:val="single" w:color="auto" w:sz="8" w:space="0"/>
              <w:left w:val="single" w:color="auto" w:sz="8" w:space="0"/>
              <w:bottom w:val="single" w:color="auto" w:sz="8" w:space="0"/>
              <w:right w:val="single" w:color="auto" w:sz="12"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6" w:name="_Toc2280"/>
            <w:r>
              <w:rPr>
                <w:rFonts w:hint="default" w:ascii="仿宋_GB2312" w:hAnsi="Calibri" w:eastAsia="仿宋_GB2312" w:cs="仿宋_GB2312"/>
                <w:kern w:val="0"/>
                <w:sz w:val="24"/>
                <w:szCs w:val="24"/>
                <w:lang w:val="en-US" w:eastAsia="zh-CN" w:bidi="ar"/>
              </w:rPr>
              <w:t>约束性</w:t>
            </w:r>
            <w:bookmarkEnd w:id="6"/>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9" w:hRule="atLeast"/>
          <w:jc w:val="center"/>
        </w:trPr>
        <w:tc>
          <w:tcPr>
            <w:tcW w:w="546"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宋体" w:hAnsi="宋体" w:eastAsia="宋体" w:cs="宋体"/>
                <w:sz w:val="24"/>
                <w:szCs w:val="24"/>
              </w:rPr>
            </w:pPr>
          </w:p>
        </w:tc>
        <w:tc>
          <w:tcPr>
            <w:tcW w:w="543"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7" w:name="_Toc8114"/>
            <w:r>
              <w:rPr>
                <w:rFonts w:hint="default" w:ascii="Calibri" w:hAnsi="Calibri" w:eastAsia="宋体" w:cs="Calibri"/>
                <w:kern w:val="0"/>
                <w:sz w:val="24"/>
                <w:szCs w:val="24"/>
                <w:bdr w:val="dotted" w:color="0000FF" w:sz="6" w:space="0"/>
                <w:lang w:val="en-US" w:eastAsia="zh-CN" w:bidi="ar"/>
              </w:rPr>
              <w:t>2</w:t>
            </w:r>
            <w:bookmarkEnd w:id="7"/>
          </w:p>
        </w:tc>
        <w:tc>
          <w:tcPr>
            <w:tcW w:w="2614"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8" w:name="_Toc24424"/>
            <w:r>
              <w:rPr>
                <w:rFonts w:hint="default" w:ascii="仿宋_GB2312" w:hAnsi="Calibri" w:eastAsia="仿宋_GB2312" w:cs="仿宋_GB2312"/>
                <w:kern w:val="0"/>
                <w:sz w:val="24"/>
                <w:szCs w:val="24"/>
                <w:lang w:val="en-US" w:eastAsia="zh-CN" w:bidi="ar"/>
              </w:rPr>
              <w:t>亿元国内生产总值生产安全事故死亡率</w:t>
            </w:r>
            <w:bookmarkEnd w:id="8"/>
          </w:p>
        </w:tc>
        <w:tc>
          <w:tcPr>
            <w:tcW w:w="141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9" w:name="_Toc8452"/>
            <w:r>
              <w:rPr>
                <w:rFonts w:hint="default" w:ascii="Calibri" w:hAnsi="Calibri" w:eastAsia="宋体" w:cs="Calibri"/>
                <w:kern w:val="0"/>
                <w:sz w:val="24"/>
                <w:szCs w:val="24"/>
                <w:bdr w:val="dotted" w:color="0000FF" w:sz="6" w:space="0"/>
                <w:lang w:val="en-US" w:eastAsia="zh-CN" w:bidi="ar"/>
              </w:rPr>
              <w:t>0.140</w:t>
            </w:r>
            <w:bookmarkEnd w:id="9"/>
          </w:p>
        </w:tc>
        <w:tc>
          <w:tcPr>
            <w:tcW w:w="131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10" w:name="_Toc24108"/>
            <w:r>
              <w:rPr>
                <w:rFonts w:hint="default" w:ascii="Calibri" w:hAnsi="Calibri" w:eastAsia="宋体" w:cs="Calibri"/>
                <w:kern w:val="0"/>
                <w:sz w:val="24"/>
                <w:szCs w:val="24"/>
                <w:bdr w:val="dotted" w:color="0000FF" w:sz="6" w:space="0"/>
                <w:lang w:val="en-US" w:eastAsia="zh-CN" w:bidi="ar"/>
              </w:rPr>
              <w:t>0.104</w:t>
            </w:r>
            <w:bookmarkEnd w:id="10"/>
          </w:p>
        </w:tc>
        <w:tc>
          <w:tcPr>
            <w:tcW w:w="1352"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11" w:name="_Toc15147"/>
            <w:r>
              <w:rPr>
                <w:rFonts w:hint="default" w:ascii="仿宋_GB2312" w:hAnsi="Calibri" w:eastAsia="仿宋_GB2312" w:cs="仿宋_GB2312"/>
                <w:kern w:val="0"/>
                <w:sz w:val="24"/>
                <w:szCs w:val="24"/>
                <w:lang w:val="en-US" w:eastAsia="zh-CN" w:bidi="ar"/>
              </w:rPr>
              <w:t>下降</w:t>
            </w:r>
            <w:r>
              <w:rPr>
                <w:rFonts w:hint="default" w:ascii="Calibri" w:hAnsi="Calibri" w:eastAsia="宋体" w:cs="Calibri"/>
                <w:kern w:val="0"/>
                <w:sz w:val="24"/>
                <w:szCs w:val="24"/>
                <w:bdr w:val="dotted" w:color="0000FF" w:sz="6" w:space="0"/>
                <w:lang w:val="en-US" w:eastAsia="zh-CN" w:bidi="ar"/>
              </w:rPr>
              <w:t>26%</w:t>
            </w:r>
            <w:bookmarkEnd w:id="11"/>
          </w:p>
        </w:tc>
        <w:tc>
          <w:tcPr>
            <w:tcW w:w="1088" w:type="dxa"/>
            <w:tcBorders>
              <w:top w:val="single" w:color="auto" w:sz="8" w:space="0"/>
              <w:left w:val="single" w:color="auto" w:sz="8" w:space="0"/>
              <w:bottom w:val="single" w:color="auto" w:sz="8" w:space="0"/>
              <w:right w:val="single" w:color="auto" w:sz="12"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12" w:name="_Toc14080"/>
            <w:r>
              <w:rPr>
                <w:rFonts w:hint="default" w:ascii="仿宋_GB2312" w:hAnsi="Calibri" w:eastAsia="仿宋_GB2312" w:cs="仿宋_GB2312"/>
                <w:kern w:val="0"/>
                <w:sz w:val="24"/>
                <w:szCs w:val="24"/>
                <w:lang w:val="en-US" w:eastAsia="zh-CN" w:bidi="ar"/>
              </w:rPr>
              <w:t>约束性</w:t>
            </w:r>
            <w:bookmarkEnd w:id="12"/>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36" w:hRule="atLeast"/>
          <w:jc w:val="center"/>
        </w:trPr>
        <w:tc>
          <w:tcPr>
            <w:tcW w:w="546"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宋体" w:hAnsi="宋体" w:eastAsia="宋体" w:cs="宋体"/>
                <w:sz w:val="24"/>
                <w:szCs w:val="24"/>
              </w:rPr>
            </w:pPr>
          </w:p>
        </w:tc>
        <w:tc>
          <w:tcPr>
            <w:tcW w:w="543"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13" w:name="_Toc23139"/>
            <w:r>
              <w:rPr>
                <w:rFonts w:hint="default" w:ascii="Calibri" w:hAnsi="Calibri" w:eastAsia="宋体" w:cs="Calibri"/>
                <w:kern w:val="0"/>
                <w:sz w:val="24"/>
                <w:szCs w:val="24"/>
                <w:bdr w:val="dotted" w:color="0000FF" w:sz="6" w:space="0"/>
                <w:lang w:val="en-US" w:eastAsia="zh-CN" w:bidi="ar"/>
              </w:rPr>
              <w:t>3</w:t>
            </w:r>
            <w:bookmarkEnd w:id="13"/>
          </w:p>
        </w:tc>
        <w:tc>
          <w:tcPr>
            <w:tcW w:w="2614"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14" w:name="_Toc17742"/>
            <w:r>
              <w:rPr>
                <w:rFonts w:hint="default" w:ascii="仿宋_GB2312" w:hAnsi="Calibri" w:eastAsia="仿宋_GB2312" w:cs="仿宋_GB2312"/>
                <w:kern w:val="0"/>
                <w:sz w:val="24"/>
                <w:szCs w:val="24"/>
                <w:lang w:val="en-US" w:eastAsia="zh-CN" w:bidi="ar"/>
              </w:rPr>
              <w:t>工矿商贸就业人员十万人生产安全事故死亡率</w:t>
            </w:r>
            <w:bookmarkEnd w:id="14"/>
          </w:p>
        </w:tc>
        <w:tc>
          <w:tcPr>
            <w:tcW w:w="141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15" w:name="_Toc24581"/>
            <w:r>
              <w:rPr>
                <w:rFonts w:hint="default" w:ascii="Calibri" w:hAnsi="Calibri" w:eastAsia="宋体" w:cs="Calibri"/>
                <w:kern w:val="0"/>
                <w:sz w:val="24"/>
                <w:szCs w:val="24"/>
                <w:bdr w:val="dotted" w:color="0000FF" w:sz="6" w:space="0"/>
                <w:lang w:val="en-US" w:eastAsia="zh-CN" w:bidi="ar"/>
              </w:rPr>
              <w:t>0</w:t>
            </w:r>
            <w:bookmarkEnd w:id="15"/>
          </w:p>
        </w:tc>
        <w:tc>
          <w:tcPr>
            <w:tcW w:w="131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16" w:name="_Toc18657"/>
            <w:r>
              <w:rPr>
                <w:rFonts w:hint="default" w:ascii="Calibri" w:hAnsi="Calibri" w:eastAsia="宋体" w:cs="Calibri"/>
                <w:kern w:val="0"/>
                <w:sz w:val="24"/>
                <w:szCs w:val="24"/>
                <w:bdr w:val="dotted" w:color="0000FF" w:sz="6" w:space="0"/>
                <w:lang w:val="en-US" w:eastAsia="zh-CN" w:bidi="ar"/>
              </w:rPr>
              <w:t>0</w:t>
            </w:r>
            <w:bookmarkEnd w:id="16"/>
          </w:p>
        </w:tc>
        <w:tc>
          <w:tcPr>
            <w:tcW w:w="1352"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17" w:name="_Toc10865"/>
            <w:r>
              <w:rPr>
                <w:rFonts w:hint="default" w:ascii="仿宋_GB2312" w:hAnsi="Calibri" w:eastAsia="仿宋_GB2312" w:cs="仿宋_GB2312"/>
                <w:kern w:val="0"/>
                <w:sz w:val="24"/>
                <w:szCs w:val="24"/>
                <w:lang w:val="en-US" w:eastAsia="zh-CN" w:bidi="ar"/>
              </w:rPr>
              <w:t>不突破</w:t>
            </w:r>
            <w:bookmarkEnd w:id="17"/>
          </w:p>
        </w:tc>
        <w:tc>
          <w:tcPr>
            <w:tcW w:w="1088" w:type="dxa"/>
            <w:tcBorders>
              <w:top w:val="single" w:color="auto" w:sz="8" w:space="0"/>
              <w:left w:val="single" w:color="auto" w:sz="8" w:space="0"/>
              <w:bottom w:val="single" w:color="auto" w:sz="8" w:space="0"/>
              <w:right w:val="single" w:color="auto" w:sz="12"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18" w:name="_Toc12007"/>
            <w:r>
              <w:rPr>
                <w:rFonts w:hint="default" w:ascii="仿宋_GB2312" w:hAnsi="Calibri" w:eastAsia="仿宋_GB2312" w:cs="仿宋_GB2312"/>
                <w:kern w:val="0"/>
                <w:sz w:val="24"/>
                <w:szCs w:val="24"/>
                <w:lang w:val="en-US" w:eastAsia="zh-CN" w:bidi="ar"/>
              </w:rPr>
              <w:t>约束性</w:t>
            </w:r>
            <w:bookmarkEnd w:id="18"/>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71" w:hRule="atLeast"/>
          <w:jc w:val="center"/>
        </w:trPr>
        <w:tc>
          <w:tcPr>
            <w:tcW w:w="546"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宋体" w:hAnsi="宋体" w:eastAsia="宋体" w:cs="宋体"/>
                <w:sz w:val="24"/>
                <w:szCs w:val="24"/>
              </w:rPr>
            </w:pPr>
          </w:p>
        </w:tc>
        <w:tc>
          <w:tcPr>
            <w:tcW w:w="543"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19" w:name="_Toc2389"/>
            <w:r>
              <w:rPr>
                <w:rFonts w:hint="default" w:ascii="Calibri" w:hAnsi="Calibri" w:eastAsia="宋体" w:cs="Calibri"/>
                <w:kern w:val="0"/>
                <w:sz w:val="24"/>
                <w:szCs w:val="24"/>
                <w:bdr w:val="dotted" w:color="0000FF" w:sz="6" w:space="0"/>
                <w:lang w:val="en-US" w:eastAsia="zh-CN" w:bidi="ar"/>
              </w:rPr>
              <w:t>4</w:t>
            </w:r>
            <w:bookmarkEnd w:id="19"/>
          </w:p>
        </w:tc>
        <w:tc>
          <w:tcPr>
            <w:tcW w:w="2614"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20" w:name="_Toc22746"/>
            <w:r>
              <w:rPr>
                <w:rFonts w:hint="default" w:ascii="仿宋_GB2312" w:hAnsi="Calibri" w:eastAsia="仿宋_GB2312" w:cs="仿宋_GB2312"/>
                <w:kern w:val="0"/>
                <w:sz w:val="24"/>
                <w:szCs w:val="24"/>
                <w:lang w:val="en-US" w:eastAsia="zh-CN" w:bidi="ar"/>
              </w:rPr>
              <w:t>运营车辆万车死亡率</w:t>
            </w:r>
            <w:bookmarkEnd w:id="20"/>
          </w:p>
        </w:tc>
        <w:tc>
          <w:tcPr>
            <w:tcW w:w="141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default" w:ascii="Calibri" w:hAnsi="Calibri" w:eastAsia="宋体" w:cs="Calibri"/>
                <w:kern w:val="0"/>
                <w:sz w:val="24"/>
                <w:szCs w:val="24"/>
                <w:lang w:val="en-US" w:eastAsia="zh-CN" w:bidi="ar"/>
              </w:rPr>
              <w:t>——</w:t>
            </w:r>
          </w:p>
        </w:tc>
        <w:tc>
          <w:tcPr>
            <w:tcW w:w="131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21" w:name="_Toc640"/>
            <w:r>
              <w:rPr>
                <w:rFonts w:hint="default" w:ascii="Calibri" w:hAnsi="Calibri" w:eastAsia="宋体" w:cs="Calibri"/>
                <w:kern w:val="0"/>
                <w:sz w:val="24"/>
                <w:szCs w:val="24"/>
                <w:bdr w:val="dotted" w:color="0000FF" w:sz="6" w:space="0"/>
                <w:lang w:val="en-US" w:eastAsia="zh-CN" w:bidi="ar"/>
              </w:rPr>
              <w:t>0.0017</w:t>
            </w:r>
            <w:bookmarkEnd w:id="21"/>
          </w:p>
        </w:tc>
        <w:tc>
          <w:tcPr>
            <w:tcW w:w="1352"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22" w:name="_Toc382"/>
            <w:r>
              <w:rPr>
                <w:rFonts w:hint="default" w:ascii="仿宋_GB2312" w:hAnsi="Calibri" w:eastAsia="仿宋_GB2312" w:cs="仿宋_GB2312"/>
                <w:kern w:val="0"/>
                <w:sz w:val="24"/>
                <w:szCs w:val="24"/>
                <w:lang w:val="en-US" w:eastAsia="zh-CN" w:bidi="ar"/>
              </w:rPr>
              <w:t>不突破市控制指标</w:t>
            </w:r>
            <w:bookmarkEnd w:id="22"/>
          </w:p>
        </w:tc>
        <w:tc>
          <w:tcPr>
            <w:tcW w:w="1088" w:type="dxa"/>
            <w:tcBorders>
              <w:top w:val="single" w:color="auto" w:sz="8" w:space="0"/>
              <w:left w:val="single" w:color="auto" w:sz="8" w:space="0"/>
              <w:bottom w:val="single" w:color="auto" w:sz="8" w:space="0"/>
              <w:right w:val="single" w:color="auto" w:sz="12"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23" w:name="_Toc6568"/>
            <w:r>
              <w:rPr>
                <w:rFonts w:hint="default" w:ascii="仿宋_GB2312" w:hAnsi="Calibri" w:eastAsia="仿宋_GB2312" w:cs="仿宋_GB2312"/>
                <w:kern w:val="0"/>
                <w:sz w:val="24"/>
                <w:szCs w:val="24"/>
                <w:lang w:val="en-US" w:eastAsia="zh-CN" w:bidi="ar"/>
              </w:rPr>
              <w:t>约束性</w:t>
            </w:r>
            <w:bookmarkEnd w:id="23"/>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27" w:hRule="atLeast"/>
          <w:jc w:val="center"/>
        </w:trPr>
        <w:tc>
          <w:tcPr>
            <w:tcW w:w="546"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宋体" w:hAnsi="宋体" w:eastAsia="宋体" w:cs="宋体"/>
                <w:sz w:val="24"/>
                <w:szCs w:val="24"/>
              </w:rPr>
            </w:pPr>
          </w:p>
        </w:tc>
        <w:tc>
          <w:tcPr>
            <w:tcW w:w="543"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24" w:name="_Toc31090"/>
            <w:r>
              <w:rPr>
                <w:rFonts w:hint="default" w:ascii="Calibri" w:hAnsi="Calibri" w:eastAsia="宋体" w:cs="Calibri"/>
                <w:kern w:val="0"/>
                <w:sz w:val="24"/>
                <w:szCs w:val="24"/>
                <w:bdr w:val="dotted" w:color="0000FF" w:sz="6" w:space="0"/>
                <w:lang w:val="en-US" w:eastAsia="zh-CN" w:bidi="ar"/>
              </w:rPr>
              <w:t>5</w:t>
            </w:r>
            <w:bookmarkEnd w:id="24"/>
          </w:p>
        </w:tc>
        <w:tc>
          <w:tcPr>
            <w:tcW w:w="2614"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25" w:name="_Toc20359"/>
            <w:r>
              <w:rPr>
                <w:rFonts w:hint="default" w:ascii="仿宋_GB2312" w:hAnsi="Calibri" w:eastAsia="仿宋_GB2312" w:cs="仿宋_GB2312"/>
                <w:kern w:val="0"/>
                <w:sz w:val="24"/>
                <w:szCs w:val="24"/>
                <w:lang w:val="en-US" w:eastAsia="zh-CN" w:bidi="ar"/>
              </w:rPr>
              <w:t>煤矿百万吨死亡率</w:t>
            </w:r>
            <w:bookmarkEnd w:id="25"/>
          </w:p>
        </w:tc>
        <w:tc>
          <w:tcPr>
            <w:tcW w:w="141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26" w:name="_Toc15342"/>
            <w:r>
              <w:rPr>
                <w:rFonts w:hint="default" w:ascii="Calibri" w:hAnsi="Calibri" w:eastAsia="宋体" w:cs="Calibri"/>
                <w:kern w:val="0"/>
                <w:sz w:val="24"/>
                <w:szCs w:val="24"/>
                <w:bdr w:val="dotted" w:color="0000FF" w:sz="6" w:space="0"/>
                <w:lang w:val="en-US" w:eastAsia="zh-CN" w:bidi="ar"/>
              </w:rPr>
              <w:t>0</w:t>
            </w:r>
            <w:bookmarkEnd w:id="26"/>
          </w:p>
        </w:tc>
        <w:tc>
          <w:tcPr>
            <w:tcW w:w="131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27" w:name="_Toc5224"/>
            <w:r>
              <w:rPr>
                <w:rFonts w:hint="default" w:ascii="Calibri" w:hAnsi="Calibri" w:eastAsia="宋体" w:cs="Calibri"/>
                <w:kern w:val="0"/>
                <w:sz w:val="24"/>
                <w:szCs w:val="24"/>
                <w:bdr w:val="dotted" w:color="0000FF" w:sz="6" w:space="0"/>
                <w:lang w:val="en-US" w:eastAsia="zh-CN" w:bidi="ar"/>
              </w:rPr>
              <w:t>0.0098</w:t>
            </w:r>
            <w:bookmarkEnd w:id="27"/>
          </w:p>
        </w:tc>
        <w:tc>
          <w:tcPr>
            <w:tcW w:w="1352"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28" w:name="_Toc8313"/>
            <w:r>
              <w:rPr>
                <w:rFonts w:hint="default" w:ascii="仿宋_GB2312" w:hAnsi="Calibri" w:eastAsia="仿宋_GB2312" w:cs="仿宋_GB2312"/>
                <w:kern w:val="0"/>
                <w:sz w:val="24"/>
                <w:szCs w:val="24"/>
                <w:lang w:val="en-US" w:eastAsia="zh-CN" w:bidi="ar"/>
              </w:rPr>
              <w:t>控制在</w:t>
            </w:r>
            <w:bookmarkEnd w:id="28"/>
          </w:p>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29" w:name="_Toc30629"/>
            <w:r>
              <w:rPr>
                <w:rFonts w:hint="default" w:ascii="Calibri" w:hAnsi="Calibri" w:eastAsia="宋体" w:cs="Calibri"/>
                <w:kern w:val="0"/>
                <w:sz w:val="24"/>
                <w:szCs w:val="24"/>
                <w:bdr w:val="dotted" w:color="0000FF" w:sz="6" w:space="0"/>
                <w:lang w:val="en-US" w:eastAsia="zh-CN" w:bidi="ar"/>
              </w:rPr>
              <w:t>0.01</w:t>
            </w:r>
            <w:r>
              <w:rPr>
                <w:rFonts w:hint="default" w:ascii="仿宋_GB2312" w:hAnsi="Calibri" w:eastAsia="仿宋_GB2312" w:cs="仿宋_GB2312"/>
                <w:kern w:val="0"/>
                <w:sz w:val="24"/>
                <w:szCs w:val="24"/>
                <w:lang w:val="en-US" w:eastAsia="zh-CN" w:bidi="ar"/>
              </w:rPr>
              <w:t>以下</w:t>
            </w:r>
            <w:bookmarkEnd w:id="29"/>
          </w:p>
        </w:tc>
        <w:tc>
          <w:tcPr>
            <w:tcW w:w="1088" w:type="dxa"/>
            <w:tcBorders>
              <w:top w:val="single" w:color="auto" w:sz="8" w:space="0"/>
              <w:left w:val="single" w:color="auto" w:sz="8" w:space="0"/>
              <w:bottom w:val="single" w:color="auto" w:sz="8" w:space="0"/>
              <w:right w:val="single" w:color="auto" w:sz="12"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30" w:name="_Toc28675"/>
            <w:r>
              <w:rPr>
                <w:rFonts w:hint="default" w:ascii="仿宋_GB2312" w:hAnsi="Calibri" w:eastAsia="仿宋_GB2312" w:cs="仿宋_GB2312"/>
                <w:kern w:val="0"/>
                <w:sz w:val="24"/>
                <w:szCs w:val="24"/>
                <w:lang w:val="en-US" w:eastAsia="zh-CN" w:bidi="ar"/>
              </w:rPr>
              <w:t>约束性</w:t>
            </w:r>
            <w:bookmarkEnd w:id="3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38" w:hRule="atLeast"/>
          <w:jc w:val="center"/>
        </w:trPr>
        <w:tc>
          <w:tcPr>
            <w:tcW w:w="546" w:type="dxa"/>
            <w:vMerge w:val="restart"/>
            <w:tcBorders>
              <w:top w:val="single" w:color="auto" w:sz="8" w:space="0"/>
              <w:left w:val="single" w:color="auto" w:sz="12"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31" w:name="_Toc12117"/>
            <w:r>
              <w:rPr>
                <w:rFonts w:hint="default" w:ascii="仿宋_GB2312" w:hAnsi="Calibri" w:eastAsia="仿宋_GB2312" w:cs="仿宋_GB2312"/>
                <w:kern w:val="0"/>
                <w:sz w:val="24"/>
                <w:szCs w:val="24"/>
                <w:lang w:val="en-US" w:eastAsia="zh-CN" w:bidi="ar"/>
              </w:rPr>
              <w:t>自然灾害防治</w:t>
            </w:r>
            <w:bookmarkEnd w:id="31"/>
          </w:p>
        </w:tc>
        <w:tc>
          <w:tcPr>
            <w:tcW w:w="543"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32" w:name="_Toc10905"/>
            <w:r>
              <w:rPr>
                <w:rFonts w:hint="default" w:ascii="Calibri" w:hAnsi="Calibri" w:eastAsia="宋体" w:cs="Calibri"/>
                <w:kern w:val="0"/>
                <w:sz w:val="24"/>
                <w:szCs w:val="24"/>
                <w:bdr w:val="dotted" w:color="0000FF" w:sz="6" w:space="0"/>
                <w:lang w:val="en-US" w:eastAsia="zh-CN" w:bidi="ar"/>
              </w:rPr>
              <w:t>6</w:t>
            </w:r>
            <w:bookmarkEnd w:id="32"/>
          </w:p>
        </w:tc>
        <w:tc>
          <w:tcPr>
            <w:tcW w:w="2614"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33" w:name="_Toc21979"/>
            <w:r>
              <w:rPr>
                <w:rFonts w:hint="default" w:ascii="仿宋_GB2312" w:hAnsi="Calibri" w:eastAsia="仿宋_GB2312" w:cs="仿宋_GB2312"/>
                <w:kern w:val="0"/>
                <w:sz w:val="24"/>
                <w:szCs w:val="24"/>
                <w:lang w:val="en-US" w:eastAsia="zh-CN" w:bidi="ar"/>
              </w:rPr>
              <w:t>年均因自然灾害直接经济损失占区域生产总值比例</w:t>
            </w:r>
            <w:bookmarkEnd w:id="33"/>
          </w:p>
        </w:tc>
        <w:tc>
          <w:tcPr>
            <w:tcW w:w="141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34" w:name="_Toc28880"/>
            <w:r>
              <w:rPr>
                <w:rFonts w:hint="default" w:ascii="Calibri" w:hAnsi="Calibri" w:eastAsia="宋体" w:cs="Calibri"/>
                <w:kern w:val="0"/>
                <w:sz w:val="24"/>
                <w:szCs w:val="24"/>
                <w:bdr w:val="dotted" w:color="0000FF" w:sz="6" w:space="0"/>
                <w:lang w:val="en-US" w:eastAsia="zh-CN" w:bidi="ar"/>
              </w:rPr>
              <w:t>4.18</w:t>
            </w:r>
            <w:bookmarkEnd w:id="34"/>
            <w:r>
              <w:rPr>
                <w:rFonts w:hint="default" w:ascii="Calibri" w:hAnsi="Calibri" w:eastAsia="宋体" w:cs="Calibri"/>
                <w:kern w:val="0"/>
                <w:sz w:val="24"/>
                <w:szCs w:val="24"/>
                <w:lang w:val="en-US" w:eastAsia="zh-CN" w:bidi="ar"/>
              </w:rPr>
              <w:t>%※</w:t>
            </w:r>
          </w:p>
        </w:tc>
        <w:tc>
          <w:tcPr>
            <w:tcW w:w="131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default" w:ascii="Calibri" w:hAnsi="Calibri" w:eastAsia="宋体" w:cs="Calibri"/>
                <w:kern w:val="0"/>
                <w:sz w:val="24"/>
                <w:szCs w:val="24"/>
                <w:lang w:val="en-US" w:eastAsia="zh-CN" w:bidi="ar"/>
              </w:rPr>
              <w:t>——</w:t>
            </w:r>
          </w:p>
        </w:tc>
        <w:tc>
          <w:tcPr>
            <w:tcW w:w="1352"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default" w:ascii="Calibri" w:hAnsi="Calibri" w:eastAsia="宋体" w:cs="Calibri"/>
                <w:kern w:val="0"/>
                <w:sz w:val="24"/>
                <w:szCs w:val="24"/>
                <w:lang w:val="en-US" w:eastAsia="zh-CN" w:bidi="ar"/>
              </w:rPr>
              <w:t>≤0.7%※</w:t>
            </w:r>
          </w:p>
        </w:tc>
        <w:tc>
          <w:tcPr>
            <w:tcW w:w="1088" w:type="dxa"/>
            <w:tcBorders>
              <w:top w:val="single" w:color="auto" w:sz="8" w:space="0"/>
              <w:left w:val="single" w:color="auto" w:sz="8" w:space="0"/>
              <w:bottom w:val="single" w:color="auto" w:sz="8" w:space="0"/>
              <w:right w:val="single" w:color="auto" w:sz="12"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35" w:name="_Toc19310"/>
            <w:r>
              <w:rPr>
                <w:rFonts w:hint="default" w:ascii="仿宋_GB2312" w:hAnsi="Calibri" w:eastAsia="仿宋_GB2312" w:cs="仿宋_GB2312"/>
                <w:kern w:val="0"/>
                <w:sz w:val="24"/>
                <w:szCs w:val="24"/>
                <w:lang w:val="en-US" w:eastAsia="zh-CN" w:bidi="ar"/>
              </w:rPr>
              <w:t>预期性</w:t>
            </w:r>
            <w:bookmarkEnd w:id="35"/>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35" w:hRule="atLeast"/>
          <w:jc w:val="center"/>
        </w:trPr>
        <w:tc>
          <w:tcPr>
            <w:tcW w:w="546"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宋体" w:hAnsi="宋体" w:eastAsia="宋体" w:cs="宋体"/>
                <w:sz w:val="24"/>
                <w:szCs w:val="24"/>
              </w:rPr>
            </w:pPr>
          </w:p>
        </w:tc>
        <w:tc>
          <w:tcPr>
            <w:tcW w:w="543"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36" w:name="_Toc9909"/>
            <w:r>
              <w:rPr>
                <w:rFonts w:hint="default" w:ascii="Calibri" w:hAnsi="Calibri" w:eastAsia="宋体" w:cs="Calibri"/>
                <w:kern w:val="0"/>
                <w:sz w:val="24"/>
                <w:szCs w:val="24"/>
                <w:bdr w:val="dotted" w:color="0000FF" w:sz="6" w:space="0"/>
                <w:lang w:val="en-US" w:eastAsia="zh-CN" w:bidi="ar"/>
              </w:rPr>
              <w:t>7</w:t>
            </w:r>
            <w:bookmarkEnd w:id="36"/>
          </w:p>
        </w:tc>
        <w:tc>
          <w:tcPr>
            <w:tcW w:w="2614"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37" w:name="_Toc28685"/>
            <w:r>
              <w:rPr>
                <w:rFonts w:hint="default" w:ascii="仿宋_GB2312" w:hAnsi="Calibri" w:eastAsia="仿宋_GB2312" w:cs="仿宋_GB2312"/>
                <w:kern w:val="0"/>
                <w:sz w:val="24"/>
                <w:szCs w:val="24"/>
                <w:lang w:val="en-US" w:eastAsia="zh-CN" w:bidi="ar"/>
              </w:rPr>
              <w:t>年均每十万人受灾人次</w:t>
            </w:r>
            <w:bookmarkEnd w:id="37"/>
          </w:p>
        </w:tc>
        <w:tc>
          <w:tcPr>
            <w:tcW w:w="141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38" w:name="_Toc3202"/>
            <w:r>
              <w:rPr>
                <w:rFonts w:hint="default" w:ascii="Calibri" w:hAnsi="Calibri" w:eastAsia="宋体" w:cs="Calibri"/>
                <w:kern w:val="0"/>
                <w:sz w:val="24"/>
                <w:szCs w:val="24"/>
                <w:bdr w:val="dotted" w:color="0000FF" w:sz="6" w:space="0"/>
                <w:lang w:val="en-US" w:eastAsia="zh-CN" w:bidi="ar"/>
              </w:rPr>
              <w:t>12970</w:t>
            </w:r>
            <w:bookmarkEnd w:id="38"/>
          </w:p>
        </w:tc>
        <w:tc>
          <w:tcPr>
            <w:tcW w:w="131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default" w:ascii="Calibri" w:hAnsi="Calibri" w:eastAsia="宋体" w:cs="Calibri"/>
                <w:kern w:val="0"/>
                <w:sz w:val="24"/>
                <w:szCs w:val="24"/>
                <w:lang w:val="en-US" w:eastAsia="zh-CN" w:bidi="ar"/>
              </w:rPr>
              <w:t>——</w:t>
            </w:r>
          </w:p>
        </w:tc>
        <w:tc>
          <w:tcPr>
            <w:tcW w:w="1352"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default" w:ascii="Calibri" w:hAnsi="Calibri" w:eastAsia="宋体" w:cs="Calibri"/>
                <w:kern w:val="0"/>
                <w:sz w:val="24"/>
                <w:szCs w:val="24"/>
                <w:lang w:val="en-US" w:eastAsia="zh-CN" w:bidi="ar"/>
              </w:rPr>
              <w:t>≤19000※</w:t>
            </w:r>
          </w:p>
        </w:tc>
        <w:tc>
          <w:tcPr>
            <w:tcW w:w="1088" w:type="dxa"/>
            <w:tcBorders>
              <w:top w:val="single" w:color="auto" w:sz="8" w:space="0"/>
              <w:left w:val="single" w:color="auto" w:sz="8" w:space="0"/>
              <w:bottom w:val="single" w:color="auto" w:sz="8" w:space="0"/>
              <w:right w:val="single" w:color="auto" w:sz="12"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39" w:name="_Toc19345"/>
            <w:r>
              <w:rPr>
                <w:rFonts w:hint="default" w:ascii="仿宋_GB2312" w:hAnsi="Calibri" w:eastAsia="仿宋_GB2312" w:cs="仿宋_GB2312"/>
                <w:kern w:val="0"/>
                <w:sz w:val="24"/>
                <w:szCs w:val="24"/>
                <w:lang w:val="en-US" w:eastAsia="zh-CN" w:bidi="ar"/>
              </w:rPr>
              <w:t>预期性</w:t>
            </w:r>
            <w:bookmarkEnd w:id="3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37" w:hRule="atLeast"/>
          <w:jc w:val="center"/>
        </w:trPr>
        <w:tc>
          <w:tcPr>
            <w:tcW w:w="546" w:type="dxa"/>
            <w:vMerge w:val="restart"/>
            <w:tcBorders>
              <w:top w:val="single" w:color="auto" w:sz="8" w:space="0"/>
              <w:left w:val="single" w:color="auto" w:sz="12"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40" w:name="_Toc1390"/>
            <w:r>
              <w:rPr>
                <w:rFonts w:hint="default" w:ascii="仿宋_GB2312" w:hAnsi="Calibri" w:eastAsia="仿宋_GB2312" w:cs="仿宋_GB2312"/>
                <w:kern w:val="0"/>
                <w:sz w:val="24"/>
                <w:szCs w:val="24"/>
                <w:lang w:val="en-US" w:eastAsia="zh-CN" w:bidi="ar"/>
              </w:rPr>
              <w:t>应急能力</w:t>
            </w:r>
            <w:bookmarkEnd w:id="40"/>
          </w:p>
        </w:tc>
        <w:tc>
          <w:tcPr>
            <w:tcW w:w="543"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41" w:name="_Toc6340"/>
            <w:r>
              <w:rPr>
                <w:rFonts w:hint="default" w:ascii="Calibri" w:hAnsi="Calibri" w:eastAsia="宋体" w:cs="Calibri"/>
                <w:kern w:val="0"/>
                <w:sz w:val="24"/>
                <w:szCs w:val="24"/>
                <w:bdr w:val="dotted" w:color="0000FF" w:sz="6" w:space="0"/>
                <w:lang w:val="en-US" w:eastAsia="zh-CN" w:bidi="ar"/>
              </w:rPr>
              <w:t>8</w:t>
            </w:r>
            <w:bookmarkEnd w:id="41"/>
          </w:p>
        </w:tc>
        <w:tc>
          <w:tcPr>
            <w:tcW w:w="2614"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42" w:name="_Toc11991"/>
            <w:r>
              <w:rPr>
                <w:rFonts w:hint="default" w:ascii="仿宋_GB2312" w:hAnsi="Calibri" w:eastAsia="仿宋_GB2312" w:cs="仿宋_GB2312"/>
                <w:kern w:val="0"/>
                <w:sz w:val="24"/>
                <w:szCs w:val="24"/>
                <w:lang w:val="en-US" w:eastAsia="zh-CN" w:bidi="ar"/>
              </w:rPr>
              <w:t>应急管理部门专业人才占比</w:t>
            </w:r>
            <w:bookmarkEnd w:id="42"/>
          </w:p>
        </w:tc>
        <w:tc>
          <w:tcPr>
            <w:tcW w:w="141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43" w:name="_Toc29309"/>
            <w:r>
              <w:rPr>
                <w:rFonts w:hint="default" w:ascii="Calibri" w:hAnsi="Calibri" w:eastAsia="宋体" w:cs="Calibri"/>
                <w:kern w:val="0"/>
                <w:sz w:val="24"/>
                <w:szCs w:val="24"/>
                <w:bdr w:val="dotted" w:color="0000FF" w:sz="6" w:space="0"/>
                <w:lang w:val="en-US" w:eastAsia="zh-CN" w:bidi="ar"/>
              </w:rPr>
              <w:t>16</w:t>
            </w:r>
            <w:bookmarkEnd w:id="43"/>
            <w:r>
              <w:rPr>
                <w:rFonts w:hint="default" w:ascii="Calibri" w:hAnsi="Calibri" w:eastAsia="宋体" w:cs="Calibri"/>
                <w:kern w:val="0"/>
                <w:sz w:val="24"/>
                <w:szCs w:val="24"/>
                <w:lang w:val="en-US" w:eastAsia="zh-CN" w:bidi="ar"/>
              </w:rPr>
              <w:t>%</w:t>
            </w:r>
          </w:p>
        </w:tc>
        <w:tc>
          <w:tcPr>
            <w:tcW w:w="131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default" w:ascii="Calibri" w:hAnsi="Calibri" w:eastAsia="宋体" w:cs="Calibri"/>
                <w:kern w:val="0"/>
                <w:sz w:val="24"/>
                <w:szCs w:val="24"/>
                <w:lang w:val="en-US" w:eastAsia="zh-CN" w:bidi="ar"/>
              </w:rPr>
              <w:t>——</w:t>
            </w:r>
          </w:p>
        </w:tc>
        <w:tc>
          <w:tcPr>
            <w:tcW w:w="1352"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default" w:ascii="Calibri" w:hAnsi="Calibri" w:eastAsia="宋体" w:cs="Calibri"/>
                <w:kern w:val="0"/>
                <w:sz w:val="24"/>
                <w:szCs w:val="24"/>
                <w:lang w:val="en-US" w:eastAsia="zh-CN" w:bidi="ar"/>
              </w:rPr>
              <w:t>≥75%</w:t>
            </w:r>
          </w:p>
        </w:tc>
        <w:tc>
          <w:tcPr>
            <w:tcW w:w="1088" w:type="dxa"/>
            <w:tcBorders>
              <w:top w:val="single" w:color="auto" w:sz="8" w:space="0"/>
              <w:left w:val="single" w:color="auto" w:sz="8" w:space="0"/>
              <w:bottom w:val="single" w:color="auto" w:sz="8" w:space="0"/>
              <w:right w:val="single" w:color="auto" w:sz="12"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44" w:name="_Toc23608"/>
            <w:r>
              <w:rPr>
                <w:rFonts w:hint="default" w:ascii="仿宋_GB2312" w:hAnsi="Calibri" w:eastAsia="仿宋_GB2312" w:cs="仿宋_GB2312"/>
                <w:kern w:val="0"/>
                <w:sz w:val="24"/>
                <w:szCs w:val="24"/>
                <w:lang w:val="en-US" w:eastAsia="zh-CN" w:bidi="ar"/>
              </w:rPr>
              <w:t>预期性</w:t>
            </w:r>
            <w:bookmarkEnd w:id="44"/>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2" w:hRule="atLeast"/>
          <w:jc w:val="center"/>
        </w:trPr>
        <w:tc>
          <w:tcPr>
            <w:tcW w:w="546"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宋体" w:hAnsi="宋体" w:eastAsia="宋体" w:cs="宋体"/>
                <w:sz w:val="24"/>
                <w:szCs w:val="24"/>
              </w:rPr>
            </w:pPr>
          </w:p>
        </w:tc>
        <w:tc>
          <w:tcPr>
            <w:tcW w:w="543"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45" w:name="_Toc11418"/>
            <w:r>
              <w:rPr>
                <w:rFonts w:hint="default" w:ascii="Calibri" w:hAnsi="Calibri" w:eastAsia="宋体" w:cs="Calibri"/>
                <w:kern w:val="0"/>
                <w:sz w:val="24"/>
                <w:szCs w:val="24"/>
                <w:bdr w:val="dotted" w:color="0000FF" w:sz="6" w:space="0"/>
                <w:lang w:val="en-US" w:eastAsia="zh-CN" w:bidi="ar"/>
              </w:rPr>
              <w:t>9</w:t>
            </w:r>
            <w:bookmarkEnd w:id="45"/>
          </w:p>
        </w:tc>
        <w:tc>
          <w:tcPr>
            <w:tcW w:w="2614"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46" w:name="_Toc31188"/>
            <w:r>
              <w:rPr>
                <w:rFonts w:hint="default" w:ascii="仿宋_GB2312" w:hAnsi="Calibri" w:eastAsia="仿宋_GB2312" w:cs="仿宋_GB2312"/>
                <w:kern w:val="0"/>
                <w:sz w:val="24"/>
                <w:szCs w:val="24"/>
                <w:lang w:val="en-US" w:eastAsia="zh-CN" w:bidi="ar"/>
              </w:rPr>
              <w:t>综合性消防救援人员占全</w:t>
            </w:r>
            <w:bookmarkEnd w:id="46"/>
            <w:r>
              <w:rPr>
                <w:rFonts w:hint="default" w:ascii="仿宋_GB2312" w:hAnsi="Calibri" w:eastAsia="仿宋_GB2312" w:cs="仿宋_GB2312"/>
                <w:kern w:val="0"/>
                <w:sz w:val="24"/>
                <w:szCs w:val="24"/>
                <w:lang w:val="en-US" w:eastAsia="zh-CN" w:bidi="ar"/>
              </w:rPr>
              <w:t>旗总人口的比例</w:t>
            </w:r>
          </w:p>
        </w:tc>
        <w:tc>
          <w:tcPr>
            <w:tcW w:w="141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47" w:name="_Toc12217"/>
            <w:r>
              <w:rPr>
                <w:rFonts w:hint="default" w:ascii="Calibri" w:hAnsi="Calibri" w:eastAsia="仿宋_GB2312" w:cs="Calibri"/>
                <w:kern w:val="0"/>
                <w:sz w:val="24"/>
                <w:szCs w:val="24"/>
                <w:lang w:val="en-US" w:eastAsia="zh-CN" w:bidi="ar"/>
              </w:rPr>
              <w:t>3.64</w:t>
            </w:r>
            <w:bookmarkEnd w:id="47"/>
            <w:r>
              <w:rPr>
                <w:rFonts w:hint="default" w:ascii="Calibri" w:hAnsi="Calibri" w:eastAsia="宋体" w:cs="Calibri"/>
                <w:kern w:val="0"/>
                <w:sz w:val="24"/>
                <w:szCs w:val="24"/>
                <w:lang w:val="en-US" w:eastAsia="zh-CN" w:bidi="ar"/>
              </w:rPr>
              <w:t>‰</w:t>
            </w:r>
          </w:p>
        </w:tc>
        <w:tc>
          <w:tcPr>
            <w:tcW w:w="131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default" w:ascii="Calibri" w:hAnsi="Calibri" w:eastAsia="宋体" w:cs="Calibri"/>
                <w:kern w:val="0"/>
                <w:sz w:val="24"/>
                <w:szCs w:val="24"/>
                <w:lang w:val="en-US" w:eastAsia="zh-CN" w:bidi="ar"/>
              </w:rPr>
              <w:t>——</w:t>
            </w:r>
          </w:p>
        </w:tc>
        <w:tc>
          <w:tcPr>
            <w:tcW w:w="1352" w:type="dxa"/>
            <w:tcBorders>
              <w:top w:val="single" w:color="auto" w:sz="8" w:space="0"/>
              <w:left w:val="single" w:color="auto" w:sz="8" w:space="0"/>
              <w:bottom w:val="single" w:color="auto" w:sz="8"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48" w:name="_Toc16207"/>
            <w:r>
              <w:rPr>
                <w:rFonts w:hint="default" w:ascii="仿宋_GB2312" w:hAnsi="Calibri" w:eastAsia="仿宋_GB2312" w:cs="仿宋_GB2312"/>
                <w:kern w:val="0"/>
                <w:sz w:val="24"/>
                <w:szCs w:val="24"/>
                <w:lang w:val="en-US" w:eastAsia="zh-CN" w:bidi="ar"/>
              </w:rPr>
              <w:t>不低于市级指标</w:t>
            </w:r>
            <w:bookmarkEnd w:id="48"/>
          </w:p>
        </w:tc>
        <w:tc>
          <w:tcPr>
            <w:tcW w:w="1088" w:type="dxa"/>
            <w:tcBorders>
              <w:top w:val="single" w:color="auto" w:sz="8" w:space="0"/>
              <w:left w:val="single" w:color="auto" w:sz="8" w:space="0"/>
              <w:bottom w:val="single" w:color="auto" w:sz="8" w:space="0"/>
              <w:right w:val="single" w:color="auto" w:sz="12"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49" w:name="_Toc5300"/>
            <w:r>
              <w:rPr>
                <w:rFonts w:hint="default" w:ascii="仿宋_GB2312" w:hAnsi="Calibri" w:eastAsia="仿宋_GB2312" w:cs="仿宋_GB2312"/>
                <w:kern w:val="0"/>
                <w:sz w:val="24"/>
                <w:szCs w:val="24"/>
                <w:lang w:val="en-US" w:eastAsia="zh-CN" w:bidi="ar"/>
              </w:rPr>
              <w:t>预期性</w:t>
            </w:r>
            <w:bookmarkEnd w:id="4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51" w:hRule="atLeast"/>
          <w:jc w:val="center"/>
        </w:trPr>
        <w:tc>
          <w:tcPr>
            <w:tcW w:w="546"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宋体" w:hAnsi="宋体" w:eastAsia="宋体" w:cs="宋体"/>
                <w:sz w:val="24"/>
                <w:szCs w:val="24"/>
              </w:rPr>
            </w:pPr>
          </w:p>
        </w:tc>
        <w:tc>
          <w:tcPr>
            <w:tcW w:w="543" w:type="dxa"/>
            <w:tcBorders>
              <w:top w:val="single" w:color="auto" w:sz="8" w:space="0"/>
              <w:left w:val="single" w:color="auto" w:sz="8" w:space="0"/>
              <w:bottom w:val="single" w:color="auto" w:sz="12"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50" w:name="_Toc5"/>
            <w:r>
              <w:rPr>
                <w:rFonts w:hint="default" w:ascii="Calibri" w:hAnsi="Calibri" w:eastAsia="宋体" w:cs="Calibri"/>
                <w:kern w:val="0"/>
                <w:sz w:val="24"/>
                <w:szCs w:val="24"/>
                <w:bdr w:val="dotted" w:color="0000FF" w:sz="6" w:space="0"/>
                <w:lang w:val="en-US" w:eastAsia="zh-CN" w:bidi="ar"/>
              </w:rPr>
              <w:t>10</w:t>
            </w:r>
            <w:bookmarkEnd w:id="50"/>
          </w:p>
        </w:tc>
        <w:tc>
          <w:tcPr>
            <w:tcW w:w="2614" w:type="dxa"/>
            <w:tcBorders>
              <w:top w:val="single" w:color="auto" w:sz="8" w:space="0"/>
              <w:left w:val="single" w:color="auto" w:sz="8" w:space="0"/>
              <w:bottom w:val="single" w:color="auto" w:sz="12"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51" w:name="_Toc6590"/>
            <w:r>
              <w:rPr>
                <w:rFonts w:hint="default" w:ascii="仿宋_GB2312" w:hAnsi="Calibri" w:eastAsia="仿宋_GB2312" w:cs="仿宋_GB2312"/>
                <w:kern w:val="0"/>
                <w:sz w:val="24"/>
                <w:szCs w:val="24"/>
                <w:lang w:val="en-US" w:eastAsia="zh-CN" w:bidi="ar"/>
              </w:rPr>
              <w:t>灾害事故发生后受灾人员基本生活得到有效救助时间</w:t>
            </w:r>
            <w:bookmarkEnd w:id="51"/>
          </w:p>
        </w:tc>
        <w:tc>
          <w:tcPr>
            <w:tcW w:w="1416" w:type="dxa"/>
            <w:tcBorders>
              <w:top w:val="single" w:color="auto" w:sz="8" w:space="0"/>
              <w:left w:val="single" w:color="auto" w:sz="8" w:space="0"/>
              <w:bottom w:val="single" w:color="auto" w:sz="12"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default" w:ascii="Calibri" w:hAnsi="Calibri" w:eastAsia="宋体" w:cs="Calibri"/>
                <w:kern w:val="0"/>
                <w:sz w:val="24"/>
                <w:szCs w:val="24"/>
                <w:lang w:val="en-US" w:eastAsia="zh-CN" w:bidi="ar"/>
              </w:rPr>
              <w:t>——</w:t>
            </w:r>
          </w:p>
        </w:tc>
        <w:tc>
          <w:tcPr>
            <w:tcW w:w="1315" w:type="dxa"/>
            <w:tcBorders>
              <w:top w:val="single" w:color="auto" w:sz="8" w:space="0"/>
              <w:left w:val="single" w:color="auto" w:sz="8" w:space="0"/>
              <w:bottom w:val="single" w:color="auto" w:sz="12"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default" w:ascii="Calibri" w:hAnsi="Calibri" w:eastAsia="宋体" w:cs="Calibri"/>
                <w:kern w:val="0"/>
                <w:sz w:val="24"/>
                <w:szCs w:val="24"/>
                <w:lang w:val="en-US" w:eastAsia="zh-CN" w:bidi="ar"/>
              </w:rPr>
              <w:t>——</w:t>
            </w:r>
          </w:p>
        </w:tc>
        <w:tc>
          <w:tcPr>
            <w:tcW w:w="1352" w:type="dxa"/>
            <w:tcBorders>
              <w:top w:val="single" w:color="auto" w:sz="8" w:space="0"/>
              <w:left w:val="single" w:color="auto" w:sz="8" w:space="0"/>
              <w:bottom w:val="single" w:color="auto" w:sz="12" w:space="0"/>
              <w:right w:val="single" w:color="auto" w:sz="8" w:space="0"/>
            </w:tcBorders>
            <w:shd w:val="clear" w:color="auto" w:fill="auto"/>
            <w:tcMar>
              <w:top w:w="13" w:type="dxa"/>
              <w:left w:w="13" w:type="dxa"/>
              <w:bottom w:w="0" w:type="dxa"/>
              <w:right w:w="13"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r>
              <w:rPr>
                <w:rFonts w:hint="default" w:ascii="Calibri" w:hAnsi="Calibri" w:eastAsia="宋体" w:cs="Calibri"/>
                <w:kern w:val="0"/>
                <w:sz w:val="24"/>
                <w:szCs w:val="24"/>
                <w:lang w:val="en-US" w:eastAsia="zh-CN" w:bidi="ar"/>
              </w:rPr>
              <w:t>≤10</w:t>
            </w:r>
          </w:p>
        </w:tc>
        <w:tc>
          <w:tcPr>
            <w:tcW w:w="1088" w:type="dxa"/>
            <w:tcBorders>
              <w:top w:val="single" w:color="auto" w:sz="8" w:space="0"/>
              <w:left w:val="single" w:color="auto" w:sz="8" w:space="0"/>
              <w:bottom w:val="single" w:color="auto" w:sz="12" w:space="0"/>
              <w:right w:val="single" w:color="auto" w:sz="12"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52" w:name="_Toc28353"/>
            <w:r>
              <w:rPr>
                <w:rFonts w:hint="default" w:ascii="仿宋_GB2312" w:hAnsi="Calibri" w:eastAsia="仿宋_GB2312" w:cs="仿宋_GB2312"/>
                <w:kern w:val="0"/>
                <w:sz w:val="24"/>
                <w:szCs w:val="24"/>
                <w:lang w:val="en-US" w:eastAsia="zh-CN" w:bidi="ar"/>
              </w:rPr>
              <w:t>预期性</w:t>
            </w:r>
            <w:bookmarkEnd w:id="52"/>
          </w:p>
        </w:tc>
      </w:tr>
    </w:tbl>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第三章 主要任务</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第一节 健全应急责任体系，提升统筹协调能力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完善应急组织体系。一是健全应急指挥机构。推动安全生产、自然灾害、公共卫生、社会安全等领域的专项协调或组织指挥机构有效运行，完善运行机制，强化人员保障，统筹应对各类突发事件，形成统一指挥、上下联动、权责一致、权威高效的应急组织体系。深化推进安委会组织体系建设，厘清综合监管和行业监管职责，充分发挥安委会等议事协调机构牵头抓总、统筹协调、指导督促作用，配强人员力量，推动安委办有效运行。推动各级各部门履职尽责。按照分级负责、属地管理的原则，进一步理顺防汛抗旱、森林草原防灭火、抗震救灾等指挥机制，明确各类灾害事故应急响应程序。二是完善综合行政执法体制。深入贯彻落实《关于深化应急管理综合行政执法改革的意见》（中办发〔2020〕35号）、《关于加强安全生产执法工作的意见》（应急〔2021〕23号）等要求，加快形成应急管理综合行政执法体系，优化应急管理部门内设机构和综合行政执法队伍协调联动机制，提高监管执法效能。依法依规明确执法管辖权限，确定执法管辖企业名单，原则上一家企业对应一个层级的执法主体。合理划分应急管理执法职责，苏木镇、工业园区（经济开发区）按照授权依法履行安全生产监督管理职责。探索建立苏木镇、工业园区（经济开发区）安全生产、防灾减灾救灾、应急救援等应急管理工作检查与旗级专业执法协调配合机制。完善安全生产与消防联合执法机制，实现优势互补、信息共享，凝聚监管执法合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强化应急管理责任落实。一是严格落实党政领导干部责任。将应急管理工作纳入地方高质量发展、平安建设、部门绩效、领导干部政绩等考核内容，持续优化考核权重，综合运用约谈、警示、通报和考核巡查等手段，强化职责落实情况的考核评估和考核结果运用。严格落实“党政同责、一岗双责、齐抓共管、失职追责”，压实党委政府主要负责人、班子其他成员的安全生产工作责任。党委政府定期专题研究安全生产、防灾减灾救灾等应急管理工作，及时协调解决重点难点问题，切实落实重大安全风险防控责任。二是严格落实行业部门监管责任。坚持“管行业必须管安全、管业务必须管安全、管生产经营必须管安全”和“谁主管谁负责”的原则，进一步厘清安全生产综合监管与行业监管的关系，修订完善《杭锦旗有关部门和单位安全生产工作职责规定》，依据《中华人民共和国安全生产法》细化完善负有安全生产监督管理职责部门的安全生产权力清单和责任清单。从行业规划、产业政策、法规标准、行政许可等方面加强行业安全生产工作，建立部门监管职责动态完善机制，加强新产业、新业态、新领域安全监管，消除监管盲区。完善危险化学品安全监管机制，理顺危险废物、新型燃料、人员密集场所等行业领域安全监管职责，强化对客运索道、大型游乐设施等特种设备的安全监察。统筹推进行业部门落实自然灾害防治责任，健全风险提示单、整改报告单等督导落实制度，提升灾害风险防范化解能力和救早救小处置能力。综合运用巡查、督查等手段，强化相关职责落实情况的监督考核。三是严格落实企业主体责任。贯彻《中华人民共和国安全生产法》，严格落实《内蒙古自治区落实生产经营单位安全生产主体责任规定》（内政办发〔2018〕49号），深化全员安全生产责任制，落实企业法定代表人、实际控制人、主要负责人安全生产第一责任人的责任，加强安全生产标准化和信息化建设，构建安全风险分级管控和隐患排查治理双重预防机制，提高防控能力，防范化解重大风险。督促企业加大对安全生产资金、物资、技术、人员的投入保障力度，改善安全生产条件，依法依规制定生产安全事故应急预案，与政府及相关部门应急预案相衔接，配备应急救援器材和装备，定期组织演练，切实做到安全责任、安全管理、安全投入、安全培训、应急救援“五到位”。制定实施企业安全生产风险报告规定，完善企业安全生产管理团队，推动危险化学品、矿山等重点行业领域企业依法依规设置安全生产管理机构，配备专职安全生产管理人员和注册安全工程师，推动国有企业和规模以上工业、交通运输、建筑施工等行业企业设立安全总监，增强安全生产专业保障能力，强化安全承诺、舆论监督等措施。</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深化应急管理统筹机制。一是完善信息统筹机制。健全上下联动、部门协同的应急指挥机制，加强综合信息指挥平台（室）的统筹，实行一体化协同，可视化双向互动指挥调度系统全面建立；构建常态化管理与应急管理动态衔接的信息管理机制，规范突发事件信息报告和发布，推进各职能部门平台信息共建共享，与党委政府紧急信息报送全面融合，有效实现对各类突发事件应急处置统一指挥、协同联动。健全突发事件信息发布和舆论引导机制，建立舆情监测、研判和处置机制，及时回应社会关切。二是健全研判会商机制。全面构建行业部门、专家团队、地方政府等多方参与的研判会商平台，完善工作规程，健全工作机制。定期开展安全生产、自然灾害风险形势综合研判，落实汛期、节假日等重要节点加密会商制度。发挥各行业部门专业技术优势开展灾害事故发生规律、分布特点及衍生关系研究，及时预测趋势、研判风险。三是规范复盘评估机制。建立健全重大灾害事故复盘评估规范，针对灾害事故等级分级分类开展调查评估，形成属地政府、职能部门、议事协调机构、权威专家共同参与的复盘评估体系。强化复盘评估结果运用，查找灾害事故防范短板，吸取教训，推进政策、制度、标准、技术等深层次整改提升，切实增强灾害事故科学防控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第二节 构建风险管控体系，提升防范治理能力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注重风险源头预防管控。一是强化规划管控。完善国土空间等规划安全风险评估会商机制，强化城市防灾减灾基础设施用地保障，完善应急避难场所规划，加快形成有效防控重大安全风险的城市空间格局、产业结构和生产生活方式布局。深化自然灾害综合防治区划和分灾种防治区划，科学设置高危行业产能的生产区域、储存场所、经营市场和运输干道，严格控制区域风险等级及风险容量。完善位置相邻、行业相近、业态相似的企业和区域重大安全风险联防联控机制。二是严格安全准入。严格执行危险化学品、矿山等“禁限控”目录，严格产业园区空间和安全准入管理，从严审批高危行业领域建设项目。健全重大项目决策安全风险论证机制，完善建设项目安全设施、“三同时”制度。加强危险工艺安全风险评估和重点安全生产设备、设施、仪器仪表检测检验，持续推动安全生产落后技术、工艺、材料和设备淘汰。</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提高风险辨识评估水平。一是推进风险普查与隐患排查。全面开展自然灾害综合风险普查，建立灾害风险数据库，加强普查数据应用，推进灾害风险精准治理；到2022年完成重点区域灾害综合风险图、综合风险区划图、综合防治区划图绘制。开展企业安全生产风险普查，辨识生产工艺、设备设施、作业环境和管理体系等方面存在的安全风险，规范安全生产隐患排查治理标准，全面建立企业安全生产风险常普常新机制，动态识别更新各类安全风险隐患。二是加强综合风险评估。优化风险评估指标体系，建立安全生产和自然灾害综合风险评估技术标准、工作规范和模型参数库。聚焦地质灾害、小流域山洪、城市内涝等重点领域，科学划定自然灾害风险类型、等级和区域。聚焦道路运输、消防、危险化学品、建筑施工、工矿、旅游和城市运行等易发生群死群伤重点领域，绘制企业安全生产风险红橙黄蓝“四色图”，形成安全风险链条、防控清单和责任清单。三是强化风险动态管理。完善重大风险和隐患清单式的防控治理机制，根据风险分布图实施分类管理，推动风险管控责任落实。健全自然灾害、安全生产和城市安全风险动态管理机制，完善落实重大风险排查日志制度、重大隐患报告制度、隐患动态销号制度，实现各类风险识别、评估、监测、预警、处置等全过程动态管理。</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提升风险监测预警能力。一是建设风险综合感知网络。利用物联网、卫星遥感等技术，推进重点领域安全风险感知网络建设，重点加强城市安全行业领域，按照《城市安全风险综合监测预警平台建设指南（试行）》（安委办函〔2021〕45号）要求，推进全旗城市安全风险综合监测预警平台建设，汇聚燃气、供水、排水、热力、桥梁、综合管廊等城市生命线工程及消防、交通、特种设备等城市风险感知数据，实现城市安全运行状况实时监测预警。落实《大型群众性活动安全管理条例》等法规，采用热力图、流量技术系统等科技手段，开展车站、地下空间、商场超市、城市综合体等重点人员密集场所和大型群众性活动场所的大客流监测预警，建立应急管控处置机制。强化重大危险源安全监测网络，优化水旱、气象、地质和农业等灾害监测核心基础站点和常规观测站点布局，形成一体化全覆盖的事故灾害风险智能监测感知网络。加快推进卫星林火监测和瞭望监测系统建设。二是提高灾害风险预报精准度。加强监测站点与地质灾害、水文预报关联度研究，开展自然灾害风险大数据分析，细化预报颗粒度、提升预报精准度。三是提升风险及时预警能力。依托自然灾害和安全生产综合监测预警信息平台，拓展预警场景应用，建立安全风险综合研判和分级预警模型，提升灾害事故分析研判、预警能力。拓宽预警信息发布渠道，充分运用政务新媒体、电视、手机、广播、网络等途径及时发布权威信息，提高灾害预警信息发布公众覆盖率至90%以上。</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重大安全风险管控。一是提升本质安全水平。严格安全生产准入，实施市场安全准入负面清单制度，落实国家、自治区“禁限控”目录。建立安全生产条件不达标企业退出和落后产能化解机制，加快淘汰矿山、危险化学品、工贸等行业领域的落后产能，强制淘汰不符合安全生产强制标准的工艺技术装备和材料。严格落实国家、自治区新建化工项目准入条件，严控自动化水平低、安全风险高的项目落户。改善企业安全条件。严格高危行业领域企业主要负责人、安全生产管理人员和特种作业人员等的考核，落实生产安全事故重大责任人员职业和行业禁入制度。开展煤矿、非煤矿山、危险化学品、工贸、城镇燃气、建筑施工、交通运输等重点行业领域关键岗位人员职业安全技能提升专项行动。建立健全企业安全生产标准化动态监管机制，加快推进重点行业领域企业安全生产标准化达标升级，推动标准化创建工作向工商贸小微企业延伸与拓展。落实安全生产重要设备设施、仪器仪表检测检验及管理制度。持续深化危险岗位的机械化换人、自动化减人示范建设，以机械化生产替换人工作业、以自动化控制减少人为操作，降低高危岗位现场作业人员数量。二是推进“工业互联网+安全生产”行动计划，加快重点行业工业互联网平台建设。完善危险化学品、矿山、工贸、道路交通等重点行业领域安全监测传输网络，统一接入综合信息管理平台，实现政府在线监管执法、企业在线监测预警一体化，提升重大安全风险防控能力。完成“工业互联网+危化安全生产”试点建设，提升安全生产风险感知评估、监测预警和响应处置能力。推进绿色智能安全生产专项行动，大力推广新技术新装备，推动实施智能化工厂、数字化车间试点示范，推进高危行业产业集群智能化改造。深化企业安全生产标准化建设，严格落实企业标准化创建、复评、退出等机制。三是实现隐患精准排查治理。建立推进隐患排查治理工作制度化、规范化、常态化的长效机制。指导和督促企业健全事故隐患排查治理制度，制定隐患排查清单，明确隐患排查、治理、通报、报告等重点环节的程序与方式，细化隐患排查的事项、内容和频次，推动全员落实隐患排查治理责任。落实重大事故隐患排查治理情况向负有安全生产监督管理职责的部门和企业职代会“双报告”制度。建立行业主管部门和综合监管部门组织、专家参与、专业化排查的工作机制，强化重点行业领域隐患排查治理。全面排查治理可能造成重特大事故的领域、环节、重大危险源，加大对重点行业领域企业复产复工、夏季汛期等特殊时段、重要时节的排查整治力度。建立企业与政府监管部门安全生产信息共享、多级多方联动的事故隐患数据库，完善隐患排查治理信息管理系统，综合分析研判各类事故隐患，实现动态分析、全过程记录管理和评价，防止漏管失控。健全重大事故隐患治理挂牌督办制度，强化重大事故隐患治理全程督办，实行重大隐患治理逐级挂牌督办和整改效果评价，规范重大事故隐患治理档案管理。完善灾害事故直报制度，建立灾害事故调查评估机制，推进事故责任追究和整改措施落实情况评估。督促企业建立岗位自查、班组日常巡查、车间定期检查、企业落实治理整改的隐患排查治理工作机制，实现隐患排查、登记、治理、报告、销号闭环管理。完善事故隐患举报奖励制度，拓展事故隐患举报渠道，依法保护举报人合法权益。四是推进安全生产重点领域专项整治。深入开展安全生产集中整治三年行动，推进“1+2+12”（一个方案，两个专题，十二个专项）专题专项整治，综合运用安全生产大检查、事故查处、技术改造、联合执法等手段加强全方位安全监管和隐患整治，落实不具备安全条件的企业强制退出机制，有效防范和遏制各类事故发生。</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1.煤矿。推广煤矿安全质量标准化、精细化管理、闭环管理等先进管理理念和方法，推进煤矿安全规范化、标准化管理，规范生产行为，使各生产环节符合有关安全生产法律法规和标准规范的要求。深化以一线班组建设为重点的企业达标、专业达标和岗位达标，突出现场管理，夯实安全基础；完善风险预控和隐患排查治理体系。树立风险预控理念，建立完善煤矿风险分级管控与隐患排查治理双预防机制。建立煤矿企业事故隐患自查、自报、自改的闭环管理和政府抽查执法制度；深化重大灾害治理，落实“十六字”（预测预报、有疑必探、先探后掘、先治后采）原则和“五项”（防、堵、疏、排、截）综合治理措施，强化基础、技术、现场和应急“四项管理”（报、抢、撤、避）；强化事故应急管理。提升煤矿事故应急处置能力。建立健全煤矿企业应急救援组织，完善规章制度和应急救援预案，储备应急救援物资和装备。规范煤矿应急预案编制内容，加强预案审查。推动煤矿加强专（兼）职矿山救护队建设，落实预案管理和响应责任。</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2.非煤矿山。贯彻落实非煤矿山安全生产“双十条”等法规制度，开展全旗非煤矿山基本数据与灾害因素普查，健全完善非煤矿山基本情况及重大隐患数据库。积极推动“五化”（规模化、标准化、机械化、信息化和科学化）矿山建设。对矿山基本生产系统定期开展安全可靠性评估，对矿山在用的关键设施定期进行检测检验，强制淘汰落后工艺设备。推进金属非金属矿山整治关闭工作，督促落实金属非金属矿山第一批和第二批禁止使用的设备及工艺目录。开展外包工程专项整治，强化发包单位安全职责落实，审核承包单位安全生产许可证和相应资质、安全生产管理协议，严格对外包工程实施安全生产监督管理，严密管控重大安全风险，强化油气增储扩能安全生产保障措施落实。</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3.危险化学品。实行新建危险化学品企业进入化工园区制度，推行化工园区区域性安全评价制度，实现化工园区安全合理布局。按照《危险化学品企业安全风险隐患排查治理导则》要求，推进风险排查管控和隐患排查治理常态化。加快推进“机械化换人、自动化减人、独栋厂房限人、二道门防人”工程，推广应用机械化、自动化生产设备设施和新工艺、新技术，最大限度减少作业场所人数，提升危险化学品企业本质安全水平。持续推进危险化学品“两重点一重大”生产装置、储存设施可燃气体和有毒气体泄漏检测报警装置、紧急切断装置、自动化控制系统建设。加快涉及硝化、氟化、氯化、重氮化、过氧化等高危工艺装置的上下游配套设施自动化控制改造升级。强化危险化学品运输、使用和废弃处置安全管理。严格危险化学品道路运输和水上运输许可、运输工具管理、相关人员资格认定管理。严格特大型公路桥梁、饮用水源地危险货物运输车辆通行管控，加强铁路站场等危险货物配套危险化学品储存场所的安全管理。推动化工园区内具有上下游产业链关联的企业运用管道输送代替道路运输，有危险化学品车辆聚集较大安全风险的化工园区建设符合标准规范的危险化学品车辆专用停车场。督促企业加强油气长输管道完整性管理，强化高后果区管控。全面开展废弃危险化学品等危险废物排查整治。督促相关企业及医院、学校、科研机构等使用危险化学品的单位建立危险化学品安全管理制度，确保危险化学品使用安全。加强动火及进入受限空间等特殊作业的风险分析、审批、执行和现场安全管理，重视检维修和开停车的安全管理，加强试生产各环节的安全管理。持续推进危险化学品企业风险评估及分级分类监管，加强新上项目安全论证、设计审查等源头风险防控。建立工业安全仪表安全标志安全认证制度，推广实行在役安全仪表系统评估机制，建立重点设备、设施定期巡检制度，加快淘汰落后工艺和设备。</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4.工贸行业。全面加强对工贸行业中小企业的安全基础管理和执法检查，夯实安全生产管理基础。继续实施冶金、建材、机械、轻工、纺织、烟草等行业事故隐患专项治理，重点强化对液氨、液氯、煤气、易燃爆有机溶剂、易燃爆粉尘、高温金属液体、有限空间、交叉作业等部位、场所和外围外包工程的监督。摸清工贸行业危险化学品重大危险源的底数，登记建档，并按照国家有关规定，监督企业配齐安全监控检测设施，开展报警与安全连锁专项改造，分级治理，跟踪督办。监督企业落实各项粉尘防爆措施，制定粉尘清扫制度，作业现场积尘及时规范清理。完善有限空间、动火、高处、能源介质停送等较大危险作业和检修、维修作业审批管理制度，实施工作票（作业票）和操作票管理，严格履行内部审批手续。积极开展安全生产标准化达标升级工作，严格建设项目安全设施“三同时”的监管和危险化学品许可的监管，淘汰落后工艺设备，推行安全、先进适用技术和装备，提高自动化程度。</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5.油气长输管道。落实油气长输管道安全主体责任，集中力量开展油气输送管道隐患整治攻坚战。集中开展油气输送管道领域“打非治违”专项行动，打击破坏损害油气输送管道及其附属设施行为，整治管道周边乱建乱挖乱钻及管道超期未检等问题。</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6.城市建设。将韧性城市理念贯穿城市生命周期全过程，完善城市安全风险防控体系。制定加强城市地下空间利用和市政基础设施安全管理的指导意见，推动城市地下基础设施信息及监测预警管理平台建设。加强城市道路桥梁（隧道）、照明、供水、排水、热力等基础设施的安全管理，将城市管网规划建设纳入城乡发展总体规划中，将消防公共基础设施建设纳入城市管网建设，建立城市管网安全风险评估机制。做好城市地下管网普查，完善各类管网安全运行管理制度，强化城乡管线、建设和维护的统筹管理，积极推动地下综合管廊建设。加大供气、供水、供电、供热、通讯、排水等各类管线设施的安全保护力度。开展各项管线设施安全专项整治和日常巡查，加大对各类管线设施的占压、损坏、偷盗等行为的联合整治力度。推进穿越城市密集区、危险性较大的地下管线的调整搬迁工作，明确产权单位的安全管理责任，加大巡查检查力度，确保管网运行安全。强化农村牧区房屋安全隐患排查整治，实施农村牧区六类重点对象住房安全动态检测，将鉴定为C、D级的房屋纳入年度危房改造计划并实施改造。定期开展城市安全风险评估、应急能力评估，提升城市安全风险防控和应急救援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7.道路交通。加强对事故多发路段和公路危险路段的综合治理，完善客货运输驾驶人和危化品运输从业人员资格培训制度和管理制度，落实长途客货运输车辆驾驶员强制休息制度。实施智慧交通平台升级建设，提升信息技术在城市公共交通安全管理和应急协调中的应用。加强客货车安全源头整治，强化市场准入管理，依法依规淘汰隐患问题车辆，提升客货车安全水平。开展隐患车辆专项整治，全面排查“两客一危一货”和专用车辆，整治车辆维修企业和非法改装站点，消除货车非法改装、“大吨小标”等违法违规问题。开展常压液体危险货物罐车专项治理，稳步推进超长平板半挂车和超长集装箱半挂车治理。深化货车超限超载治理，落实高速公路收费站入口称重和违法超限超载禁入，深化“百吨王”专项整治。严格危险货物运输安全监管，构建危险货物托运、承运、装卸、车辆运行等全链条安全监管体系。强化旅游客运安全监管，严禁租用不具备资质的客车，严查违法包车非法载客等行为。严格长途客运安全管理，加强长途客运班车和省际包车安全监管。严查校车未取得许可、超员超速、不按审核路线行驶以及社会车辆不礼让校车等违法行为，严治“黑校车”。完善道路安全防护保障，推进农牧区道路安全设施建设。严格落实“一船一证”和船员持证上岗制度，坚决杜绝渔船“带病”作业。加强渔船安全、消防、救生等设施设备升级改造，提升渔船安全出行水平。清理涉渔“三无”船舶，打击“船证不符”“大机小标”等行为。加强渔船集中停泊点的基础设施建设，规范渔船停泊秩序，提升停泊点安全停泊避风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8.建筑施工。严格落实房屋建筑和市政基础设施工程施工安全要求，加强和规范安全监督及工作程序，强化各参建单位主体责任。加大施工安全执法督查力度，督促旗城乡建设主管部门、建筑安全监督机构和工程建设参建各方主体认真贯彻落实国家、自治区、市安全生产法律法规和决策部署，深入推进建筑市场和施工现场“两场”联动，大力开展打非治违工作，重点对危险性较大的分部分项工程、重大工程、重点地区、高风险时段、高支模、深基坑、起重机械、人防工程、施工现场安全生产管理人员在岗履责、特种作业人员持证上岗等进行专项整治。强化建设施工现场安全管理，对临边、洞口、攀登、悬空和交叉作业部位等区域实施重点防护。加强建筑市场诚信体系建设，健全“黑名单”公告制度，通过信息化平台及时曝光存在违法生产行为、重大安全生产隐患和发生安全生产责任事故的企业及法定代表人。开展全旗建筑施工安全监管人员业务培训，全力推进建筑安全生产标准化工作，推广应用起重设备安全监控、工地视频监控等技术装备，努力减少一般事故，坚决遏制较大以上事故发生。</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9.消防（火灾）。建立与市场经济发展相适应的消防安全管理体系，推动各级政府、机关、团体、企事业单位落实消防安全责任，提高社会消防安全管理和火灾隐患治理水平，确保火灾形势持续平稳，坚决遏制重特大火灾尤其是群死群伤火灾发生。编制、修订、实施好城乡消防规划，加强公共消防基础设施建设和维护管理。消防站建设满足全旗灭火救援需要，市政消火栓建设率2025年达到100%，农村公共消防基础设施建设纳入新农村建设总体规划，同步建设，同步发展。消防站建设、消防车辆器材装备达到国家标准，加强灭火和应急救援队伍建设，满足应急救援工作需要。加强多种形式消防力量建设，规范合同制消防员招收、管理和使用，政府、企业专兼职消防力量和农村、社区志愿消防力量建设全面推进，健全完善覆盖城乡的消防力量体系。进一步完善消防事业经费保障机制，提高全旗消防经费保障水平，进一步落实国民消防宣传教育培训纲要，将消防法律法规、火灾预防知识、火灾扑救、疏散逃生和自防自救知识纳入全民安全教育培训内容，单位消防安全责任人、管理人和特殊工种从业人员的消防安全培训率2025年达到100%。</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10.烟花爆竹。加强对烟花爆竹经营、运输、储存和燃放环节的安全管理。实施礼花弹专项治理，加强礼花弹流向动态监管。继续整顿规范烟花爆竹经营单位，深化烟花爆竹存储、防爆、防火、防雷、防静电专项治理，进一步完善烟花爆竹经营许可、运输配送和定点销售制度。加大联合执法力度，依法查处非法生产经营烟花爆竹的行为，防范重特大烟花爆竹事故。</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11.民用爆炸物品。紧紧围绕民爆企业安全生产工作的需要，认真履行民爆行业安全监管职责，依法行政，依法规范企业行为，加强日常的安全监督管理，严格执法，积极协调解决辖区企业生产经营中遇到的问题。严厉打击各类违法违规行为，确保生产安全。要加强协调，优化发展环境，更好地为民爆企业服务，促进民爆行业健康有序发展。鼓励发展民用爆炸物品生产、配送、爆破作业“一体化”经营模式。</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12.特种设备。按照分级分类、突出重点、落实主体责任的工作原则，科学制定年度特种设备生产和使用单位日常监督检查计划。持续开展以电梯、气瓶、压力管道、锅炉、压力容器、起重机械、客运索道、大型游乐设施、涉氨涉氯、场（厂）内专用机动车辆企业为重点的专项整治，强化学校、医院、车站、商场、公园、旅游景区、餐饮服务等公众聚集场所和危险化学品企业特种设备安全监管。建立覆盖全旗的特种设备生产、使用单位和在用设备的信息监管系统，推动应用物联网技术，强化质量安全监管，实现特种设备生产、检验、使用管理、现场监督等各环节的全过程有效管理。</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13.农业机械。完善农业机械安全监督管理体系，加强农机安全监管规范化、信息化建设，积极调动农村社会力量参与和监督农机安全生产，坚决遏制农机重特大事故发生。进一步强化各类农机合作社、作业服务组织、农机维修点等生产经营单位和农机手的安全生产主体责任，引导其加强安全培训、加大安全投入、建立健全安全制度，做到安全自查、隐患自除、责任自负。规范农机及驾驶员管理，严把安全检验关、驾驶员考试关，加强登记注册、牌证核发及驾驶员培训工作。完善农机应急救援体系，提供农机事故救援和应急处置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14.电力。健全电力企业安全监督机制，进一步完善电网安全风险管控机制，不断提升协同管控水平。健全电力应急救援体系，建立完善处置电网大面积停电事件应急体系和电力突发事件应急机制，提高应对突发事件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15.旅游。加强景区、景点安全设施建设，在危险区域设立警示标志。保障旅游星级饭店和旅游景区消防设施完好、疏散通道畅通。建立旅游预警信息发布制度。建立完善景区、景点、游乐项目容量控制制度，控制高峰时段游人总量，推动采用大数据技术发布人员密集场所安全风险警示，合理疏导人流。强化涉旅企业安全生产责任落实。</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16.铁路交通。深入开展铁路运输安全隐患治理，重点对线路、隧道、车辆、信号、供电设备以及制度和管理等进行全方位排查。强化新技术条件下铁路运输安全风险管控。严厉打击危害高速铁路运输安全的非法违法行为。开展路外安全宣传教育入户活动。严格铁路施工安全管理，整治铁路行车设备事故隐患，强化现场作业控制，深化铁路货运安全专项整治。</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17.工业园区（经济开发区）。制定工业园区（经济开发区）安全管理办法，实施“一园一策”，全面推进工业园区（经济开发区）开展评估和达标认定。每3年至少组织开展一次已建成投用的工业园区（经济开发区）整体性安全风险评估，规范和优化园区内企业安全布局。推动工业园区（经济开发区）安全生产一体化管理，完善应急救援设施、消防设施、消防车道等公用工程配套和安全保障设施建设。推动企业采取设备升级改造、自动化控制、联锁、机械防护和能量隔离等手段，增强重大安全风险管控能力。强化工业园区（经济开发区）内电力建设工程管理，完善工业园区（经济开发区）大面积停电事件应急预案。建立工业园区（经济开发区）应急管理信息平台，实现对园区内企业、重点场所、重大危险源、基础设施安全风险监控预警。推进化工园区封闭化管理，完善化工园区安全基础设施。</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18.危险废物。建立涵盖废弃危险化学品等危险废物产生、收集、贮存、转移、运输、利用、处置等全过程的安全监管体系。督促危险废物产生、经营单位规范危险废物的安全管理。加强辖区内化工园区、产业集聚区、化工和危险化学品单位及危险废物处置单位的监督检查，严厉打击偷存偷排偷放或违法违规处理处置危险废物的违法犯罪行为。推进各旗区采取合理规划布局集中处置或企业自行处置等多种方式，提升危险废物区域处置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19.校园。加强学校房屋安全隐患排查治理，完善学校内各类场所的安全防护设施。进一步完善实验室各项管理制度和防范措施，强化危险化学品管理。加强校内外活动安全管理。积极开展暑期学生防溺水宣传教育。深入开展防灾减灾宣传教育和应急演练。加强门卫及校内巡查和机动车辆进出校园管理。开展实验室危险化学品、特殊设备等安全专项检查。</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推进自然灾害综合治理。一是强化自然灾害风险管控。全面实施灾害风险普查，落实灾害风险清单式管理，推进地质、气象、水旱、地震、森林火灾等领域灾害风险管控机制建设，落实隐患动态销号和闭环管理。落实行业部门风险管理责任和属地政府主体责任，推进自然灾害风险网格化管理，提高基层灾害风险防范化解能力。二是提升自然灾害防御能力。完善自然灾害防治体系，提升工程防御标准，统筹推进灾害风险调查和重点隐患排查、重点生态功能区生态修复、地震易发区房屋设施加固、防汛抗旱水利提升、地质灾害综合治理、应急救援平台建设、自然灾害监测预警信息化、自然灾害防治技术装备现代化等自然灾害防治重点工程建设，深化城市内涝整治，全面提高城乡基础设施抗灾能力。加快避灾安置场所规范化建设，在自然灾害多发地市和重点县，加快建设综合性避难场所。三是提升灾后救助保障能力。健全政府综合统筹指导、灾区群众广泛参与的灾后恢复重建工作机制，科学评估灾害损失，编制重特大自然灾害恢复重建指南，强化灾后风险管控。健全灾情核查评估、灾害救助资金预拨和救灾物资应急保障联动等机制。完善自然灾害救助政策、设立灾害救助基金，加强灾后恢复重建资金管理。鼓励、引导单位和个人参与自然灾害救助捐赠、志愿服务等活动，加强对企业事业单位、社会团体、城乡基层群众性自治组织捐赠和募捐活动的指导和监督。</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第三节 完善政策规范体系，提升监管执法能力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快制定相关政策规范。深入宣传贯彻《安全生产法》，加大普法宣传力度，增强安全监管部门及执法人员的依法行政意识、能力，树立依法治国、执法为民、公平正义、服务大局的安全生产法治理念。建立安全生产行政执法责任制，加强对执法行为的监督和考核，不断规范、改进执法。推进安全生产监管执法与司法的衔接，建立安全监管部门、公安机关、检察机关间案情通报机制，严格案件移送程序，细化并严格执行执法协作相关规定。持续深化行政审批制度改革，巩固提升应急管理“放管服”改革，推动应急管理“一件事”集成改革放大成效，行政审批事项应放尽放；有序推进应急管理领域“证照分离”、告知承诺改革扩面升级，确保行政许可办事跑动次数、办事时限等指标保持前列。及时做好有关规范性文件的清理工作，既要简政放权，又要确保安全准入门槛不降低、安全监管不放松。</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监管执法队伍建设。建立权责明确、行为规范、精干高效、保障有力的安全生产监管体系，严格落实监管责任。强化安全生产基层执法力量，配备专职安全监管执法人员，实现专业监管人员配比不低于在职人员的75%。加强安全生产监管执法人员法律法规和执法程序培训，严格新增执法人员专业背景和选拔条件，对新录用的安全生产监管执法人员坚持凡进必考必训，所有人员都要经执法资格培训考试合格后方可持证上岗。加强安全生产监管执法人员的思想建设、作风建设和业务建设，建立健全监督考核机制。宣传推广基层安全生产监管执法的先进典型，树立廉洁执法的良好社会形象。</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加强监管执法保障建设。健全安全生产监管执法经费保障机制，将安全生产监管执法经费纳入同级财政保障范围。改善调查取证等执法装备，保障基层执法和应急救援用车，建立现场执法全过程记录制度。</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创新安全生产监管执法机制。科学编制、调整和完善年度监督检查计划，合理确定我旗的执法范围和重点，明确执法方式、方法，提高执法效率。开展安全生产同类事项综合执法，综合运用“四不两直”明查暗访、“双随机、一公开”及“联合、委托、交流”等方式，加大重点抽查、突击检查力度，严厉打击非法建设生产经营行为，推动建立社会商业保险机构参与安全监管的机制。</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安全生产执法监督机制建设。加强安全监管执法规范化建设，切实做到规范执法、严格执法、科学执法、文明执法，制定监管执法质量标准化，促进监管水平提升。主动公开应急管理行政检查、行政处罚、行政强制等权力事项清单，公开行政执法流程、行政处罚结果，接受社会监督。严格制度执行，落实行政执法公示制度、执法全过程记录制度、重大执法决定法制审核制度，规范实施安全生产行政执法与刑事司法衔接制度；制定实施行政执法评议考核制度，推动科学评价。</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严格执行事故调查制度。按照“四不放过”（事故原因未查清不放过；事故责任人未受到处理不放过；事故责任人和周围群众没有受到教育不放过；事故没有制定切实可行的整改措施不放过）和“科学严谨、依法依规、实事求是、注重实效”的原则，严肃查处每一起事故。进一步加大安全生产事故挂牌督办力度，按规定由我旗人民政府调查处理的一般事故，事故调查结束后，整改落实工作由旗安全生产委员会办公室挂牌督办、审核把关。建立事故调查处理信息通报和整改措施落实情况评估制度，所有事故都要在规定时限内结案并依法及时向社会全文公布事故调查报告，同时由负责事故查处的旗人民政府在事故结案1年后及时组织开展评估，评估情况报上级人民政府安全生产委员会办公室备案。落实事故举一反三机制。深入开展事故分析，找出规律性因素，发布统计报告、公布典型事故案例，指导推动事故防控工作。定期组织开展生产安全事故警示教育，分析事故原因、汲取事故教训。推动企业举一反三，督促企业建立健全生产安全事故公开道歉制度和警示学习制度，落实生产安全事故防控措施。</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第四节 健全完善科学技术支撑体系</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关键技术与装备科技攻关。积极开展应急管理科学技术研究，把应急管理重大科技项目纳入我旗各类科技支撑计划。整合我旗科技资源，加强安全生产技术支撑体系建设，鼓励研发机构与企业联合共建安全生产协同创新联盟。</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开发关键性实用安全技术装备。坚持以防范重点行业领域重特大事故为突破口，重点解决安全生产领域具有倾向性、易发性、普适性的重大共性技术难题，加强灾害防治和检测预警、化工园区防管控一体化检测监控、煤化工重大事故防范、矿山灾害预警预防技术事故分析处理等共性技术研究。开展煤矿、非煤矿山、危险化学品企业等重点行业领域“机械化换人、自动化减人”科技强安专项行动。</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大力转化推广应用先进适用技术成果。建立安全生产科技成果评审制度和激励机制，加快安全生产科技成果转化，推广先进、适用的安全生产工艺、技术和装备，切实提高企业事故防范能力。定期将不符合有关安全标准、安全性能低下、职业危害严重、危及安全生产的落后技术、工艺和装备列入政府产业结构调整指导目录，予以强制性淘汰。大力实施基于云平台的“物联网+安全监管执法”战略，建设安全生产大数据平台和生产安全事故预警预测平台。</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充分发挥安全生产专家作用。建立安全生产专家查隐患促整改工作机制，完善安全生产专家队伍选拔、考核机制，建立健全我旗安全生产专家库。积极鼓励并充分发挥专家在安全生产制度建设、政策制定、“三同时”审查、隐患排查、事故预防、应急救援、事故调查处理等方面的技术支撑作用。</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健全规范社会中介服务体系。充分发挥科研院所与社会中介组织的积极作用，大力推动安全评价、安全培训、安全生产标准化咨询等各项技术服务。加强对安全生产技术服务机构的监督管理，完善技术服务质量综合评估制度。建立健全化工工艺安全检测、关键设备安全检测相关机构，按照行业分布以及事故态势进行合理布局。进一步加强安全生产专业技术服务机构建设，鼓励和支持配备一批先进技术和装备设施，提高技术服务能力。</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第五节 建设应急救援体系，提升应急处置能力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应急救援队伍建设。落实《鄂尔多斯市安全生产委员会关于全市应急救援监督管理的实施意见》，配套制定相关制度规定，提高应急管理法治化水平。坚持政府主导、部门联动、企业参与，统筹规划、重点突破，专业化和社会化相结合，以点带面、整体推进原则，建设完善以综合应急救援队伍、专业应急救援队伍为主，义务应急救援队伍、支援应急救援队伍为辅，应急救援专家组共同参与的综合应急救援队伍体系。开展应急救援力量需求评估，合理规划布局矿山、危化品、超高压输电等行业领域应急救援队伍和基地。重点强化工业园区的危化专业应急救援队伍建设，强化城市区域消防等综合应急救援队伍建设。鼓励工业园区开展应急救援队伍一体化建设，建立企业化管理、市场化运作的应急救援社会化服务新模式。强化应急救援队伍和应急管理人员培训考核工作。装备一批技术先进、设施可靠、快速响应、救援专业的应急救援队伍。</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应急预案管理和应急演练工作。加强各级、各类应急预案管理工作，及时评估修订预案信息。加强预案演练，定期开展专项预案、综合预案演练，旗人民政府、经济开发区、苏木镇及部门综合性预案演练每两年不少于一次，企业综合性预案演练每年不少于一次，企业现场处置方案每年不少于两次。将应急预案管理和演练纳入政府及企业安全生产工作绩效考核内容。结合我旗经济发展特征，进一步完善应急预案体系，制定完善政府与企业相衔接的应急预案体系，加强不同层级应急预案间的有效衔接。建立高危行业、重点工程、重点领域的风险监测和评估体系以及风险预警和跟踪制度、风险管理防控联动机制，建立应急现场危害识别、监测与评估机制，降低次生事故风险。</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完善突发事件预警体系。建立健全高效有序的预警信息发布和响应机制。加强预警信息发布中心建设，建立预警信息发布工作联络员队伍以及例会制度和预警信息发布规范，逐步形成全旗突发事件预警信息统一发布的格局。各地各部门应当采取多种形式，开展应急救援法规、事故预防和避险、自救互救等应急知识的宣传普及活动。健全和完善事故报送机制，用好事故综合统计直报系统。着力推进道路交通、建筑施工、建设工程、特种设备、危险物品运输以及燃气管线等领域的安全隐患排查治理，督促落实针对性安全防范和应急管理措施。加强对恶劣天气、地质灾害等风险隐患监测，加强防汛设施建设，积极防范自然灾害风险。</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完善救援协同联动机制。强化部门协同。加强统筹协调、指导督促，充分发挥相关议事协调机构职能作用，健全重大安全风险防范化解和灾害事故处置应对协同机制，清晰各部门在事故预防、灾害防治、抢险救援等方面的职责，有效衔接“防”和“救”的责任链条，整合部门各类应急资源，强化基层社会应急联动机制建设。强化区域协同。健全区域应急联动机制，完善区域重特大事件应急预案，强化跨区域协同演练，统筹社会各方应急资源与应急力量，加强信息通报与共享。</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强化应急救援综合保障。一是加强应急物资保障。完善应急物资管理体制机制，加强抢险救援保障、应急救援力量保障和受灾人员基本生活保障类应急物资综合管理，完善社会应急物资征用补偿标准和工作机制。健全应急物资分级分类储备标准，完善应急物资储备目录，制定应急物资储备计划，科学确定应急物资储备品种和规模。提升应急物资协议储备能力，加强社区、企事业单位、社会组织和家庭应急物资储备。强化政策保障，建立重要应急物资产品动态目录和政府补贴机制，建立应急物资协议储备更新、轮换的财政补偿和核销政策，明确代储规模、质量标准和定价策略等。强化紧急医学救援对接机制，优化化学品伤害事故应急药物产能储备。二是强化救援装备配备保障。推动现场指挥调度应急终端、预警信息发布终端、救援机器人、大型灭火、大功率快速排水、大直径钻孔、快速搜救等应急装备配备，提升应急指挥、通信和救援能力。推进无人机等救援装备应用，推动矿井救援、防汛抗旱、城市排涝等专业救援装备通用化。加强物联网、卫星遥感、视频识别、移动互联等技术应用，实现自然灾害易发多发频发地区、城市安全运行和高危行业领域全方位、立体化、无盲区实时动态监控。三是加强应急物流保障。统筹紧急运输资源，健全多方参与、协同配合的紧急运输体制，完善集中统一的应急物流管理和指挥机制。完善紧急运输网络，加强公路、水运、铁路、邮政快递等紧急运输绿色通道建设，实行各类应急物资、医护及救援人员战时优先编组、紧急投送，免费通行、优先放行，确保应急运输高效畅通。优化紧急运输调度，加强应急物流基地和配送中心建设，推进政企联通的紧急运输调度指挥平台建设，强化应急救援陆路、水上运输保障。四是健全完善应急通信网络。健全全旗各类应急管理指挥调度通信网络，完善公众与专用、保密与非保密相结合的应急通信保障网络体系。完善通信基站布局，强化偏远地区、灾害多发易发地区、高风险设施周边区域基础通信网络建设。进一步拓展公众通信网络紧急呼叫优先接通、互联互通以及终端用户定位等功能，推进机动通信应急装备配备，提高快速搭建现场应急通信平台的能力。建立通信保障队伍。推动联通、移动、铁塔、电信分公司完善应急通信保障队伍建设，配齐配强专业技术人员，及时补充更新应急通信专业保障装备，健全与交通运输、电力供应等部门（单位）的协同保障机制，提高应急通信保障能力。加强公用通信安全保障，提升网络抗毁能力。根据需要为应急救援机构与队伍配备适用的卫星通信、集群通信等无线通信设备，提高极端条件下重特大自然灾害和事故灾难现场的实时通信保障能力。五是加强救助恢复保障。完善与地区经济社会发展水平相适应的自然灾害救助标准调整机制，依据灾害损失调查评估结果，合理调整确定自然灾害救助标准。完善救灾资源动员机制，推广政府与社会资本、社会组织、企业合作模式，支持红十字会、慈善组织等依法参与灾害救援救助工作。健全受灾群众过渡安置和救助机制，开展灾后排查，准确把握受灾群众困难现状，合理利用救助资源。加强临时住所、水、电、道路等基础设施建设，保障受灾群众基本生活。健全旗级统筹指导、建设部门主导、灾区群众广泛参与的灾后恢复重建机制。科学开展灾害损失评估、次生衍生灾害隐患排查及危险性评估、住房及建筑物受损鉴定和资源环境承载能力评价。完善灾区扶持政策，制定灾后恢复重建规划。加强灾后恢复重建资金管理，引导各类贷款、对口支援资金、社会捐赠资金等参与灾后恢复重建。优先重建供电、通信、给排水、道路、桥梁、水库等基础设施，以及学校和医院等公益性服务设施。</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第六节 打造社会治理体系，提升社会共治能力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应急文化建设。一是加强应急管理科普宣传教育。完善应急安全科普宣传教育保障机制，深入实施全民安全素养提升行动，深化推进安全宣传进企业、进农村、进学校、进社区、进家庭。打造应急科普精品，大力开展安全生产月、防灾减灾日等主题宣传活动，开发建设一批应急科普教材、读物、动漫、游戏、影视剧等应急管理公众教育系列产品。建立常态化普法教育机制，开展丰富多样的普法活动。落实“谁执法谁普法”的普法责任制，加大典型案例的普法宣传。二是深化应急管理宣教平台建设。丰富宣传教育载体，利用新媒体、虚拟社区、移动客户端等载体加强宣传教育，建设数字防灾减灾教育资源公共服务平台、标准化应急知识科普库、网上应急科普平台和应急虚拟体验馆，提升宣传覆盖面。推进应急（安全）宣传教育体验馆建设，加强资源整合，利用废弃矿山、危险化学品设施，依托科技馆、游乐场等设施，因地制宜建设应急（安全）宣传教育体验馆；建设面向公众的培训演练和自救互救体验馆。三是着力打造安全文化街、文化公园、文化市场，营造浓厚的安全文化氛围，各苏木镇、工业园区（经济开发区）至少选取一条以上主街道、一处公园和市场进行安全文化创建，各部门要充分依托电子显示屏、广告牌匾、标识标语条幅积极开展安全文化创建。四是全面推行“教考分离”，优化师资力量和培训内容，提高培训的实效性，加快推进旗实操基地建设。扩大培训覆盖面，加大对党政领导干部、“三项岗位”人员，特别是班组长、新入职员工的培训力度。强化高危行业和中小企业一线操作人员安全培训，突出实际操作培训和考核，切实提高培训质量。生产经营单位负责人、安全管理人员、特种作业人员、高危行业从业人员、安全监管执法人员必须按规定参加安全生产培训，100%经考核、考试合格后持证上岗。健全和完善辖区内生产经营单位安全生产培训工作台账。进一步加强和规范考务管理工作。</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完善风险社会化分担机制。一是有效发挥事故灾害保险作用。加大安全生产责任险统筹推进力度，依托统一的安责险信息管理系统，健全行业主管部门、专业服务机构、保险机构参与保险服务机制。矿山、危险化学品、烟花爆竹、建筑施工、民用爆炸物品、金属冶炼、交通运输等行业领域安全生产责任保险投保率100%，鼓励引导冶金、有色、建材、机械、轻工、纺织等工贸行业参与投保安全生产责任险。二是强化应急管理信用体系建设。完善自然灾害领域信用体系，建立健全应急物资采购、紧急征用、志愿捐助、灾害救助和恢复重建等方面的诚信制度和信用记录，强化守信激励和失信惩戒。依法依规推进企业安全生产诚信体系建设，实行企业安全生产信用风险分类管理制度，健全企业安全生产动态信用评价机制和信用修复机制。支持行业协会制定行业行规、自律规范和职业道德准则，建立健全职业规范和奖惩机制。</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健全社会化服务推进机制。一是发展应急管理社会化服务。健全社会化服务制度，拓展政府向社会中介机构购买服务种类，引导高校、科研院所、社会专业机构等积极参与社会化服务。拓展社会化服务模式，采取政府购买、行业互助、企业自助、“保险+服务+科技”等多种形式，积极推广专家工作站、企业互助平台、安全生产体检站等参与基层社会共治管理新模式，协助企业解决研发、生产或管理过程中的安全难题。二是强化应急管理社会化服务监督管理。推进技术服务标准化建设，制定出台企业安全生产社会化服务标准，推动技术服务机构建立全过程服务质量管理体系，落实合同报告制、服务承诺制。健全监督管理制度，建立统一的社会化服务信息平台，依托平台加强社会化服务监督管理；健全考核评价和惩戒淘汰机制，引导技术服务市场健康有序发展。推进检测认证机构市场化改革，制定政府购买应急管理技术服务指导性目录，完善政府购买检测认证服务制度等。</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推进城市安全发展。创建安全发展示范城市。深化城市安全风险评估，健全安全风险评估管理制度，定期编制发布城市安全风险白皮书，建立重大活动风险提示制度，明确风险等级和安全措施要求。全面构建立体化的城市安全风险管控体系，推进城市安全应急大脑建设，实现城市安全管理精密智控。</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第七节 建立基础保障体系，提升担当履职能力</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推进基层应急管理规范化建设。一是健全基层应急管理工作机构。苏木镇、工业园区（经济开发区）组建由主要负责人担任组长的应急管理领导小组，领导小组下设办公室，具体承担基层应急管理的统筹、协调、指挥、考核等职责。危险化学品生产企业、储存企业、“两重点一重大”（重点监管品种、重点工艺、重大危险源）危险化学品使用企业较多和防汛任务较重的地区应尽量配备具有化工、防汛工作专业背景人员，加强村（社区）应急管理力量建设，明确村（社区）党组织书记为应急管理工作主要负责人，在党员干部中择优配备应急管理员。二是提升基层应急管理标准规范。推进基层应急管理工作标准化建设，建立应急管理责任清单，出台基层应急管理规范化建设标准，健全科学考评机制，强化组织管理、人员力量、机制建设、能力保障。推进基层应急管理装备标准化建设，制定基层应急管理装备配备目录，分类分重点储备，强化装备保障。三是强化基层应急管理网格化管理。推动应急管理工作融入基层社会治理平台，健全普通网格管理机制和专属网格管理机制，强化工业功能区网格专业化建设，配强安全生产网格员队伍；将防汛、自然灾害风险排查纳入网格管理日常重要职责。切实发挥网格员作用，提升应急管理网格员业务素质和工作能力，规范网格员信息终端使用，完善考核办法和考评实施细则，提升工作效能。</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推进基层应急队伍专业化建设。加强应急管理干部教育培训。全面推行应急管理工作导师制度，强化干部队伍传帮带作用，不断提升业务能力和职业素养。开展年轻干部调训工作，强化应急管理事业后备人才储备，全面落实应急管理干部轮训制度。</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推进激励保障体系建设。一是健全待遇保障制度。依据《人力资源和社会保障部 财政部关于实行安全生产监管监察岗位津贴的通知》（人社部发〔2012〕55号）等文件精神，全面落实安全生产监管监察岗位津贴等保障政策，积极执行基层应急管理人员的工伤、人身意外伤害保险和抚恤政策，合理确定应急管理人员待遇、值班值守补贴，有关经费纳入地方财政保障范围。二是提升职业荣誉感。落实及时奖励制度，健全面向基层的职业荣誉体系和奖励制度，对重大行动中表现突出的集体和个人及时记功奖励。注重在应急管理事业发展、突发事件处置表现突出的应急管理干部中选树典型。注重在应急管理干部、社会应急救援队员中推荐评选劳动模范、先进工作者、优秀共产党员等社会荣誉。</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强化考核评价体系建设。一是健全绩效考核机制。将应急管理工作纳入对各级党组织党建工作考核的重要内容，严格落实安全生产“一票否决”。制定安全生产“职责清单”和年度“工作清单”，强化考核巡查结果运用，将安全生产考核巡查结果纳入高质量发展考核体系和对本级部门的绩效考评，纳入领导干部政绩考核重要内容，作为领导干部选拔任用、履职评定、职务职级晋升、奖励惩处的重要参考。二是创新工作评价机制。建立动态评价指数，持续完善应急管理考核清单，构建应急管理动态考核系统，强化对安全生产、防灾减灾等工作过程性成效的量化监督。建立健全容错纠错机制，完善应急管理权力和责任清单，细化明确容错免责情形以及不适用容错免责的负面清单，推动建立尽职照单免责、失职照单追责机制。</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第四章 重点工程</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第一节 完善风险管控机制工程</w:t>
      </w:r>
    </w:p>
    <w:p>
      <w:pPr>
        <w:pStyle w:val="2"/>
        <w:keepNext w:val="0"/>
        <w:keepLines w:val="0"/>
        <w:widowControl/>
        <w:suppressLineNumbers w:val="0"/>
        <w:spacing w:before="0" w:beforeAutospacing="0" w:after="0" w:afterAutospacing="0" w:line="480" w:lineRule="atLeast"/>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进一步厘清“旗区—苏木镇—嘎查村”三级安全风险管理责任，构建安全风险防范化解任务清单管理模式，完善与安全风险防控环节有效结合的责任细化机制。推进安全发展示范城市建设，强化城市运行安全保障，提高基础设施安全设防标准。运用自然灾害风险隐患排查结果，建立防控责任清单，全面加强自然灾害风险防控。加强桥梁、隧道、电力、油气、水利等重大工程和基础设施安全风险防控。推动危险化学品、矿山等高危行业领域企业建立风险管理体系，定期开展工艺、设备、物品、场所和岗位风险等重点环节风险评估，完善和落实风险管控责任。重视新兴产业领域安全风险防范，依法确定对新兴行业领域负有安全生产监督管理职责的部门，强化企业落实风险管控责任。建立重大活动风险提示告知制度，明确风险等级和安全措施要求。</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第二节 提升自然灾害防御能力工程</w:t>
      </w:r>
    </w:p>
    <w:p>
      <w:pPr>
        <w:pStyle w:val="2"/>
        <w:keepNext w:val="0"/>
        <w:keepLines w:val="0"/>
        <w:widowControl/>
        <w:suppressLineNumbers w:val="0"/>
        <w:spacing w:before="0" w:beforeAutospacing="0" w:after="0" w:afterAutospacing="0" w:line="480" w:lineRule="atLeast"/>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以黄河干流杭锦旗段为主的防洪工程设施建设，提高洪涝灾害抵御能力。配合市有关部门实施黄河鄂尔多斯段右岸防凌应急蓄滞洪区建设与空间整治工程，增强河道凌灾抵御能力。结合城市体检、城市更新，构建雨水收排、排涝除险、超标应急、预测预警的城市排水防涝工程体系。完善抗旱水利工程基础设备设施，解决抗旱水源问题，配备送水车、输水管等装备，增强抗旱能力。指导煤矿、非煤矿山、危险化学品等重点行业企业配备防汛抗旱物资装备设施，支持配备适用于极端恶劣环境的智能化、实用化、轻量化专用装备，增强防汛抗旱和极端天气气候事件下的实时通信保障、供电保障、排水、蓄水等应对能力。</w:t>
      </w:r>
    </w:p>
    <w:p>
      <w:pPr>
        <w:pStyle w:val="2"/>
        <w:keepNext w:val="0"/>
        <w:keepLines w:val="0"/>
        <w:widowControl/>
        <w:suppressLineNumbers w:val="0"/>
        <w:spacing w:before="0" w:beforeAutospacing="0" w:after="0" w:afterAutospacing="0" w:line="480" w:lineRule="atLeast"/>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健全森林草原防灭火治理体系，综合运用视频监控、瞭望台哨和地面巡护等多种手段监视监控，推进防火信息化建设。加强重点区域森林草原防火公路、生土隔离带等防火基础设施建设，补充配备一批森林草原防灭火重型装备，提高森林草原防灭火能力。</w:t>
      </w:r>
    </w:p>
    <w:p>
      <w:pPr>
        <w:pStyle w:val="2"/>
        <w:keepNext w:val="0"/>
        <w:keepLines w:val="0"/>
        <w:widowControl/>
        <w:suppressLineNumbers w:val="0"/>
        <w:spacing w:before="0" w:beforeAutospacing="0" w:after="0" w:afterAutospacing="0" w:line="480" w:lineRule="atLeast"/>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新（改、扩）建工程抗震设防管理，逐步提高全旗工程防震抗震能力。严格重要建（构）筑物、超高建（构）筑物以及人员密集公共设施建设标准，实施重要市政公用设施抗震设防专项论证。实施地震活断层探测，为政府决策、应急救援提供科学依据。开展地震监测、地震灾害风险预警、震害防御等技术的应用示范，提升防震抗震科技支撑能力。</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第三节 应急管理综合保障建设工程</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全面推进应急综合保障能力建设，提升应急物资实物储备能力，加强储备管理模式创新。落实综合执法改革意见，加强监管执法装备配备和人才保障。深化应急管理科技创新，以平台建设为载体，加强先进装备研发应用，全面提升应急管理科技支撑能力。贯彻实施“雁阵行动”。按照自治区应急管理厅“雁阵行动”实施方案要求，按照市应急管理部门安排部署，推广应用“互联网+执法”系统等10个部建信息系统，开展业务创新，固化业务流程，建立应用机制，探索深度应用模式，推动形成“部级规划引领、省级统筹推动、市级全面融合、基层深度应用”的信息化发展模式，提升应急管理工作的科学性、规范性和普适性。</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第四节 安全生产标准化建设提升工程</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建立安全生产标准化动态信息管理系统，继续推进重点行业领域安全生产标准化达标。推动企业标准化建设情况与安全生产责任险费率挂钩，并纳入企业信用信息公示系统、信贷信用等级评定内容，对标准化验收合格企业给予工伤保险缴费、税收和政府采购等方面的优惠和奖励。全面推广岗位达标、车间达标和企业达标。</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第五章 规划实施与评估</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第一节 统筹安全生产与经济发展</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旗人民政府和旗直有关部门要把安全生产专项规划、有关指标、重大工程项目分别纳入国民经济和社会发展的总体规划、社会发展统计指标体系及投资计划，统筹安全生产与经济发展，建立安全生产与经济发展的综合决策机制，正确处理安全生产与经济发展和社会进步的关系，始终把安全生产工作放在首要位置。</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第二节 加强对安全生产工作的领导</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各级人民政府要认真落实安全生产“党政同责、一岗双责”，把安全生产工作真正放到党委、政府工作的重要日程上来。严格落实国务院安委会“安全生产十五条措施”，建立强有力的安全生产工作组织领导和协调管理机制，保障安全生产监管机构、人员、装备、经费等到位，及时解决安全生产监管工作中出现的重大问题，保障安全生产防治体系规划顺利实施。</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第三节 加强相关规划的衔接</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建立健全各级各部门及其领导干部安全生产责任制，层层落实责任。把安全生产纳入政绩考核指标体系，坚持安全生产一票否决制，严格执行《杭锦旗人民政府关于印发杭锦旗直有关部门和单位安全生产工作职责规定》（杭政发〔2018〕138号）。矿山、危险化学品、交通、铁路、水利、建筑、邮政、电信、旅游、特种设备、消防等有关行业与领域主管部门应将安全生产纳入本行业发展规划，指导本行业安全生产管理工作，对本行业安全生产工作负责。落实企业安全生产主体责任制，建立安全生产自我约束机制。</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第四节 加强政策支持保障</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将安全生产规划实施所需经费列入本级政府财政预算，对执法检查、科技研发、技术支撑体系建设、事故隐患治理、公共安全基础设施建设、重大危险源监控、信息化建设、宣传教育培训和应急救援体系建设等安全生产方面的资金需求予以保障，确保规划确定的各项目标任务及项目的投入分年度足额落实到位。落实财政、金融、税收等有利于安全生产的优惠政策。建立安全生产专项基金，对各重点行业开展安全生产整治、宣传以及企业安全生产技术改造给予扶持。企业要按照《安全生产法》的要求，确保安全生产的投入。</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第五节 加强评估与考核</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旗人民政府应根据应急管理工作重点，将应急管理规划与城乡规划相衔接；相关部门要按规划的要求和职能分工，各司其责，通力合作，创造条件完成规划中确定的主要任务。建立规划保障实施机制，并认真组织实施。将规划推进落实情况纳入年度工作目标考核内容，建立规划实施的评估机制。</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第六节 加强群众性的安全生产监督</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加强工会组织、新闻媒体、社团组织以及社区基层组织对安全生产工作的监督。充分发挥各级工会组织和群众的参与和监督作用。鼓励任何单位和个人对安全生产的违法行为进行举报。</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第七节 倡导先进的安全文化</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坚持人民至上、生命至上，倡导以人为本的安全理念，宣传普及安全生产法律和安全知识，提高全民安全意识和安全文化素质。坚持面向基层、面对职工群众的方针，促进安全文化的繁荣。扶持、引导和发展安全文化产业，推动安全文化建设的社会化和产业化。发挥大众传媒的作用，加强舆论阵地建设，在全社会形成“关爱生命、关注安全”的舆论氛围。</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第八节 加强安全生产领域的交流与合作</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进一步加强与先进地区在安全生产领域的交流与合作。加强技术交流与人员培训。吸收借鉴国内外安全生产先进的经验与成果，充分利用国内外的资金、技术、人才、管理等资源，加快技术引进、消化吸收和自主创新的步伐。 </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OTRiMzkxOTU3MDQ3YjAzOWQxYmNhMzkzNmNhNWEifQ=="/>
  </w:docVars>
  <w:rsids>
    <w:rsidRoot w:val="38B57612"/>
    <w:rsid w:val="27D36DD5"/>
    <w:rsid w:val="32FD73FC"/>
    <w:rsid w:val="38B57612"/>
    <w:rsid w:val="3D1B504E"/>
    <w:rsid w:val="55FD133D"/>
    <w:rsid w:val="5681386A"/>
    <w:rsid w:val="599404C7"/>
    <w:rsid w:val="60716BAF"/>
    <w:rsid w:val="6F8128A9"/>
    <w:rsid w:val="7131368F"/>
    <w:rsid w:val="71775FF0"/>
    <w:rsid w:val="7713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line="240" w:lineRule="auto"/>
      <w:ind w:left="0" w:right="0"/>
      <w:jc w:val="both"/>
    </w:pPr>
    <w:rPr>
      <w:kern w:val="0"/>
      <w:sz w:val="24"/>
      <w:lang w:val="en-US" w:eastAsia="zh-CN" w:bidi="ar"/>
    </w:rPr>
  </w:style>
  <w:style w:type="paragraph" w:customStyle="1" w:styleId="5">
    <w:name w:val="cjk"/>
    <w:basedOn w:val="1"/>
    <w:qFormat/>
    <w:uiPriority w:val="0"/>
    <w:pPr>
      <w:jc w:val="left"/>
    </w:pPr>
    <w:rPr>
      <w:rFonts w:hint="eastAsia" w:ascii="宋体" w:hAnsi="宋体" w:eastAsia="宋体" w:cs="宋体"/>
      <w:kern w:val="0"/>
      <w:sz w:val="20"/>
      <w:szCs w:val="2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32813</Words>
  <Characters>33036</Characters>
  <Lines>0</Lines>
  <Paragraphs>0</Paragraphs>
  <TotalTime>2</TotalTime>
  <ScaleCrop>false</ScaleCrop>
  <LinksUpToDate>false</LinksUpToDate>
  <CharactersWithSpaces>33566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2022-10-27T18:38:00Z</dcterms:created>
  <dc:creator>Administrator</dc:creator>
  <cp:lastModifiedBy>唯有你</cp:lastModifiedBy>
  <dcterms:modified xsi:type="dcterms:W3CDTF">2023-07-31T07:19:33Z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C25F974202904F2087782B5905C8DDF6_13</vt:lpwstr>
  </property>
</Properties>
</file>